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79F8A" w14:textId="6A5ADC19" w:rsidR="00E65A64" w:rsidRPr="00F92ADB" w:rsidRDefault="006F6223" w:rsidP="00FD760E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58AB9A19" wp14:editId="6738853D">
            <wp:extent cx="5274310" cy="3957320"/>
            <wp:effectExtent l="0" t="0" r="2540" b="5080"/>
            <wp:docPr id="2026455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C9AA714" w14:textId="77777777" w:rsidR="00213973" w:rsidRPr="00F92ADB" w:rsidRDefault="00213973" w:rsidP="00213973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1. Expression of marker genes for the six major cell populations.</w:t>
      </w:r>
    </w:p>
    <w:p w14:paraId="2C5884C8" w14:textId="21E99825" w:rsidR="005B1D8F" w:rsidRPr="00F92ADB" w:rsidRDefault="00F85B1D" w:rsidP="00FD760E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353E73FA" wp14:editId="4540DFB8">
            <wp:extent cx="5274310" cy="3013710"/>
            <wp:effectExtent l="0" t="0" r="2540" b="0"/>
            <wp:docPr id="10836857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72DA3" w14:textId="77777777" w:rsidR="005D2AC7" w:rsidRPr="00F92ADB" w:rsidRDefault="005D2AC7" w:rsidP="005D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2. The proportions of the six main cell populations in RCRC and LCRC, as well as in individual patient samples.</w:t>
      </w:r>
    </w:p>
    <w:p w14:paraId="09351025" w14:textId="6C967570" w:rsidR="0002044B" w:rsidRPr="00F92ADB" w:rsidRDefault="003D62E9" w:rsidP="00FD760E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3F124D64" wp14:editId="55D2EABD">
            <wp:extent cx="5274310" cy="3171825"/>
            <wp:effectExtent l="0" t="0" r="2540" b="9525"/>
            <wp:docPr id="1968999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A57E2" w14:textId="77777777" w:rsidR="000C2933" w:rsidRPr="00F92ADB" w:rsidRDefault="000C2933" w:rsidP="000C29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3. Results of the inferred developmental trajectories of tumor cell subpopulations.</w:t>
      </w:r>
    </w:p>
    <w:p w14:paraId="36D9493D" w14:textId="50262CC3" w:rsidR="00B06EFE" w:rsidRPr="00F92ADB" w:rsidRDefault="00E35985" w:rsidP="008C70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noProof/>
          <w:lang w:val="en-IN" w:eastAsia="en-IN"/>
        </w:rPr>
        <w:drawing>
          <wp:inline distT="0" distB="0" distL="0" distR="0" wp14:anchorId="3ECC26DA" wp14:editId="41A02F5C">
            <wp:extent cx="5274310" cy="4328160"/>
            <wp:effectExtent l="0" t="0" r="2540" b="0"/>
            <wp:docPr id="96693439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1A210" w14:textId="77777777" w:rsidR="00425C78" w:rsidRPr="00F92ADB" w:rsidRDefault="00425C78" w:rsidP="00425C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 xml:space="preserve">Supplementary Figure 4. The validation results for the </w:t>
      </w:r>
      <w:r w:rsidRPr="00F92ADB">
        <w:rPr>
          <w:rFonts w:ascii="Times New Roman" w:hAnsi="Times New Roman" w:cs="Times New Roman" w:hint="eastAsia"/>
          <w:i/>
          <w:iCs/>
          <w:sz w:val="24"/>
          <w:szCs w:val="24"/>
        </w:rPr>
        <w:t>MTRNR2L8</w:t>
      </w:r>
      <w:r w:rsidRPr="00F92ADB">
        <w:rPr>
          <w:rFonts w:ascii="Times New Roman" w:hAnsi="Times New Roman" w:cs="Times New Roman" w:hint="eastAsia"/>
          <w:sz w:val="24"/>
          <w:szCs w:val="24"/>
        </w:rPr>
        <w:t xml:space="preserve"> gene using TCGA data.</w:t>
      </w:r>
    </w:p>
    <w:p w14:paraId="3333058A" w14:textId="368B6F39" w:rsidR="00882A6F" w:rsidRPr="00F92ADB" w:rsidRDefault="00E35985" w:rsidP="003A14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noProof/>
          <w:lang w:val="en-IN" w:eastAsia="en-IN"/>
        </w:rPr>
        <w:drawing>
          <wp:inline distT="0" distB="0" distL="0" distR="0" wp14:anchorId="23B18193" wp14:editId="05FEDA93">
            <wp:extent cx="5274310" cy="5081270"/>
            <wp:effectExtent l="0" t="0" r="2540" b="5080"/>
            <wp:docPr id="10946611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8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CE3FB" w14:textId="77777777" w:rsidR="00427CEA" w:rsidRPr="00F92ADB" w:rsidRDefault="00427CEA" w:rsidP="00427C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 xml:space="preserve">Supplementary Figure 5. The qPCR validation results of the </w:t>
      </w:r>
      <w:r w:rsidRPr="00F92ADB">
        <w:rPr>
          <w:rFonts w:ascii="Times New Roman" w:hAnsi="Times New Roman" w:cs="Times New Roman" w:hint="eastAsia"/>
          <w:i/>
          <w:iCs/>
          <w:sz w:val="24"/>
          <w:szCs w:val="24"/>
        </w:rPr>
        <w:t>MTRNR2L8</w:t>
      </w:r>
      <w:r w:rsidRPr="00F92ADB">
        <w:rPr>
          <w:rFonts w:ascii="Times New Roman" w:hAnsi="Times New Roman" w:cs="Times New Roman" w:hint="eastAsia"/>
          <w:sz w:val="24"/>
          <w:szCs w:val="24"/>
        </w:rPr>
        <w:t xml:space="preserve"> gene based on tumor samples from local CRC patients.</w:t>
      </w:r>
    </w:p>
    <w:p w14:paraId="5838B072" w14:textId="6F9AF047" w:rsidR="008C7007" w:rsidRPr="00F92ADB" w:rsidRDefault="00A471E3" w:rsidP="00BA7772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3F1FA22E" wp14:editId="4264E91A">
            <wp:extent cx="5274310" cy="2639060"/>
            <wp:effectExtent l="0" t="0" r="2540" b="8890"/>
            <wp:docPr id="119953456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314E8" w14:textId="77777777" w:rsidR="006716B3" w:rsidRPr="00F92ADB" w:rsidRDefault="006716B3" w:rsidP="006716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6. GO and KEGG enrichment results for genes specifically expressed in the CD8-EFFECTOR 3 subpopulation.</w:t>
      </w:r>
    </w:p>
    <w:p w14:paraId="27F0CB3D" w14:textId="301DA70C" w:rsidR="00DA1CD0" w:rsidRPr="00F92ADB" w:rsidRDefault="0083295A" w:rsidP="00BA7772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51BEB33F" wp14:editId="3C06D186">
            <wp:extent cx="5274310" cy="2409190"/>
            <wp:effectExtent l="0" t="0" r="2540" b="0"/>
            <wp:docPr id="41324319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188B0" w14:textId="77777777" w:rsidR="00B142C4" w:rsidRPr="00F92ADB" w:rsidRDefault="00B142C4" w:rsidP="00B142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7. The preliminary dimensionality reduction and clustering results of the single-cell transcriptomic data from the validation cohort.</w:t>
      </w:r>
    </w:p>
    <w:p w14:paraId="2812101E" w14:textId="611A70E8" w:rsidR="00F965AA" w:rsidRPr="00F92ADB" w:rsidRDefault="002331FC" w:rsidP="00BA7772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79DF2448" wp14:editId="05A69A4F">
            <wp:extent cx="5274310" cy="6645275"/>
            <wp:effectExtent l="0" t="0" r="2540" b="3175"/>
            <wp:docPr id="107032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4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8881D" w14:textId="77777777" w:rsidR="009472F1" w:rsidRPr="00F92ADB" w:rsidRDefault="009472F1" w:rsidP="009472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8. The validation results of the proportional differences of the CD8-EFFECTOR 3 subpopulation between LCRC and RCRC.</w:t>
      </w:r>
    </w:p>
    <w:p w14:paraId="3B6B903E" w14:textId="0F79013E" w:rsidR="008F22F4" w:rsidRPr="00F92ADB" w:rsidRDefault="00500193" w:rsidP="00BA7772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42C3AAFD" wp14:editId="4DF749F9">
            <wp:extent cx="5274310" cy="3449320"/>
            <wp:effectExtent l="0" t="0" r="2540" b="0"/>
            <wp:docPr id="184539759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D3EFD" w14:textId="77777777" w:rsidR="00166325" w:rsidRPr="00F92ADB" w:rsidRDefault="00166325" w:rsidP="001663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9. Overall differential genes between T cells in RCRC and LCRC, along with the enrichment results for these genes.</w:t>
      </w:r>
    </w:p>
    <w:p w14:paraId="100E58CE" w14:textId="43520E89" w:rsidR="00C07EE9" w:rsidRPr="00F92ADB" w:rsidRDefault="00766659" w:rsidP="00BA7772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33210E50" wp14:editId="15DB73F0">
            <wp:extent cx="5274310" cy="3112135"/>
            <wp:effectExtent l="0" t="0" r="2540" b="0"/>
            <wp:docPr id="15234383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AAC56" w14:textId="77777777" w:rsidR="00A7455D" w:rsidRPr="00F92ADB" w:rsidRDefault="00A7455D" w:rsidP="00A745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10. Differences in Myeloid subpopulations between LCRC and RCRC.</w:t>
      </w:r>
    </w:p>
    <w:p w14:paraId="15FAD374" w14:textId="1B1CC9E3" w:rsidR="000920C9" w:rsidRPr="00F92ADB" w:rsidRDefault="004F35D5" w:rsidP="000920C9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22E7F884" wp14:editId="5A36B858">
            <wp:extent cx="5274310" cy="3355975"/>
            <wp:effectExtent l="0" t="0" r="2540" b="0"/>
            <wp:docPr id="76157190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EDD4D" w14:textId="77777777" w:rsidR="00F7494D" w:rsidRPr="00F92ADB" w:rsidRDefault="00F7494D" w:rsidP="00F749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11. Overall differential genes between Myeloid in RCRC and LCRC, along with the enrichment results for these genes.</w:t>
      </w:r>
    </w:p>
    <w:p w14:paraId="2623280C" w14:textId="14B68BC1" w:rsidR="00D41FB1" w:rsidRPr="00F92ADB" w:rsidRDefault="001023DD" w:rsidP="00D41FB1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4E00E59D" wp14:editId="16C53FBD">
            <wp:extent cx="5274310" cy="3007360"/>
            <wp:effectExtent l="0" t="0" r="2540" b="2540"/>
            <wp:docPr id="189971196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92081" w14:textId="77777777" w:rsidR="00B80127" w:rsidRPr="00F92ADB" w:rsidRDefault="00B80127" w:rsidP="00B80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12. Differences in fibroblasts between RCRC and LCRC.</w:t>
      </w:r>
    </w:p>
    <w:p w14:paraId="20F5CFCF" w14:textId="13A00910" w:rsidR="003013F7" w:rsidRPr="00F92ADB" w:rsidRDefault="005D4FAE" w:rsidP="003013F7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1B0F10EA" wp14:editId="03BD63F3">
            <wp:extent cx="5274310" cy="2807335"/>
            <wp:effectExtent l="0" t="0" r="2540" b="0"/>
            <wp:docPr id="57526858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7D0FE" w14:textId="77777777" w:rsidR="005E23A8" w:rsidRPr="00F92ADB" w:rsidRDefault="005E23A8" w:rsidP="005E23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13. Differences in B cells between RCRC and LCRC.</w:t>
      </w:r>
    </w:p>
    <w:p w14:paraId="1DD90EA7" w14:textId="5EC0102F" w:rsidR="000C1A0B" w:rsidRPr="00F92ADB" w:rsidRDefault="00954B0B" w:rsidP="000C1A0B">
      <w:pPr>
        <w:spacing w:line="360" w:lineRule="auto"/>
      </w:pPr>
      <w:r w:rsidRPr="00F92ADB">
        <w:rPr>
          <w:noProof/>
          <w:lang w:val="en-IN" w:eastAsia="en-IN"/>
        </w:rPr>
        <w:drawing>
          <wp:inline distT="0" distB="0" distL="0" distR="0" wp14:anchorId="72D85587" wp14:editId="15673D28">
            <wp:extent cx="5274310" cy="3943350"/>
            <wp:effectExtent l="0" t="0" r="2540" b="0"/>
            <wp:docPr id="192276235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BD9B6" w14:textId="77777777" w:rsidR="00E663F6" w:rsidRPr="00F92ADB" w:rsidRDefault="00E663F6" w:rsidP="00E663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ADB">
        <w:rPr>
          <w:rFonts w:ascii="Times New Roman" w:hAnsi="Times New Roman" w:cs="Times New Roman" w:hint="eastAsia"/>
          <w:sz w:val="24"/>
          <w:szCs w:val="24"/>
        </w:rPr>
        <w:t>Supplementary Figure 14. Differences in endothelial cells between RCRC and LCRC.</w:t>
      </w:r>
    </w:p>
    <w:p w14:paraId="6B0D32C7" w14:textId="77777777" w:rsidR="00637AC7" w:rsidRPr="00F92ADB" w:rsidRDefault="00637AC7" w:rsidP="00BA7772">
      <w:pPr>
        <w:spacing w:line="360" w:lineRule="auto"/>
      </w:pPr>
    </w:p>
    <w:sectPr w:rsidR="00637AC7" w:rsidRPr="00F92ADB" w:rsidSect="00F92A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FCC88" w14:textId="77777777" w:rsidR="00A95560" w:rsidRDefault="00A95560" w:rsidP="006F6223">
      <w:r>
        <w:separator/>
      </w:r>
    </w:p>
  </w:endnote>
  <w:endnote w:type="continuationSeparator" w:id="0">
    <w:p w14:paraId="6C15A39E" w14:textId="77777777" w:rsidR="00A95560" w:rsidRDefault="00A95560" w:rsidP="006F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314A7" w14:textId="77777777" w:rsidR="00A95560" w:rsidRDefault="00A95560" w:rsidP="006F6223">
      <w:r>
        <w:separator/>
      </w:r>
    </w:p>
  </w:footnote>
  <w:footnote w:type="continuationSeparator" w:id="0">
    <w:p w14:paraId="545E2BE8" w14:textId="77777777" w:rsidR="00A95560" w:rsidRDefault="00A95560" w:rsidP="006F6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A64"/>
    <w:rsid w:val="0002044B"/>
    <w:rsid w:val="00034D3D"/>
    <w:rsid w:val="0004780B"/>
    <w:rsid w:val="000908A3"/>
    <w:rsid w:val="000920C9"/>
    <w:rsid w:val="000C1A0B"/>
    <w:rsid w:val="000C2933"/>
    <w:rsid w:val="000D2CEA"/>
    <w:rsid w:val="001023DD"/>
    <w:rsid w:val="00166325"/>
    <w:rsid w:val="001D2492"/>
    <w:rsid w:val="001F4D85"/>
    <w:rsid w:val="00203442"/>
    <w:rsid w:val="00213973"/>
    <w:rsid w:val="002331FC"/>
    <w:rsid w:val="00251330"/>
    <w:rsid w:val="002C00F7"/>
    <w:rsid w:val="002D43DD"/>
    <w:rsid w:val="003013F7"/>
    <w:rsid w:val="00327754"/>
    <w:rsid w:val="003A1444"/>
    <w:rsid w:val="003C10F7"/>
    <w:rsid w:val="003D53A2"/>
    <w:rsid w:val="003D62E9"/>
    <w:rsid w:val="004138A3"/>
    <w:rsid w:val="00425C78"/>
    <w:rsid w:val="00427CEA"/>
    <w:rsid w:val="00451B7E"/>
    <w:rsid w:val="00477E49"/>
    <w:rsid w:val="00482E7F"/>
    <w:rsid w:val="004F35D5"/>
    <w:rsid w:val="004F56D9"/>
    <w:rsid w:val="00500193"/>
    <w:rsid w:val="005B1D8F"/>
    <w:rsid w:val="005D2AC7"/>
    <w:rsid w:val="005D4FAE"/>
    <w:rsid w:val="005E23A8"/>
    <w:rsid w:val="00637AC7"/>
    <w:rsid w:val="00650CB2"/>
    <w:rsid w:val="006716B3"/>
    <w:rsid w:val="006F6223"/>
    <w:rsid w:val="00710668"/>
    <w:rsid w:val="00766659"/>
    <w:rsid w:val="0077024D"/>
    <w:rsid w:val="00810BC2"/>
    <w:rsid w:val="00814DC4"/>
    <w:rsid w:val="0083295A"/>
    <w:rsid w:val="00847595"/>
    <w:rsid w:val="00882A6F"/>
    <w:rsid w:val="008A26A1"/>
    <w:rsid w:val="008C7007"/>
    <w:rsid w:val="008F22F4"/>
    <w:rsid w:val="009472F1"/>
    <w:rsid w:val="00952625"/>
    <w:rsid w:val="00954B0B"/>
    <w:rsid w:val="00986912"/>
    <w:rsid w:val="009A48AA"/>
    <w:rsid w:val="009B4A1D"/>
    <w:rsid w:val="009F0751"/>
    <w:rsid w:val="00A471E3"/>
    <w:rsid w:val="00A61472"/>
    <w:rsid w:val="00A61A68"/>
    <w:rsid w:val="00A7455D"/>
    <w:rsid w:val="00A95560"/>
    <w:rsid w:val="00A959CA"/>
    <w:rsid w:val="00B06EFE"/>
    <w:rsid w:val="00B142C4"/>
    <w:rsid w:val="00B3471B"/>
    <w:rsid w:val="00B80127"/>
    <w:rsid w:val="00BA7772"/>
    <w:rsid w:val="00BF7786"/>
    <w:rsid w:val="00C025F2"/>
    <w:rsid w:val="00C07EE9"/>
    <w:rsid w:val="00C54032"/>
    <w:rsid w:val="00C66532"/>
    <w:rsid w:val="00CF7F09"/>
    <w:rsid w:val="00D41FB1"/>
    <w:rsid w:val="00D54955"/>
    <w:rsid w:val="00D86432"/>
    <w:rsid w:val="00DA1CD0"/>
    <w:rsid w:val="00E01852"/>
    <w:rsid w:val="00E059A8"/>
    <w:rsid w:val="00E063D4"/>
    <w:rsid w:val="00E35985"/>
    <w:rsid w:val="00E65A64"/>
    <w:rsid w:val="00E663F6"/>
    <w:rsid w:val="00E81B23"/>
    <w:rsid w:val="00F7494D"/>
    <w:rsid w:val="00F85B1D"/>
    <w:rsid w:val="00F87536"/>
    <w:rsid w:val="00F92ADB"/>
    <w:rsid w:val="00F965AA"/>
    <w:rsid w:val="00FD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5482DA"/>
  <w14:defaultImageDpi w14:val="32767"/>
  <w15:chartTrackingRefBased/>
  <w15:docId w15:val="{04772B96-D987-43E7-9B7E-095C9FD6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2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F62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F62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F62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1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7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49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2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0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3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38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5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8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1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5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37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219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zcz</dc:creator>
  <cp:keywords/>
  <dc:description/>
  <cp:lastModifiedBy>Revathi   Thangaraj</cp:lastModifiedBy>
  <cp:revision>90</cp:revision>
  <dcterms:created xsi:type="dcterms:W3CDTF">2024-11-04T12:49:00Z</dcterms:created>
  <dcterms:modified xsi:type="dcterms:W3CDTF">2026-03-07T10:31:00Z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78905e7b9f65d31abbbd79b56c0c30f471cf603062cdb1b502a456da154e9054</vt:lpwstr>
  </property>
</Properties>
</file>