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93286">
      <w:pPr>
        <w:rPr>
          <w:rFonts w:hint="default" w:ascii="Arial" w:hAnsi="Arial" w:cs="Arial"/>
          <w:b/>
          <w:bCs/>
          <w:sz w:val="24"/>
          <w:szCs w:val="24"/>
        </w:rPr>
      </w:pPr>
      <w:r>
        <w:rPr>
          <w:rFonts w:hint="default" w:ascii="Arial" w:hAnsi="Arial" w:cs="Arial"/>
          <w:b/>
          <w:bCs/>
          <w:sz w:val="24"/>
          <w:szCs w:val="24"/>
        </w:rPr>
        <w:t>Risk of Bias assessment</w:t>
      </w:r>
    </w:p>
    <w:p w14:paraId="0A4D0C76">
      <w:pPr>
        <w:rPr>
          <w:rFonts w:hint="default" w:ascii="Arial" w:hAnsi="Arial" w:cs="Arial"/>
          <w:sz w:val="24"/>
          <w:szCs w:val="24"/>
        </w:rPr>
      </w:pPr>
      <w:r>
        <w:rPr>
          <w:rFonts w:hint="default" w:ascii="Arial" w:hAnsi="Arial" w:cs="Arial"/>
          <w:sz w:val="24"/>
          <w:szCs w:val="24"/>
        </w:rPr>
        <w:t xml:space="preserve">The results of the SYRCLE’s risk of bias assessment are presented in Table </w:t>
      </w:r>
      <w:r>
        <w:rPr>
          <w:rFonts w:hint="eastAsia" w:ascii="Arial" w:hAnsi="Arial" w:eastAsia="宋体" w:cs="Arial"/>
          <w:sz w:val="24"/>
          <w:szCs w:val="24"/>
          <w:lang w:val="en-US" w:eastAsia="zh-CN"/>
        </w:rPr>
        <w:t>4</w:t>
      </w:r>
      <w:r>
        <w:rPr>
          <w:rFonts w:hint="default" w:ascii="Arial" w:hAnsi="Arial" w:cs="Arial"/>
          <w:sz w:val="24"/>
          <w:szCs w:val="24"/>
        </w:rPr>
        <w:t xml:space="preserve">, and Tables </w:t>
      </w:r>
      <w:r>
        <w:rPr>
          <w:rFonts w:hint="eastAsia" w:ascii="Arial" w:hAnsi="Arial" w:eastAsia="宋体" w:cs="Arial"/>
          <w:sz w:val="24"/>
          <w:szCs w:val="24"/>
          <w:lang w:val="en-US" w:eastAsia="zh-CN"/>
        </w:rPr>
        <w:t>5</w:t>
      </w:r>
      <w:r>
        <w:rPr>
          <w:rFonts w:hint="default" w:ascii="Arial" w:hAnsi="Arial" w:cs="Arial"/>
          <w:sz w:val="24"/>
          <w:szCs w:val="24"/>
        </w:rPr>
        <w:t xml:space="preserve"> summarizing the analyses of the in vitro and in vivo sections, respectively. Although some of the questions were not answered in certain studies, these studies were not excluded from the systematic review. Their limitations have been highlighted and discussed in the Discussion section.</w:t>
      </w:r>
    </w:p>
    <w:p w14:paraId="6C4FD066">
      <w:pPr>
        <w:rPr>
          <w:rFonts w:hint="default" w:ascii="Arial" w:hAnsi="Arial" w:cs="Arial"/>
          <w:sz w:val="24"/>
          <w:szCs w:val="24"/>
        </w:rPr>
      </w:pPr>
    </w:p>
    <w:p w14:paraId="613B891A">
      <w:pPr>
        <w:rPr>
          <w:rFonts w:hint="default" w:ascii="Arial" w:hAnsi="Arial" w:cs="Arial"/>
          <w:sz w:val="24"/>
          <w:szCs w:val="24"/>
        </w:rPr>
      </w:pPr>
    </w:p>
    <w:p w14:paraId="78DF90C5">
      <w:pPr>
        <w:rPr>
          <w:rFonts w:hint="default" w:ascii="Arial" w:hAnsi="Arial" w:cs="Arial"/>
          <w:sz w:val="24"/>
          <w:szCs w:val="24"/>
        </w:rPr>
      </w:pPr>
      <w:r>
        <w:rPr>
          <w:rFonts w:hint="default" w:ascii="Arial" w:hAnsi="Arial" w:cs="Arial"/>
          <w:sz w:val="24"/>
          <w:szCs w:val="24"/>
        </w:rPr>
        <w:t xml:space="preserve">Table </w:t>
      </w:r>
      <w:r>
        <w:rPr>
          <w:rFonts w:hint="eastAsia" w:ascii="Arial" w:hAnsi="Arial" w:eastAsia="宋体" w:cs="Arial"/>
          <w:sz w:val="24"/>
          <w:szCs w:val="24"/>
          <w:lang w:val="en-US" w:eastAsia="zh-CN"/>
        </w:rPr>
        <w:t>4-</w:t>
      </w:r>
      <w:r>
        <w:rPr>
          <w:rFonts w:hint="default" w:ascii="Arial" w:hAnsi="Arial" w:cs="Arial"/>
          <w:sz w:val="24"/>
          <w:szCs w:val="24"/>
        </w:rPr>
        <w:t>Results of risk of bias assessment of in vitro section of included study.</w:t>
      </w:r>
      <w:bookmarkStart w:id="0" w:name="_GoBack"/>
      <w:bookmarkEnd w:id="0"/>
    </w:p>
    <w:tbl>
      <w:tblPr>
        <w:tblStyle w:val="5"/>
        <w:tblpPr w:leftFromText="180" w:rightFromText="180" w:vertAnchor="page" w:horzAnchor="margin" w:tblpY="1163"/>
        <w:tblW w:w="10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3"/>
        <w:gridCol w:w="693"/>
        <w:gridCol w:w="694"/>
        <w:gridCol w:w="703"/>
        <w:gridCol w:w="718"/>
        <w:gridCol w:w="718"/>
        <w:gridCol w:w="718"/>
        <w:gridCol w:w="670"/>
        <w:gridCol w:w="625"/>
        <w:gridCol w:w="620"/>
        <w:gridCol w:w="864"/>
        <w:gridCol w:w="1124"/>
      </w:tblGrid>
      <w:tr w14:paraId="6820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22F9A32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Article</w:t>
            </w:r>
          </w:p>
        </w:tc>
        <w:tc>
          <w:tcPr>
            <w:tcW w:w="700" w:type="dxa"/>
          </w:tcPr>
          <w:p w14:paraId="5DF4B1C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1</w:t>
            </w:r>
          </w:p>
        </w:tc>
        <w:tc>
          <w:tcPr>
            <w:tcW w:w="701" w:type="dxa"/>
          </w:tcPr>
          <w:p w14:paraId="0F5542B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2</w:t>
            </w:r>
          </w:p>
        </w:tc>
        <w:tc>
          <w:tcPr>
            <w:tcW w:w="710" w:type="dxa"/>
          </w:tcPr>
          <w:p w14:paraId="54ED200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3</w:t>
            </w:r>
          </w:p>
        </w:tc>
        <w:tc>
          <w:tcPr>
            <w:tcW w:w="726" w:type="dxa"/>
          </w:tcPr>
          <w:p w14:paraId="27F2733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4</w:t>
            </w:r>
          </w:p>
        </w:tc>
        <w:tc>
          <w:tcPr>
            <w:tcW w:w="726" w:type="dxa"/>
          </w:tcPr>
          <w:p w14:paraId="1B3A506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5</w:t>
            </w:r>
          </w:p>
        </w:tc>
        <w:tc>
          <w:tcPr>
            <w:tcW w:w="726" w:type="dxa"/>
          </w:tcPr>
          <w:p w14:paraId="272A85D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6</w:t>
            </w:r>
          </w:p>
        </w:tc>
        <w:tc>
          <w:tcPr>
            <w:tcW w:w="674" w:type="dxa"/>
          </w:tcPr>
          <w:p w14:paraId="255C379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7</w:t>
            </w:r>
          </w:p>
        </w:tc>
        <w:tc>
          <w:tcPr>
            <w:tcW w:w="644" w:type="dxa"/>
          </w:tcPr>
          <w:p w14:paraId="5DCE143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8</w:t>
            </w:r>
          </w:p>
        </w:tc>
        <w:tc>
          <w:tcPr>
            <w:tcW w:w="639" w:type="dxa"/>
          </w:tcPr>
          <w:p w14:paraId="45EB6DA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9</w:t>
            </w:r>
          </w:p>
        </w:tc>
        <w:tc>
          <w:tcPr>
            <w:tcW w:w="895" w:type="dxa"/>
          </w:tcPr>
          <w:p w14:paraId="73DBA04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10</w:t>
            </w:r>
          </w:p>
        </w:tc>
        <w:tc>
          <w:tcPr>
            <w:tcW w:w="989" w:type="dxa"/>
          </w:tcPr>
          <w:p w14:paraId="4BA0852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 xml:space="preserve">Overall </w:t>
            </w:r>
          </w:p>
        </w:tc>
      </w:tr>
      <w:tr w14:paraId="14BF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01EC484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Tong Liu et al. (2021)</w:t>
            </w:r>
          </w:p>
          <w:p w14:paraId="353DA8D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ISSN":"2041-4889","author":[{"dropping-particle":"","family":"Egea","given":"Virginia","non-dropping-particle":"","parse-names":false,"suffix":""},{"dropping-particle":"","family":"Kessenbrock","given":"Kai","non-dropping-particle":"","parse-names":false,"suffix":""},{"dropping-particle":"","family":"Lawson","given":"Devon","non-dropping-particle":"","parse-names":false,"suffix":""},{"dropping-particle":"","family":"Bartelt","given":"Alexander","non-dropping-particle":"","parse-names":false,"suffix":""},{"dropping-particle":"","family":"Weber","given":"Christian","non-dropping-particle":"","parse-names":false,"suffix":""},{"dropping-particle":"","family":"Ries","given":"Christian","non-dropping-particle":"","parse-names":false,"suffix":""}],"container-title":"Cell death &amp; disease","id":"ITEM-1","issue":"6","issued":{"date-parts":[["2021"]]},"page":"516","publisher":"Nature Publishing Group UK London","title":"Let-7f miRNA regulates SDF-1α-and hypoxia-promoted migration of mesenchymal stem cells and attenuates mammary tumor growth upon exosomal release","type":"article-journal","volume":"12"},"uris":["http://www.mendeley.com/documents/?uuid=e90ec711-46ac-4a81-8245-80fed8c6c0f7"]}],"mendeley":{"formattedCitation":"(36)","plainTextFormattedCitation":"(36)","previouslyFormattedCitation":"(36)"},"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106</w:t>
            </w:r>
            <w:r>
              <w:rPr>
                <w:rFonts w:hint="default" w:ascii="Arial" w:hAnsi="Arial" w:cs="Arial"/>
                <w:sz w:val="24"/>
                <w:szCs w:val="24"/>
              </w:rPr>
              <w:t>)</w:t>
            </w:r>
            <w:r>
              <w:rPr>
                <w:rFonts w:hint="default" w:ascii="Arial" w:hAnsi="Arial" w:cs="Arial"/>
                <w:sz w:val="24"/>
                <w:szCs w:val="24"/>
              </w:rPr>
              <w:fldChar w:fldCharType="end"/>
            </w:r>
          </w:p>
        </w:tc>
        <w:tc>
          <w:tcPr>
            <w:tcW w:w="700" w:type="dxa"/>
          </w:tcPr>
          <w:p w14:paraId="19826D7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1" w:type="dxa"/>
          </w:tcPr>
          <w:p w14:paraId="3BAE144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710" w:type="dxa"/>
          </w:tcPr>
          <w:p w14:paraId="204D659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543E9A8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00BC37D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4FB70F6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tcPr>
          <w:p w14:paraId="3CD74D5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44" w:type="dxa"/>
          </w:tcPr>
          <w:p w14:paraId="2ABE12B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39" w:type="dxa"/>
          </w:tcPr>
          <w:p w14:paraId="58E1AF3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tcPr>
          <w:p w14:paraId="650C4AB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tcPr>
          <w:p w14:paraId="239B37F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090C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5535081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Chun Jin et al. (2024)</w:t>
            </w:r>
          </w:p>
          <w:p w14:paraId="0E16326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ISSN":"1479-5876","author":[{"dropping-particle":"","family":"Wang","given":"Meng","non-dropping-particle":"","parse-names":false,"suffix":""},{"dropping-particle":"","family":"Zheng","given":"Yi","non-dropping-particle":"","parse-names":false,"suffix":""},{"dropping-particle":"","family":"Hao","given":"Qian","non-dropping-particle":"","parse-names":false,"suffix":""},{"dropping-particle":"","family":"Mao","given":"Guochao","non-dropping-particle":"","parse-names":false,"suffix":""},{"dropping-particle":"","family":"Dai","given":"Zhijun","non-dropping-particle":"","parse-names":false,"suffix":""},{"dropping-particle":"","family":"Zhai","given":"Zhen","non-dropping-particle":"","parse-names":false,"suffix":""},{"dropping-particle":"","family":"Lin","given":"Shuai","non-dropping-particle":"","parse-names":false,"suffix":""},{"dropping-particle":"","family":"Liang","given":"Baobao","non-dropping-particle":"","parse-names":false,"suffix":""},{"dropping-particle":"","family":"Kang","given":"Huafeng","non-dropping-particle":"","parse-names":false,"suffix":""},{"dropping-particle":"","family":"Ma","given":"Xiaobin","non-dropping-particle":"","parse-names":false,"suffix":""}],"container-title":"Journal of Translational Medicine","id":"ITEM-1","issue":"1","issued":{"date-parts":[["2025"]]},"page":"39","publisher":"Springer","title":"Hypoxic BMSC-derived exosomal miR-210-3p promotes progression of triple-negative breast cancer cells via NFIX-Wnt/β-catenin signaling axis","type":"article-journal","volume":"23"},"uris":["http://www.mendeley.com/documents/?uuid=eea3d69a-e5d2-4436-8288-f9cd682b5887"]}],"mendeley":{"formattedCitation":"(37)","plainTextFormattedCitation":"(37)","previouslyFormattedCitation":"(37)"},"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125</w:t>
            </w:r>
            <w:r>
              <w:rPr>
                <w:rFonts w:hint="default" w:ascii="Arial" w:hAnsi="Arial" w:cs="Arial"/>
                <w:sz w:val="24"/>
                <w:szCs w:val="24"/>
              </w:rPr>
              <w:t>)</w:t>
            </w:r>
            <w:r>
              <w:rPr>
                <w:rFonts w:hint="default" w:ascii="Arial" w:hAnsi="Arial" w:cs="Arial"/>
                <w:sz w:val="24"/>
                <w:szCs w:val="24"/>
              </w:rPr>
              <w:fldChar w:fldCharType="end"/>
            </w:r>
          </w:p>
        </w:tc>
        <w:tc>
          <w:tcPr>
            <w:tcW w:w="700" w:type="dxa"/>
          </w:tcPr>
          <w:p w14:paraId="04988F9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rtl/>
                <w:lang w:val="en-US" w:eastAsia="zh-CN" w:bidi="fa-IR"/>
              </w:rPr>
            </w:pPr>
            <w:r>
              <w:rPr>
                <w:rFonts w:hint="default" w:ascii="Arial" w:hAnsi="Arial" w:eastAsia="宋体" w:cs="Arial"/>
                <w:sz w:val="24"/>
                <w:szCs w:val="24"/>
                <w:rtl w:val="0"/>
                <w:lang w:val="en-US" w:eastAsia="zh-CN" w:bidi="fa-IR"/>
              </w:rPr>
              <w:t>U</w:t>
            </w:r>
          </w:p>
        </w:tc>
        <w:tc>
          <w:tcPr>
            <w:tcW w:w="701" w:type="dxa"/>
          </w:tcPr>
          <w:p w14:paraId="6BC90BC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710" w:type="dxa"/>
          </w:tcPr>
          <w:p w14:paraId="1AD5205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7D47789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39EAD6E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26" w:type="dxa"/>
          </w:tcPr>
          <w:p w14:paraId="014455C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tcPr>
          <w:p w14:paraId="359BB40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44" w:type="dxa"/>
          </w:tcPr>
          <w:p w14:paraId="3155FFE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39" w:type="dxa"/>
          </w:tcPr>
          <w:p w14:paraId="4B472F4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895" w:type="dxa"/>
          </w:tcPr>
          <w:p w14:paraId="04EDF2B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tcPr>
          <w:p w14:paraId="37851F3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2946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910" w:type="dxa"/>
          </w:tcPr>
          <w:p w14:paraId="53DE3DB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 xml:space="preserve">Song </w:t>
            </w:r>
            <w:r>
              <w:rPr>
                <w:rFonts w:hint="default" w:ascii="Arial" w:hAnsi="Arial" w:cs="Arial"/>
                <w:sz w:val="24"/>
                <w:szCs w:val="24"/>
              </w:rPr>
              <w:t xml:space="preserve">Li et al. </w:t>
            </w:r>
            <w:r>
              <w:rPr>
                <w:rFonts w:hint="default" w:ascii="Arial" w:hAnsi="Arial" w:eastAsia="宋体" w:cs="Arial"/>
                <w:sz w:val="24"/>
                <w:szCs w:val="24"/>
                <w:lang w:val="en-US" w:eastAsia="zh-CN"/>
              </w:rPr>
              <w:t>(</w:t>
            </w:r>
            <w:r>
              <w:rPr>
                <w:rFonts w:hint="default" w:ascii="Arial" w:hAnsi="Arial" w:cs="Arial"/>
                <w:sz w:val="24"/>
                <w:szCs w:val="24"/>
              </w:rPr>
              <w:t>2025</w:t>
            </w:r>
            <w:r>
              <w:rPr>
                <w:rFonts w:hint="default" w:ascii="Arial" w:hAnsi="Arial" w:eastAsia="宋体" w:cs="Arial"/>
                <w:sz w:val="24"/>
                <w:szCs w:val="24"/>
                <w:lang w:val="en-US" w:eastAsia="zh-CN"/>
              </w:rPr>
              <w:t>)</w:t>
            </w:r>
          </w:p>
          <w:p w14:paraId="328BB83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ISSN":"1582-1838","author":[{"dropping-particle":"","family":"Liu","given":"Xi","non-dropping-particle":"","parse-names":false,"suffix":""},{"dropping-particle":"","family":"Jiang","given":"Feng","non-dropping-particle":"","parse-names":false,"suffix":""},{"dropping-particle":"","family":"Wang","given":"Zhilinag","non-dropping-particle":"","parse-names":false,"suffix":""},{"dropping-particle":"","family":"Tang","given":"Lang","non-dropping-particle":"","parse-names":false,"suffix":""},{"dropping-particle":"","family":"Zou","given":"Bin","non-dropping-particle":"","parse-names":false,"suffix":""},{"dropping-particle":"","family":"Xu","given":"Pengfei","non-dropping-particle":"","parse-names":false,"suffix":""},{"dropping-particle":"","family":"Yu","given":"Tenghua","non-dropping-particle":"","parse-names":false,"suffix":""}],"container-title":"Journal of cellular and molecular medicine","id":"ITEM-1","issue":"1","issued":{"date-parts":[["2021"]]},"page":"96-109","publisher":"Wiley Online Library","title":"Hypoxic bone marrow mesenchymal cell‐extracellular vesicles containing miR‐328‐3p promote lung cancer progression via the NF2‐mediated Hippo axis","type":"article-journal","volume":"25"},"uris":["http://www.mendeley.com/documents/?uuid=ce1def51-dc2e-4257-8e3e-e3e7063b99b7"]}],"mendeley":{"formattedCitation":"(38)","plainTextFormattedCitation":"(38)","previouslyFormattedCitation":"(38)"},"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107</w:t>
            </w:r>
            <w:r>
              <w:rPr>
                <w:rFonts w:hint="default" w:ascii="Arial" w:hAnsi="Arial" w:cs="Arial"/>
                <w:sz w:val="24"/>
                <w:szCs w:val="24"/>
              </w:rPr>
              <w:t>)</w:t>
            </w:r>
            <w:r>
              <w:rPr>
                <w:rFonts w:hint="default" w:ascii="Arial" w:hAnsi="Arial" w:cs="Arial"/>
                <w:sz w:val="24"/>
                <w:szCs w:val="24"/>
              </w:rPr>
              <w:fldChar w:fldCharType="end"/>
            </w:r>
          </w:p>
        </w:tc>
        <w:tc>
          <w:tcPr>
            <w:tcW w:w="700" w:type="dxa"/>
          </w:tcPr>
          <w:p w14:paraId="3525CEF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01" w:type="dxa"/>
          </w:tcPr>
          <w:p w14:paraId="0681EF8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710" w:type="dxa"/>
          </w:tcPr>
          <w:p w14:paraId="41CE524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23363D0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72D06FA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4158AE1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tcPr>
          <w:p w14:paraId="021B806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44" w:type="dxa"/>
          </w:tcPr>
          <w:p w14:paraId="74198CF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39" w:type="dxa"/>
          </w:tcPr>
          <w:p w14:paraId="1340C2C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tcPr>
          <w:p w14:paraId="367C68B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tcPr>
          <w:p w14:paraId="5DC9FEF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38BB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6017907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Bougras-Cartron et al.</w:t>
            </w:r>
          </w:p>
          <w:p w14:paraId="0BC5EA8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default" w:ascii="Arial" w:hAnsi="Arial" w:cs="Arial"/>
                <w:sz w:val="24"/>
                <w:szCs w:val="24"/>
              </w:rPr>
              <w:t>2023</w:t>
            </w:r>
            <w:r>
              <w:rPr>
                <w:rFonts w:hint="default" w:ascii="Arial" w:hAnsi="Arial" w:eastAsia="宋体" w:cs="Arial"/>
                <w:sz w:val="24"/>
                <w:szCs w:val="24"/>
                <w:lang w:val="en-US" w:eastAsia="zh-CN"/>
              </w:rPr>
              <w:t>)</w:t>
            </w:r>
          </w:p>
          <w:p w14:paraId="146D093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author":[{"dropping-particle":"","family":"Zhang","given":"Xina","non-dropping-particle":"","parse-names":false,"suffix":""},{"dropping-particle":"","family":"Sai","given":"Buqing","non-dropping-particle":"","parse-names":false,"suffix":""},{"dropping-particle":"","family":"Wang","given":"Fan","non-dropping-particle":"","parse-names":false,"suffix":""},{"dropping-particle":"","family":"Wang","given":"Lujuan","non-dropping-particle":"","parse-names":false,"suffix":""},{"dropping-particle":"","family":"Wang","given":"Yuhui","non-dropping-particle":"","parse-names":false,"suffix":""},{"dropping-particle":"","family":"Zheng","given":"Leliang","non-dropping-particle":"","parse-names":false,"suffix":""},{"dropping-particle":"","family":"Li","given":"Guiyuan","non-dropping-particle":"","parse-names":false,"suffix":""},{"dropping-particle":"","family":"Tang","given":"Jingqun","non-dropping-particle":"","parse-names":false,"suffix":""},{"dropping-particle":"","family":"Xiang","given":"Juanjuan","non-dropping-particle":"","parse-names":false,"suffix":""}],"container-title":"Molecular cancer","id":"ITEM-1","issued":{"date-parts":[["2019"]]},"page":"1-15","publisher":"Springer","title":"Hypoxic BMSC-derived exosomal miRNAs promote metastasis of lung cancer cells via STAT3-induced EMT","type":"article-journal","volume":"18"},"uris":["http://www.mendeley.com/documents/?uuid=f3547c0a-4aaf-4947-8033-5ded940a2ec2"]}],"mendeley":{"formattedCitation":"(40)","plainTextFormattedCitation":"(40)","previouslyFormattedCitation":"(40)"},"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108</w:t>
            </w:r>
            <w:r>
              <w:rPr>
                <w:rFonts w:hint="default" w:ascii="Arial" w:hAnsi="Arial" w:cs="Arial"/>
                <w:sz w:val="24"/>
                <w:szCs w:val="24"/>
              </w:rPr>
              <w:t>)</w:t>
            </w:r>
            <w:r>
              <w:rPr>
                <w:rFonts w:hint="default" w:ascii="Arial" w:hAnsi="Arial" w:cs="Arial"/>
                <w:sz w:val="24"/>
                <w:szCs w:val="24"/>
              </w:rPr>
              <w:fldChar w:fldCharType="end"/>
            </w:r>
          </w:p>
        </w:tc>
        <w:tc>
          <w:tcPr>
            <w:tcW w:w="700" w:type="dxa"/>
          </w:tcPr>
          <w:p w14:paraId="3607A02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1" w:type="dxa"/>
          </w:tcPr>
          <w:p w14:paraId="5D98E1B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710" w:type="dxa"/>
          </w:tcPr>
          <w:p w14:paraId="4D17537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12E9C1F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2CC3E4D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7230104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tcPr>
          <w:p w14:paraId="38EE839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tl/>
                <w:lang w:bidi="fa-IR"/>
              </w:rPr>
            </w:pPr>
            <w:r>
              <w:rPr>
                <w:rFonts w:hint="default" w:ascii="Arial" w:hAnsi="Arial" w:cs="Arial"/>
                <w:sz w:val="24"/>
                <w:szCs w:val="24"/>
              </w:rPr>
              <w:t>U</w:t>
            </w:r>
          </w:p>
        </w:tc>
        <w:tc>
          <w:tcPr>
            <w:tcW w:w="644" w:type="dxa"/>
          </w:tcPr>
          <w:p w14:paraId="313BDA81">
            <w:pPr>
              <w:keepNext w:val="0"/>
              <w:keepLines w:val="0"/>
              <w:pageBreakBefore w:val="0"/>
              <w:widowControl/>
              <w:kinsoku/>
              <w:wordWrap/>
              <w:overflowPunct/>
              <w:topLinePunct w:val="0"/>
              <w:autoSpaceDE/>
              <w:autoSpaceDN/>
              <w:bidi/>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39" w:type="dxa"/>
          </w:tcPr>
          <w:p w14:paraId="603A50B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895" w:type="dxa"/>
          </w:tcPr>
          <w:p w14:paraId="3838669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989" w:type="dxa"/>
          </w:tcPr>
          <w:p w14:paraId="66C5437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2DB4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2E6FF84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L. Xu et al. (2023)</w:t>
            </w:r>
          </w:p>
          <w:p w14:paraId="79927C0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tl/>
                <w:lang w:bidi="fa-IR"/>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{"citationItems":[{"id":"ITEM-1","itemData":{"ISSN":"1520-9512","author":[{"dropping-particle":"","family":"Ren","given":"Jie","non-dropping-particle":"","parse-names":false,"suffix":""}],"container-title":"Sleep and Breathing","id":"ITEM-1","issue":"4","issued":{"date-parts":[["2023"]]},"page":"1399-1409","publisher":"Springer","title":"Intermittent hypoxia BMSCs-derived exosomal miR-31-5p promotes lung adenocarcinoma development via WDR5-induced epithelial mesenchymal transition","type":"article-journal","volume":"27"},"uris":["http://www.mendeley.com/documents/?uuid=170a4350-2f02-4107-8dc3-0c90e9cf5aaf"]}],"mendeley":{"formattedCitation":"(41)","plainTextFormattedCitation":"(41)","previouslyFormattedCitation":"(41)"},"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109</w:t>
            </w:r>
            <w:r>
              <w:rPr>
                <w:rFonts w:hint="default" w:ascii="Arial" w:hAnsi="Arial" w:cs="Arial"/>
                <w:sz w:val="24"/>
                <w:szCs w:val="24"/>
              </w:rPr>
              <w:t>)</w:t>
            </w:r>
            <w:r>
              <w:rPr>
                <w:rFonts w:hint="default" w:ascii="Arial" w:hAnsi="Arial" w:cs="Arial"/>
                <w:sz w:val="24"/>
                <w:szCs w:val="24"/>
              </w:rPr>
              <w:fldChar w:fldCharType="end"/>
            </w:r>
          </w:p>
        </w:tc>
        <w:tc>
          <w:tcPr>
            <w:tcW w:w="700" w:type="dxa"/>
          </w:tcPr>
          <w:p w14:paraId="03AE009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1" w:type="dxa"/>
          </w:tcPr>
          <w:p w14:paraId="4558D90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10" w:type="dxa"/>
          </w:tcPr>
          <w:p w14:paraId="7C89A76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47E8AC9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44319B9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tcPr>
          <w:p w14:paraId="3E2A799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tcPr>
          <w:p w14:paraId="7E87AD9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bidi="fa-IR"/>
              </w:rPr>
            </w:pPr>
            <w:r>
              <w:rPr>
                <w:rFonts w:hint="default" w:ascii="Arial" w:hAnsi="Arial" w:eastAsia="宋体" w:cs="Arial"/>
                <w:sz w:val="24"/>
                <w:szCs w:val="24"/>
                <w:lang w:val="en-US" w:eastAsia="zh-CN" w:bidi="fa-IR"/>
              </w:rPr>
              <w:t>N/A</w:t>
            </w:r>
          </w:p>
        </w:tc>
        <w:tc>
          <w:tcPr>
            <w:tcW w:w="644" w:type="dxa"/>
          </w:tcPr>
          <w:p w14:paraId="361B268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39" w:type="dxa"/>
          </w:tcPr>
          <w:p w14:paraId="4AA1535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tcPr>
          <w:p w14:paraId="2A06419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989" w:type="dxa"/>
          </w:tcPr>
          <w:p w14:paraId="4D0E03C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3F02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0D453C7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Zhiqiang He et al. (2024)</w:t>
            </w:r>
          </w:p>
          <w:p w14:paraId="3653215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112</w:t>
            </w:r>
            <w:r>
              <w:rPr>
                <w:rFonts w:hint="default" w:ascii="Arial" w:hAnsi="Arial" w:eastAsia="宋体" w:cs="Arial"/>
                <w:sz w:val="24"/>
                <w:szCs w:val="24"/>
                <w:lang w:val="en-US" w:eastAsia="zh-CN"/>
              </w:rPr>
              <w:t>)</w:t>
            </w:r>
          </w:p>
        </w:tc>
        <w:tc>
          <w:tcPr>
            <w:tcW w:w="700" w:type="dxa"/>
            <w:vAlign w:val="top"/>
          </w:tcPr>
          <w:p w14:paraId="16F7885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1" w:type="dxa"/>
            <w:vAlign w:val="top"/>
          </w:tcPr>
          <w:p w14:paraId="6A9DE14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eastAsia="zh-CN"/>
              </w:rPr>
            </w:pPr>
            <w:r>
              <w:rPr>
                <w:rFonts w:hint="default" w:ascii="Arial" w:hAnsi="Arial" w:eastAsia="宋体" w:cs="Arial"/>
                <w:sz w:val="24"/>
                <w:szCs w:val="24"/>
                <w:lang w:val="en-US" w:eastAsia="zh-CN"/>
              </w:rPr>
              <w:t>Y</w:t>
            </w:r>
          </w:p>
        </w:tc>
        <w:tc>
          <w:tcPr>
            <w:tcW w:w="710" w:type="dxa"/>
            <w:vAlign w:val="top"/>
          </w:tcPr>
          <w:p w14:paraId="3E1D846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2F024EA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78E958C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3661546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4C5A3F8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bidi="fa-IR"/>
              </w:rPr>
            </w:pPr>
            <w:r>
              <w:rPr>
                <w:rFonts w:hint="default" w:ascii="Arial" w:hAnsi="Arial" w:eastAsia="宋体" w:cs="Arial"/>
                <w:sz w:val="24"/>
                <w:szCs w:val="24"/>
                <w:lang w:val="en-US" w:eastAsia="zh-CN" w:bidi="fa-IR"/>
              </w:rPr>
              <w:t>U</w:t>
            </w:r>
          </w:p>
        </w:tc>
        <w:tc>
          <w:tcPr>
            <w:tcW w:w="644" w:type="dxa"/>
            <w:vAlign w:val="top"/>
          </w:tcPr>
          <w:p w14:paraId="7DEDE96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39" w:type="dxa"/>
            <w:vAlign w:val="top"/>
          </w:tcPr>
          <w:p w14:paraId="2C7332F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2A2DB07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989" w:type="dxa"/>
            <w:vAlign w:val="top"/>
          </w:tcPr>
          <w:p w14:paraId="6B10099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19D0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10" w:type="dxa"/>
          </w:tcPr>
          <w:p w14:paraId="080D5F5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Lianyuan Tao et al. (2022)</w:t>
            </w:r>
          </w:p>
          <w:p w14:paraId="0ECC637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110</w:t>
            </w:r>
            <w:r>
              <w:rPr>
                <w:rFonts w:hint="default" w:ascii="Arial" w:hAnsi="Arial" w:eastAsia="宋体" w:cs="Arial"/>
                <w:sz w:val="24"/>
                <w:szCs w:val="24"/>
                <w:lang w:val="en-US" w:eastAsia="zh-CN"/>
              </w:rPr>
              <w:t>)</w:t>
            </w:r>
          </w:p>
        </w:tc>
        <w:tc>
          <w:tcPr>
            <w:tcW w:w="700" w:type="dxa"/>
            <w:vAlign w:val="top"/>
          </w:tcPr>
          <w:p w14:paraId="5F1E6E6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01" w:type="dxa"/>
            <w:vAlign w:val="top"/>
          </w:tcPr>
          <w:p w14:paraId="7A964B8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10" w:type="dxa"/>
            <w:vAlign w:val="top"/>
          </w:tcPr>
          <w:p w14:paraId="63DBDE0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2E33DCF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628F89C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14818EF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605E97E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bidi="fa-IR"/>
              </w:rPr>
            </w:pPr>
            <w:r>
              <w:rPr>
                <w:rFonts w:hint="default" w:ascii="Arial" w:hAnsi="Arial" w:eastAsia="宋体" w:cs="Arial"/>
                <w:sz w:val="24"/>
                <w:szCs w:val="24"/>
                <w:lang w:val="en-US" w:eastAsia="zh-CN" w:bidi="fa-IR"/>
              </w:rPr>
              <w:t>N/A</w:t>
            </w:r>
          </w:p>
        </w:tc>
        <w:tc>
          <w:tcPr>
            <w:tcW w:w="644" w:type="dxa"/>
            <w:vAlign w:val="top"/>
          </w:tcPr>
          <w:p w14:paraId="1C540A1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39" w:type="dxa"/>
            <w:vAlign w:val="top"/>
          </w:tcPr>
          <w:p w14:paraId="4DDEC17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15F85FF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26792CB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6B7B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7AAD674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 xml:space="preserve">Jiafeng Chen </w:t>
            </w:r>
            <w:r>
              <w:rPr>
                <w:rFonts w:hint="default" w:ascii="Arial" w:hAnsi="Arial" w:cs="Arial"/>
                <w:sz w:val="24"/>
                <w:szCs w:val="24"/>
              </w:rPr>
              <w:t>et al. (202</w:t>
            </w:r>
            <w:r>
              <w:rPr>
                <w:rFonts w:hint="default" w:ascii="Arial" w:hAnsi="Arial" w:eastAsia="宋体" w:cs="Arial"/>
                <w:sz w:val="24"/>
                <w:szCs w:val="24"/>
                <w:lang w:val="en-US" w:eastAsia="zh-CN"/>
              </w:rPr>
              <w:t>3</w:t>
            </w:r>
            <w:r>
              <w:rPr>
                <w:rFonts w:hint="default" w:ascii="Arial" w:hAnsi="Arial" w:cs="Arial"/>
                <w:sz w:val="24"/>
                <w:szCs w:val="24"/>
              </w:rPr>
              <w:t>)</w:t>
            </w:r>
          </w:p>
          <w:p w14:paraId="249BE48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114</w:t>
            </w:r>
            <w:r>
              <w:rPr>
                <w:rFonts w:hint="default" w:ascii="Arial" w:hAnsi="Arial" w:eastAsia="宋体" w:cs="Arial"/>
                <w:sz w:val="24"/>
                <w:szCs w:val="24"/>
                <w:lang w:val="en-US" w:eastAsia="zh-CN"/>
              </w:rPr>
              <w:t>)</w:t>
            </w:r>
          </w:p>
        </w:tc>
        <w:tc>
          <w:tcPr>
            <w:tcW w:w="700" w:type="dxa"/>
            <w:vAlign w:val="top"/>
          </w:tcPr>
          <w:p w14:paraId="78B4516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701" w:type="dxa"/>
            <w:vAlign w:val="top"/>
          </w:tcPr>
          <w:p w14:paraId="4A06E7C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10" w:type="dxa"/>
            <w:vAlign w:val="top"/>
          </w:tcPr>
          <w:p w14:paraId="3976D24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35C3D76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5371A24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26" w:type="dxa"/>
            <w:vAlign w:val="top"/>
          </w:tcPr>
          <w:p w14:paraId="1EC4169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6527913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7CF11E4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39" w:type="dxa"/>
            <w:vAlign w:val="top"/>
          </w:tcPr>
          <w:p w14:paraId="04DC37E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66367DF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526252A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386C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184229A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Yuhang Hu</w:t>
            </w:r>
            <w:r>
              <w:rPr>
                <w:rFonts w:hint="default" w:ascii="Arial" w:hAnsi="Arial" w:eastAsia="宋体" w:cs="Arial"/>
                <w:sz w:val="24"/>
                <w:szCs w:val="24"/>
                <w:lang w:val="en-US" w:eastAsia="zh-CN"/>
              </w:rPr>
              <w:t xml:space="preserve"> </w:t>
            </w:r>
            <w:r>
              <w:rPr>
                <w:rFonts w:hint="default" w:ascii="Arial" w:hAnsi="Arial" w:cs="Arial"/>
                <w:sz w:val="24"/>
                <w:szCs w:val="24"/>
              </w:rPr>
              <w:t>et al. (202</w:t>
            </w:r>
            <w:r>
              <w:rPr>
                <w:rFonts w:hint="default" w:ascii="Arial" w:hAnsi="Arial" w:eastAsia="宋体" w:cs="Arial"/>
                <w:sz w:val="24"/>
                <w:szCs w:val="24"/>
                <w:lang w:val="en-US" w:eastAsia="zh-CN"/>
              </w:rPr>
              <w:t>4</w:t>
            </w:r>
            <w:r>
              <w:rPr>
                <w:rFonts w:hint="default" w:ascii="Arial" w:hAnsi="Arial" w:cs="Arial"/>
                <w:sz w:val="24"/>
                <w:szCs w:val="24"/>
              </w:rPr>
              <w:t>)</w:t>
            </w:r>
          </w:p>
          <w:p w14:paraId="442CC50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111</w:t>
            </w:r>
            <w:r>
              <w:rPr>
                <w:rFonts w:hint="default" w:ascii="Arial" w:hAnsi="Arial" w:eastAsia="宋体" w:cs="Arial"/>
                <w:sz w:val="24"/>
                <w:szCs w:val="24"/>
                <w:lang w:val="en-US" w:eastAsia="zh-CN"/>
              </w:rPr>
              <w:t>)</w:t>
            </w:r>
          </w:p>
        </w:tc>
        <w:tc>
          <w:tcPr>
            <w:tcW w:w="700" w:type="dxa"/>
            <w:vAlign w:val="top"/>
          </w:tcPr>
          <w:p w14:paraId="41F5472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701" w:type="dxa"/>
            <w:vAlign w:val="top"/>
          </w:tcPr>
          <w:p w14:paraId="058DF75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10" w:type="dxa"/>
            <w:vAlign w:val="top"/>
          </w:tcPr>
          <w:p w14:paraId="76066B5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0DBEAE6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22731F6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726" w:type="dxa"/>
            <w:vAlign w:val="top"/>
          </w:tcPr>
          <w:p w14:paraId="0B940DB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49D0385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5E32021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39" w:type="dxa"/>
            <w:vAlign w:val="top"/>
          </w:tcPr>
          <w:p w14:paraId="1684EDD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61C5689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2B11B4F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3F19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3D78F99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Zongqiang Hu</w:t>
            </w:r>
            <w:r>
              <w:rPr>
                <w:rFonts w:hint="default" w:ascii="Arial" w:hAnsi="Arial" w:eastAsia="宋体" w:cs="Arial"/>
                <w:sz w:val="24"/>
                <w:szCs w:val="24"/>
                <w:lang w:val="en-US" w:eastAsia="zh-CN"/>
              </w:rPr>
              <w:t xml:space="preserve"> et</w:t>
            </w:r>
            <w:r>
              <w:rPr>
                <w:rFonts w:hint="default" w:ascii="Arial" w:hAnsi="Arial" w:cs="Arial"/>
                <w:sz w:val="24"/>
                <w:szCs w:val="24"/>
              </w:rPr>
              <w:t xml:space="preserve"> al. (202</w:t>
            </w:r>
            <w:r>
              <w:rPr>
                <w:rFonts w:hint="default" w:ascii="Arial" w:hAnsi="Arial" w:eastAsia="宋体" w:cs="Arial"/>
                <w:sz w:val="24"/>
                <w:szCs w:val="24"/>
                <w:lang w:val="en-US" w:eastAsia="zh-CN"/>
              </w:rPr>
              <w:t>3</w:t>
            </w:r>
            <w:r>
              <w:rPr>
                <w:rFonts w:hint="default" w:ascii="Arial" w:hAnsi="Arial" w:cs="Arial"/>
                <w:sz w:val="24"/>
                <w:szCs w:val="24"/>
              </w:rPr>
              <w:t>)</w:t>
            </w:r>
          </w:p>
          <w:p w14:paraId="2294C6D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118</w:t>
            </w:r>
            <w:r>
              <w:rPr>
                <w:rFonts w:hint="default" w:ascii="Arial" w:hAnsi="Arial" w:eastAsia="宋体" w:cs="Arial"/>
                <w:sz w:val="24"/>
                <w:szCs w:val="24"/>
                <w:lang w:val="en-US" w:eastAsia="zh-CN"/>
              </w:rPr>
              <w:t>)</w:t>
            </w:r>
          </w:p>
        </w:tc>
        <w:tc>
          <w:tcPr>
            <w:tcW w:w="700" w:type="dxa"/>
            <w:vAlign w:val="top"/>
          </w:tcPr>
          <w:p w14:paraId="24B8D2C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01" w:type="dxa"/>
            <w:vAlign w:val="top"/>
          </w:tcPr>
          <w:p w14:paraId="3A7328A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10" w:type="dxa"/>
            <w:vAlign w:val="top"/>
          </w:tcPr>
          <w:p w14:paraId="273DBAF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6F53F39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2535060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552892A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0A99285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2195A41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39" w:type="dxa"/>
            <w:vAlign w:val="top"/>
          </w:tcPr>
          <w:p w14:paraId="63870EB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895" w:type="dxa"/>
            <w:vAlign w:val="top"/>
          </w:tcPr>
          <w:p w14:paraId="5168B66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shd w:val="clear" w:color="auto" w:fill="auto"/>
            <w:vAlign w:val="top"/>
          </w:tcPr>
          <w:p w14:paraId="7EDAEBA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eastAsiaTheme="minorHAnsi"/>
                <w:kern w:val="2"/>
                <w:sz w:val="24"/>
                <w:szCs w:val="24"/>
                <w:lang w:val="en-US" w:eastAsia="en-US" w:bidi="ar-SA"/>
                <w14:ligatures w14:val="standardContextual"/>
              </w:rPr>
            </w:pPr>
            <w:r>
              <w:rPr>
                <w:rFonts w:hint="default" w:ascii="Arial" w:hAnsi="Arial" w:cs="Arial"/>
                <w:sz w:val="24"/>
                <w:szCs w:val="24"/>
              </w:rPr>
              <w:t>Included</w:t>
            </w:r>
          </w:p>
        </w:tc>
      </w:tr>
      <w:tr w14:paraId="2119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088C57A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Yanping Wei et al. (2023)</w:t>
            </w:r>
          </w:p>
          <w:p w14:paraId="6F503AE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119</w:t>
            </w:r>
            <w:r>
              <w:rPr>
                <w:rFonts w:hint="default" w:ascii="Arial" w:hAnsi="Arial" w:eastAsia="宋体" w:cs="Arial"/>
                <w:sz w:val="24"/>
                <w:szCs w:val="24"/>
                <w:lang w:val="en-US" w:eastAsia="zh-CN"/>
              </w:rPr>
              <w:t>)</w:t>
            </w:r>
          </w:p>
        </w:tc>
        <w:tc>
          <w:tcPr>
            <w:tcW w:w="700" w:type="dxa"/>
            <w:vAlign w:val="top"/>
          </w:tcPr>
          <w:p w14:paraId="3537BBC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01" w:type="dxa"/>
            <w:vAlign w:val="top"/>
          </w:tcPr>
          <w:p w14:paraId="6CE224C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710" w:type="dxa"/>
            <w:vAlign w:val="top"/>
          </w:tcPr>
          <w:p w14:paraId="2EF38BD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306A49C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0CA748D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3609C55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2E04D5D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05BD8CD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39" w:type="dxa"/>
            <w:vAlign w:val="top"/>
          </w:tcPr>
          <w:p w14:paraId="6C55D74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7300FD3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2284C25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7C44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4B6DB4A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Ao Chen et al. (2024)</w:t>
            </w:r>
          </w:p>
          <w:p w14:paraId="45DC71D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122</w:t>
            </w:r>
            <w:r>
              <w:rPr>
                <w:rFonts w:hint="default" w:ascii="Arial" w:hAnsi="Arial" w:eastAsia="宋体" w:cs="Arial"/>
                <w:sz w:val="24"/>
                <w:szCs w:val="24"/>
                <w:lang w:val="en-US" w:eastAsia="zh-CN"/>
              </w:rPr>
              <w:t>)</w:t>
            </w:r>
          </w:p>
        </w:tc>
        <w:tc>
          <w:tcPr>
            <w:tcW w:w="700" w:type="dxa"/>
            <w:vAlign w:val="top"/>
          </w:tcPr>
          <w:p w14:paraId="3FBBE36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01" w:type="dxa"/>
            <w:vAlign w:val="top"/>
          </w:tcPr>
          <w:p w14:paraId="347739E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710" w:type="dxa"/>
            <w:vAlign w:val="top"/>
          </w:tcPr>
          <w:p w14:paraId="22BDC92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2DD2944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51F79D3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26" w:type="dxa"/>
            <w:vAlign w:val="top"/>
          </w:tcPr>
          <w:p w14:paraId="0E4AC82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6C9C14D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0C70F71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639" w:type="dxa"/>
            <w:vAlign w:val="top"/>
          </w:tcPr>
          <w:p w14:paraId="08DE0C9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7BB6A9C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318D894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6081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4DFEBF2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Zhiming Wang et al. (2022)</w:t>
            </w:r>
          </w:p>
          <w:p w14:paraId="1F2F0B5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113</w:t>
            </w:r>
            <w:r>
              <w:rPr>
                <w:rFonts w:hint="default" w:ascii="Arial" w:hAnsi="Arial" w:eastAsia="宋体" w:cs="Arial"/>
                <w:sz w:val="24"/>
                <w:szCs w:val="24"/>
                <w:lang w:val="en-US" w:eastAsia="zh-CN"/>
              </w:rPr>
              <w:t>)</w:t>
            </w:r>
          </w:p>
        </w:tc>
        <w:tc>
          <w:tcPr>
            <w:tcW w:w="700" w:type="dxa"/>
            <w:vAlign w:val="top"/>
          </w:tcPr>
          <w:p w14:paraId="43F86E9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01" w:type="dxa"/>
            <w:vAlign w:val="top"/>
          </w:tcPr>
          <w:p w14:paraId="12DC5D3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710" w:type="dxa"/>
            <w:vAlign w:val="top"/>
          </w:tcPr>
          <w:p w14:paraId="4DE7112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3E229A4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7ADAA4D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26" w:type="dxa"/>
            <w:vAlign w:val="top"/>
          </w:tcPr>
          <w:p w14:paraId="041E59F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7ED205F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3059DF0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639" w:type="dxa"/>
            <w:vAlign w:val="top"/>
          </w:tcPr>
          <w:p w14:paraId="5A1A3BD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7A18DCB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12F9248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211E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10" w:type="dxa"/>
          </w:tcPr>
          <w:p w14:paraId="3A33601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Zhi Yang et al. (2024)</w:t>
            </w:r>
          </w:p>
          <w:p w14:paraId="5C353D9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(AIBG-AS1)</w:t>
            </w:r>
          </w:p>
        </w:tc>
        <w:tc>
          <w:tcPr>
            <w:tcW w:w="700" w:type="dxa"/>
            <w:vAlign w:val="top"/>
          </w:tcPr>
          <w:p w14:paraId="7CA116C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01" w:type="dxa"/>
            <w:vAlign w:val="top"/>
          </w:tcPr>
          <w:p w14:paraId="004028F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w:t>
            </w:r>
          </w:p>
        </w:tc>
        <w:tc>
          <w:tcPr>
            <w:tcW w:w="710" w:type="dxa"/>
            <w:vAlign w:val="top"/>
          </w:tcPr>
          <w:p w14:paraId="750C3FD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242C283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5AA796C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26" w:type="dxa"/>
            <w:vAlign w:val="top"/>
          </w:tcPr>
          <w:p w14:paraId="064CE28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505D0E7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719D4BB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39" w:type="dxa"/>
            <w:vAlign w:val="top"/>
          </w:tcPr>
          <w:p w14:paraId="04AC1D8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895" w:type="dxa"/>
            <w:vAlign w:val="top"/>
          </w:tcPr>
          <w:p w14:paraId="216F262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989" w:type="dxa"/>
            <w:vAlign w:val="top"/>
          </w:tcPr>
          <w:p w14:paraId="3F07671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7E0F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7EA4F80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Xiaoyang Xia &amp; Yan Liu (2025)</w:t>
            </w:r>
          </w:p>
          <w:p w14:paraId="31123DA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117</w:t>
            </w:r>
            <w:r>
              <w:rPr>
                <w:rFonts w:hint="default" w:ascii="Arial" w:hAnsi="Arial" w:eastAsia="宋体" w:cs="Arial"/>
                <w:sz w:val="24"/>
                <w:szCs w:val="24"/>
                <w:lang w:val="en-US" w:eastAsia="zh-CN"/>
              </w:rPr>
              <w:t>)</w:t>
            </w:r>
          </w:p>
        </w:tc>
        <w:tc>
          <w:tcPr>
            <w:tcW w:w="700" w:type="dxa"/>
            <w:vAlign w:val="top"/>
          </w:tcPr>
          <w:p w14:paraId="08690C7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701" w:type="dxa"/>
            <w:vAlign w:val="top"/>
          </w:tcPr>
          <w:p w14:paraId="1890B7A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710" w:type="dxa"/>
            <w:vAlign w:val="top"/>
          </w:tcPr>
          <w:p w14:paraId="008963C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53947C1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719223F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09D6801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31E99B8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5F24693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639" w:type="dxa"/>
            <w:vAlign w:val="top"/>
          </w:tcPr>
          <w:p w14:paraId="70571DE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147E74C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17D301E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677D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010AA0F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Xiaoyu Liu</w:t>
            </w:r>
            <w:r>
              <w:rPr>
                <w:rFonts w:hint="default" w:ascii="Arial" w:hAnsi="Arial" w:eastAsia="宋体" w:cs="Arial"/>
                <w:sz w:val="24"/>
                <w:szCs w:val="24"/>
                <w:lang w:val="en-US" w:eastAsia="zh-CN"/>
              </w:rPr>
              <w:t xml:space="preserve"> </w:t>
            </w:r>
            <w:r>
              <w:rPr>
                <w:rFonts w:hint="default" w:ascii="Arial" w:hAnsi="Arial" w:cs="Arial"/>
                <w:sz w:val="24"/>
                <w:szCs w:val="24"/>
              </w:rPr>
              <w:t xml:space="preserve">et al. </w:t>
            </w:r>
          </w:p>
          <w:p w14:paraId="5059E53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(2024)</w:t>
            </w:r>
          </w:p>
          <w:p w14:paraId="2BAA890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120</w:t>
            </w:r>
            <w:r>
              <w:rPr>
                <w:rFonts w:hint="default" w:ascii="Arial" w:hAnsi="Arial" w:eastAsia="宋体" w:cs="Arial"/>
                <w:sz w:val="24"/>
                <w:szCs w:val="24"/>
                <w:lang w:val="en-US" w:eastAsia="zh-CN"/>
              </w:rPr>
              <w:t>)</w:t>
            </w:r>
          </w:p>
        </w:tc>
        <w:tc>
          <w:tcPr>
            <w:tcW w:w="700" w:type="dxa"/>
            <w:vAlign w:val="top"/>
          </w:tcPr>
          <w:p w14:paraId="58497A1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01" w:type="dxa"/>
            <w:vAlign w:val="top"/>
          </w:tcPr>
          <w:p w14:paraId="593F32E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710" w:type="dxa"/>
            <w:vAlign w:val="top"/>
          </w:tcPr>
          <w:p w14:paraId="06AE089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1030777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414782E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26" w:type="dxa"/>
            <w:vAlign w:val="top"/>
          </w:tcPr>
          <w:p w14:paraId="67B5758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58457B5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3713279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639" w:type="dxa"/>
            <w:vAlign w:val="top"/>
          </w:tcPr>
          <w:p w14:paraId="6C6112E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1BF38AA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5FE29BF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66BC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63AB970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Peilong Li et al. (2023)</w:t>
            </w:r>
          </w:p>
          <w:p w14:paraId="7A2976C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121</w:t>
            </w:r>
            <w:r>
              <w:rPr>
                <w:rFonts w:hint="default" w:ascii="Arial" w:hAnsi="Arial" w:eastAsia="宋体" w:cs="Arial"/>
                <w:sz w:val="24"/>
                <w:szCs w:val="24"/>
                <w:lang w:val="en-US" w:eastAsia="zh-CN"/>
              </w:rPr>
              <w:t>)</w:t>
            </w:r>
          </w:p>
        </w:tc>
        <w:tc>
          <w:tcPr>
            <w:tcW w:w="700" w:type="dxa"/>
            <w:vAlign w:val="top"/>
          </w:tcPr>
          <w:p w14:paraId="0A34492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01" w:type="dxa"/>
            <w:vAlign w:val="top"/>
          </w:tcPr>
          <w:p w14:paraId="4CA8374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710" w:type="dxa"/>
            <w:vAlign w:val="top"/>
          </w:tcPr>
          <w:p w14:paraId="03E042A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68B8B0F3">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70FC49C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26" w:type="dxa"/>
            <w:vAlign w:val="top"/>
          </w:tcPr>
          <w:p w14:paraId="73B17C7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27C5A0A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72F75D6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639" w:type="dxa"/>
            <w:vAlign w:val="top"/>
          </w:tcPr>
          <w:p w14:paraId="68407BF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1DBB4AB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18A56FF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0CF3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73B278E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Keyi Ao</w:t>
            </w:r>
            <w:r>
              <w:rPr>
                <w:rFonts w:hint="default" w:ascii="Arial" w:hAnsi="Arial" w:eastAsia="宋体" w:cs="Arial"/>
                <w:sz w:val="24"/>
                <w:szCs w:val="24"/>
                <w:lang w:val="en-US" w:eastAsia="zh-CN"/>
              </w:rPr>
              <w:t xml:space="preserve"> </w:t>
            </w:r>
            <w:r>
              <w:rPr>
                <w:rFonts w:hint="default" w:ascii="Arial" w:hAnsi="Arial" w:cs="Arial"/>
                <w:sz w:val="24"/>
                <w:szCs w:val="24"/>
              </w:rPr>
              <w:t>et al. (202</w:t>
            </w:r>
            <w:r>
              <w:rPr>
                <w:rFonts w:hint="default" w:ascii="Arial" w:hAnsi="Arial" w:eastAsia="宋体" w:cs="Arial"/>
                <w:sz w:val="24"/>
                <w:szCs w:val="24"/>
                <w:lang w:val="en-US" w:eastAsia="zh-CN"/>
              </w:rPr>
              <w:t>4</w:t>
            </w:r>
            <w:r>
              <w:rPr>
                <w:rFonts w:hint="default" w:ascii="Arial" w:hAnsi="Arial" w:cs="Arial"/>
                <w:sz w:val="24"/>
                <w:szCs w:val="24"/>
              </w:rPr>
              <w:t>)</w:t>
            </w:r>
          </w:p>
          <w:p w14:paraId="7457A27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123</w:t>
            </w:r>
            <w:r>
              <w:rPr>
                <w:rFonts w:hint="default" w:ascii="Arial" w:hAnsi="Arial" w:eastAsia="宋体" w:cs="Arial"/>
                <w:sz w:val="24"/>
                <w:szCs w:val="24"/>
                <w:lang w:val="en-US" w:eastAsia="zh-CN"/>
              </w:rPr>
              <w:t>)</w:t>
            </w:r>
          </w:p>
        </w:tc>
        <w:tc>
          <w:tcPr>
            <w:tcW w:w="700" w:type="dxa"/>
            <w:vAlign w:val="top"/>
          </w:tcPr>
          <w:p w14:paraId="7CD219E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01" w:type="dxa"/>
            <w:vAlign w:val="top"/>
          </w:tcPr>
          <w:p w14:paraId="1BE379E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710" w:type="dxa"/>
            <w:vAlign w:val="top"/>
          </w:tcPr>
          <w:p w14:paraId="7AAB2EB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1819BF4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4913B5E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3005940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46BF56D6">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bidi="fa-IR"/>
              </w:rPr>
            </w:pPr>
            <w:r>
              <w:rPr>
                <w:rFonts w:hint="default" w:ascii="Arial" w:hAnsi="Arial" w:eastAsia="宋体" w:cs="Arial"/>
                <w:sz w:val="24"/>
                <w:szCs w:val="24"/>
                <w:lang w:val="en-US" w:eastAsia="zh-CN" w:bidi="fa-IR"/>
              </w:rPr>
              <w:t>N/A</w:t>
            </w:r>
          </w:p>
        </w:tc>
        <w:tc>
          <w:tcPr>
            <w:tcW w:w="644" w:type="dxa"/>
            <w:vAlign w:val="top"/>
          </w:tcPr>
          <w:p w14:paraId="7C360C5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39" w:type="dxa"/>
            <w:vAlign w:val="top"/>
          </w:tcPr>
          <w:p w14:paraId="412BB63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7AD4281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6BE4CE9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0A7C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tcPr>
          <w:p w14:paraId="59F43D9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Yuting Zhang, MD</w:t>
            </w:r>
            <w:r>
              <w:rPr>
                <w:rFonts w:hint="default" w:ascii="Arial" w:hAnsi="Arial" w:eastAsia="宋体" w:cs="Arial"/>
                <w:sz w:val="24"/>
                <w:szCs w:val="24"/>
                <w:lang w:val="en-US" w:eastAsia="zh-CN"/>
              </w:rPr>
              <w:t xml:space="preserve"> </w:t>
            </w:r>
            <w:r>
              <w:rPr>
                <w:rFonts w:hint="default" w:ascii="Arial" w:hAnsi="Arial" w:cs="Arial"/>
                <w:sz w:val="24"/>
                <w:szCs w:val="24"/>
              </w:rPr>
              <w:t>et al. (202</w:t>
            </w:r>
            <w:r>
              <w:rPr>
                <w:rFonts w:hint="default" w:ascii="Arial" w:hAnsi="Arial" w:eastAsia="宋体" w:cs="Arial"/>
                <w:sz w:val="24"/>
                <w:szCs w:val="24"/>
                <w:lang w:val="en-US" w:eastAsia="zh-CN"/>
              </w:rPr>
              <w:t>3</w:t>
            </w:r>
            <w:r>
              <w:rPr>
                <w:rFonts w:hint="default" w:ascii="Arial" w:hAnsi="Arial" w:cs="Arial"/>
                <w:sz w:val="24"/>
                <w:szCs w:val="24"/>
              </w:rPr>
              <w:t>)</w:t>
            </w:r>
          </w:p>
          <w:p w14:paraId="081C69C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124</w:t>
            </w:r>
            <w:r>
              <w:rPr>
                <w:rFonts w:hint="default" w:ascii="Arial" w:hAnsi="Arial" w:eastAsia="宋体" w:cs="Arial"/>
                <w:sz w:val="24"/>
                <w:szCs w:val="24"/>
                <w:lang w:val="en-US" w:eastAsia="zh-CN"/>
              </w:rPr>
              <w:t>)</w:t>
            </w:r>
          </w:p>
        </w:tc>
        <w:tc>
          <w:tcPr>
            <w:tcW w:w="700" w:type="dxa"/>
            <w:vAlign w:val="top"/>
          </w:tcPr>
          <w:p w14:paraId="78DC564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01" w:type="dxa"/>
            <w:vAlign w:val="top"/>
          </w:tcPr>
          <w:p w14:paraId="3E143B5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710" w:type="dxa"/>
            <w:vAlign w:val="top"/>
          </w:tcPr>
          <w:p w14:paraId="7ACE3F7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6FB70CFB">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1CA76F9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26" w:type="dxa"/>
            <w:vAlign w:val="top"/>
          </w:tcPr>
          <w:p w14:paraId="717A134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4E7FC4B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lang w:bidi="fa-IR"/>
              </w:rPr>
            </w:pPr>
            <w:r>
              <w:rPr>
                <w:rFonts w:hint="default" w:ascii="Arial" w:hAnsi="Arial" w:cs="Arial"/>
                <w:sz w:val="24"/>
                <w:szCs w:val="24"/>
                <w:lang w:bidi="fa-IR"/>
              </w:rPr>
              <w:t>U</w:t>
            </w:r>
          </w:p>
        </w:tc>
        <w:tc>
          <w:tcPr>
            <w:tcW w:w="644" w:type="dxa"/>
            <w:vAlign w:val="top"/>
          </w:tcPr>
          <w:p w14:paraId="716CC334">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639" w:type="dxa"/>
            <w:vAlign w:val="top"/>
          </w:tcPr>
          <w:p w14:paraId="6DD9743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4B764DD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373F342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3C82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vAlign w:val="top"/>
          </w:tcPr>
          <w:p w14:paraId="336C592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Tingting Li et al. (2023)</w:t>
            </w:r>
          </w:p>
          <w:p w14:paraId="16253AF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tl/>
                <w:lang w:bidi="fa-IR"/>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ISSN":"2041-4889","author":[{"dropping-particle":"","family":"Egea","given":"Virginia","non-dropping-particle":"","parse-names":false,"suffix":""},{"dropping-particle":"","family":"Kessenbrock","given":"Kai","non-dropping-particle":"","parse-names":false,"suffix":""},{"dropping-particle":"","family":"Lawson","given":"Devon","non-dropping-particle":"","parse-names":false,"suffix":""},{"dropping-particle":"","family":"Bartelt","given":"Alexander","non-dropping-particle":"","parse-names":false,"suffix":""},{"dropping-particle":"","family":"Weber","given":"Christian","non-dropping-particle":"","parse-names":false,"suffix":""},{"dropping-particle":"","family":"Ries","given":"Christian","non-dropping-particle":"","parse-names":false,"suffix":""}],"container-title":"Cell death &amp; disease","id":"ITEM-1","issue":"6","issued":{"date-parts":[["2021"]]},"page":"516","publisher":"Nature Publishing Group UK London","title":"Let-7f miRNA regulates SDF-1α-and hypoxia-promoted migration of mesenchymal stem cells and attenuates mammary tumor growth upon exosomal release","type":"article-journal","volume":"12"},"uris":["http://www.mendeley.com/documents/?uuid=e90ec711-46ac-4a81-8245-80fed8c6c0f7"]}],"mendeley":{"formattedCitation":"(36)","plainTextFormattedCitation":"(36)","previouslyFormattedCitation":"(36)"},"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116</w:t>
            </w:r>
            <w:r>
              <w:rPr>
                <w:rFonts w:hint="default" w:ascii="Arial" w:hAnsi="Arial" w:cs="Arial"/>
                <w:sz w:val="24"/>
                <w:szCs w:val="24"/>
              </w:rPr>
              <w:t>)</w:t>
            </w:r>
            <w:r>
              <w:rPr>
                <w:rFonts w:hint="default" w:ascii="Arial" w:hAnsi="Arial" w:cs="Arial"/>
                <w:sz w:val="24"/>
                <w:szCs w:val="24"/>
              </w:rPr>
              <w:fldChar w:fldCharType="end"/>
            </w:r>
          </w:p>
        </w:tc>
        <w:tc>
          <w:tcPr>
            <w:tcW w:w="700" w:type="dxa"/>
            <w:vAlign w:val="top"/>
          </w:tcPr>
          <w:p w14:paraId="1218377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1" w:type="dxa"/>
            <w:vAlign w:val="top"/>
          </w:tcPr>
          <w:p w14:paraId="4615A86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710" w:type="dxa"/>
            <w:vAlign w:val="top"/>
          </w:tcPr>
          <w:p w14:paraId="47E94F4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5C933FE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1807EE2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0347B7C5">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7161A82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644" w:type="dxa"/>
            <w:vAlign w:val="top"/>
          </w:tcPr>
          <w:p w14:paraId="4A7BD03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39" w:type="dxa"/>
            <w:vAlign w:val="top"/>
          </w:tcPr>
          <w:p w14:paraId="0AF05AE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895" w:type="dxa"/>
            <w:vAlign w:val="top"/>
          </w:tcPr>
          <w:p w14:paraId="41DBFFD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2FF3F171">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3B8F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10" w:type="dxa"/>
            <w:vAlign w:val="top"/>
          </w:tcPr>
          <w:p w14:paraId="79F3DFF8">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Jian Gou</w:t>
            </w:r>
            <w:r>
              <w:rPr>
                <w:rFonts w:hint="default" w:ascii="Arial" w:hAnsi="Arial" w:eastAsia="宋体" w:cs="Arial"/>
                <w:sz w:val="24"/>
                <w:szCs w:val="24"/>
                <w:lang w:val="en-US" w:eastAsia="zh-CN"/>
              </w:rPr>
              <w:t xml:space="preserve"> </w:t>
            </w:r>
            <w:r>
              <w:rPr>
                <w:rFonts w:hint="default" w:ascii="Arial" w:hAnsi="Arial" w:cs="Arial"/>
                <w:sz w:val="24"/>
                <w:szCs w:val="24"/>
              </w:rPr>
              <w:t>et al. (202</w:t>
            </w:r>
            <w:r>
              <w:rPr>
                <w:rFonts w:hint="default" w:ascii="Arial" w:hAnsi="Arial" w:eastAsia="宋体" w:cs="Arial"/>
                <w:sz w:val="24"/>
                <w:szCs w:val="24"/>
                <w:lang w:val="en-US" w:eastAsia="zh-CN"/>
              </w:rPr>
              <w:t>3</w:t>
            </w:r>
            <w:r>
              <w:rPr>
                <w:rFonts w:hint="default" w:ascii="Arial" w:hAnsi="Arial" w:cs="Arial"/>
                <w:sz w:val="24"/>
                <w:szCs w:val="24"/>
              </w:rPr>
              <w:t>)</w:t>
            </w:r>
          </w:p>
          <w:p w14:paraId="365F715F">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126</w:t>
            </w:r>
            <w:r>
              <w:rPr>
                <w:rFonts w:hint="default" w:ascii="Arial" w:hAnsi="Arial" w:eastAsia="宋体" w:cs="Arial"/>
                <w:sz w:val="24"/>
                <w:szCs w:val="24"/>
                <w:lang w:val="en-US" w:eastAsia="zh-CN"/>
              </w:rPr>
              <w:t>)</w:t>
            </w:r>
          </w:p>
        </w:tc>
        <w:tc>
          <w:tcPr>
            <w:tcW w:w="700" w:type="dxa"/>
            <w:vAlign w:val="top"/>
          </w:tcPr>
          <w:p w14:paraId="49E92CD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rtl/>
                <w:lang w:val="en-US" w:eastAsia="zh-CN" w:bidi="fa-IR"/>
              </w:rPr>
            </w:pPr>
            <w:r>
              <w:rPr>
                <w:rFonts w:hint="default" w:ascii="Arial" w:hAnsi="Arial" w:eastAsia="宋体" w:cs="Arial"/>
                <w:sz w:val="24"/>
                <w:szCs w:val="24"/>
                <w:rtl w:val="0"/>
                <w:lang w:val="en-US" w:eastAsia="zh-CN" w:bidi="fa-IR"/>
              </w:rPr>
              <w:t>U</w:t>
            </w:r>
          </w:p>
        </w:tc>
        <w:tc>
          <w:tcPr>
            <w:tcW w:w="701" w:type="dxa"/>
            <w:vAlign w:val="top"/>
          </w:tcPr>
          <w:p w14:paraId="1168FCE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710" w:type="dxa"/>
            <w:vAlign w:val="top"/>
          </w:tcPr>
          <w:p w14:paraId="03BB25DA">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3DA7E04E">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6C54EE72">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726" w:type="dxa"/>
            <w:vAlign w:val="top"/>
          </w:tcPr>
          <w:p w14:paraId="114C6AA7">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N/A</w:t>
            </w:r>
          </w:p>
        </w:tc>
        <w:tc>
          <w:tcPr>
            <w:tcW w:w="674" w:type="dxa"/>
            <w:vAlign w:val="top"/>
          </w:tcPr>
          <w:p w14:paraId="3BA4370D">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N/A</w:t>
            </w:r>
          </w:p>
        </w:tc>
        <w:tc>
          <w:tcPr>
            <w:tcW w:w="644" w:type="dxa"/>
            <w:vAlign w:val="top"/>
          </w:tcPr>
          <w:p w14:paraId="25E0B1E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39" w:type="dxa"/>
            <w:vAlign w:val="top"/>
          </w:tcPr>
          <w:p w14:paraId="3815F65C">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895" w:type="dxa"/>
            <w:vAlign w:val="top"/>
          </w:tcPr>
          <w:p w14:paraId="3D990289">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89" w:type="dxa"/>
            <w:vAlign w:val="top"/>
          </w:tcPr>
          <w:p w14:paraId="320316D0">
            <w:pPr>
              <w:keepNext w:val="0"/>
              <w:keepLines w:val="0"/>
              <w:pageBreakBefore w:val="0"/>
              <w:widowControl/>
              <w:kinsoku/>
              <w:wordWrap/>
              <w:overflowPunct/>
              <w:topLinePunct w:val="0"/>
              <w:autoSpaceDE/>
              <w:autoSpaceDN/>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bl>
    <w:p w14:paraId="1C92A126">
      <w:pPr>
        <w:rPr>
          <w:rFonts w:hint="default" w:ascii="Arial" w:hAnsi="Arial" w:cs="Arial"/>
          <w:sz w:val="24"/>
          <w:szCs w:val="24"/>
        </w:rPr>
      </w:pPr>
      <w:r>
        <w:rPr>
          <w:rFonts w:hint="default" w:ascii="Arial" w:hAnsi="Arial" w:cs="Arial"/>
          <w:sz w:val="24"/>
          <w:szCs w:val="24"/>
        </w:rPr>
        <w:t>N: No; N/A: Not applicable; U: Unclear; Y: Yes.</w:t>
      </w:r>
    </w:p>
    <w:p w14:paraId="2A3BB52D">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Was the allocation sequence adequately generated and applied? </w:t>
      </w:r>
    </w:p>
    <w:p w14:paraId="3F68EB35">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Were the groups similar at baseline or were they adjusted for confounders in the analysis?</w:t>
      </w:r>
    </w:p>
    <w:p w14:paraId="2C6360AD">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Was the allocation adequately concealed? </w:t>
      </w:r>
    </w:p>
    <w:p w14:paraId="57E6DBDE">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Were the animals randomly housed during the experiment?</w:t>
      </w:r>
    </w:p>
    <w:p w14:paraId="205BCD37">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Were the caregivers and/or investigators blinded from knowledge which intervention each animal received during the experiment?</w:t>
      </w:r>
    </w:p>
    <w:p w14:paraId="6092D110">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Were animals selected at random for outcome assessment?</w:t>
      </w:r>
    </w:p>
    <w:p w14:paraId="36A68629">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Was the outcome assessor blinded?</w:t>
      </w:r>
    </w:p>
    <w:p w14:paraId="2559F707">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Were incomplete outcome data adequately addressed? </w:t>
      </w:r>
    </w:p>
    <w:p w14:paraId="17489899">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Are reports of the study free of selective outcome reporting? </w:t>
      </w:r>
    </w:p>
    <w:p w14:paraId="5E15A290">
      <w:pPr>
        <w:pStyle w:val="8"/>
        <w:keepNext w:val="0"/>
        <w:keepLines w:val="0"/>
        <w:pageBreakBefore w:val="0"/>
        <w:widowControl/>
        <w:numPr>
          <w:ilvl w:val="0"/>
          <w:numId w:val="1"/>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tl/>
        </w:rPr>
      </w:pPr>
      <w:r>
        <w:rPr>
          <w:rFonts w:hint="default" w:ascii="Arial" w:hAnsi="Arial" w:cs="Arial"/>
          <w:sz w:val="24"/>
          <w:szCs w:val="24"/>
        </w:rPr>
        <w:t xml:space="preserve">Was the study apparently free of other problems that could result in high risk of bias? </w:t>
      </w:r>
    </w:p>
    <w:p w14:paraId="7350CF18">
      <w:pPr>
        <w:rPr>
          <w:rFonts w:hint="default" w:ascii="Arial" w:hAnsi="Arial" w:cs="Arial"/>
          <w:sz w:val="24"/>
          <w:szCs w:val="24"/>
          <w:rtl/>
        </w:rPr>
      </w:pPr>
    </w:p>
    <w:p w14:paraId="0794B686">
      <w:pPr>
        <w:rPr>
          <w:rFonts w:hint="default" w:ascii="Arial" w:hAnsi="Arial" w:cs="Arial"/>
          <w:sz w:val="24"/>
          <w:szCs w:val="24"/>
        </w:rPr>
      </w:pPr>
    </w:p>
    <w:p w14:paraId="25BB38BD">
      <w:pPr>
        <w:rPr>
          <w:rFonts w:hint="default" w:ascii="Arial" w:hAnsi="Arial" w:cs="Arial"/>
          <w:sz w:val="24"/>
          <w:szCs w:val="24"/>
          <w:rtl/>
        </w:rPr>
      </w:pPr>
      <w:r>
        <w:rPr>
          <w:rFonts w:hint="default" w:ascii="Arial" w:hAnsi="Arial" w:cs="Arial"/>
          <w:sz w:val="24"/>
          <w:szCs w:val="24"/>
        </w:rPr>
        <w:t xml:space="preserve">Table </w:t>
      </w:r>
      <w:r>
        <w:rPr>
          <w:rFonts w:hint="eastAsia" w:ascii="Arial" w:hAnsi="Arial" w:eastAsia="宋体" w:cs="Arial"/>
          <w:sz w:val="24"/>
          <w:szCs w:val="24"/>
          <w:lang w:val="en-US" w:eastAsia="zh-CN"/>
        </w:rPr>
        <w:t>5-</w:t>
      </w:r>
      <w:r>
        <w:rPr>
          <w:rFonts w:hint="default" w:ascii="Arial" w:hAnsi="Arial" w:cs="Arial"/>
          <w:sz w:val="24"/>
          <w:szCs w:val="24"/>
        </w:rPr>
        <w:t>Results of risk of bias assessment of in vivo section of included study.</w:t>
      </w:r>
    </w:p>
    <w:tbl>
      <w:tblPr>
        <w:tblStyle w:val="5"/>
        <w:tblW w:w="10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8"/>
        <w:gridCol w:w="686"/>
        <w:gridCol w:w="682"/>
        <w:gridCol w:w="696"/>
        <w:gridCol w:w="714"/>
        <w:gridCol w:w="706"/>
        <w:gridCol w:w="714"/>
        <w:gridCol w:w="688"/>
        <w:gridCol w:w="687"/>
        <w:gridCol w:w="682"/>
        <w:gridCol w:w="963"/>
        <w:gridCol w:w="1124"/>
      </w:tblGrid>
      <w:tr w14:paraId="6260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tcPr>
          <w:p w14:paraId="5A76D3C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Article</w:t>
            </w:r>
          </w:p>
        </w:tc>
        <w:tc>
          <w:tcPr>
            <w:tcW w:w="686" w:type="dxa"/>
          </w:tcPr>
          <w:p w14:paraId="1BA80B1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1</w:t>
            </w:r>
          </w:p>
        </w:tc>
        <w:tc>
          <w:tcPr>
            <w:tcW w:w="682" w:type="dxa"/>
          </w:tcPr>
          <w:p w14:paraId="18BDF38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2</w:t>
            </w:r>
          </w:p>
        </w:tc>
        <w:tc>
          <w:tcPr>
            <w:tcW w:w="696" w:type="dxa"/>
          </w:tcPr>
          <w:p w14:paraId="4A34662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3</w:t>
            </w:r>
          </w:p>
        </w:tc>
        <w:tc>
          <w:tcPr>
            <w:tcW w:w="714" w:type="dxa"/>
          </w:tcPr>
          <w:p w14:paraId="573F8D0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4</w:t>
            </w:r>
          </w:p>
        </w:tc>
        <w:tc>
          <w:tcPr>
            <w:tcW w:w="706" w:type="dxa"/>
          </w:tcPr>
          <w:p w14:paraId="3C13365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5</w:t>
            </w:r>
          </w:p>
        </w:tc>
        <w:tc>
          <w:tcPr>
            <w:tcW w:w="714" w:type="dxa"/>
          </w:tcPr>
          <w:p w14:paraId="481882C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6</w:t>
            </w:r>
          </w:p>
        </w:tc>
        <w:tc>
          <w:tcPr>
            <w:tcW w:w="688" w:type="dxa"/>
          </w:tcPr>
          <w:p w14:paraId="6F5E81C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7</w:t>
            </w:r>
          </w:p>
        </w:tc>
        <w:tc>
          <w:tcPr>
            <w:tcW w:w="687" w:type="dxa"/>
          </w:tcPr>
          <w:p w14:paraId="17A4CB6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8</w:t>
            </w:r>
          </w:p>
        </w:tc>
        <w:tc>
          <w:tcPr>
            <w:tcW w:w="682" w:type="dxa"/>
          </w:tcPr>
          <w:p w14:paraId="281C768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9</w:t>
            </w:r>
          </w:p>
        </w:tc>
        <w:tc>
          <w:tcPr>
            <w:tcW w:w="963" w:type="dxa"/>
          </w:tcPr>
          <w:p w14:paraId="66FCDF4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10</w:t>
            </w:r>
          </w:p>
        </w:tc>
        <w:tc>
          <w:tcPr>
            <w:tcW w:w="1124" w:type="dxa"/>
          </w:tcPr>
          <w:p w14:paraId="0E0EA1C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 xml:space="preserve">Overall </w:t>
            </w:r>
          </w:p>
        </w:tc>
      </w:tr>
      <w:tr w14:paraId="216D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tcPr>
          <w:p w14:paraId="1F7A8E4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Tong Liu et al. (2021)</w:t>
            </w:r>
          </w:p>
          <w:p w14:paraId="5221F5A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tl/>
                <w:lang w:bidi="fa-IR"/>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ISSN":"1479-5876","author":[{"dropping-particle":"","family":"Wang","given":"Meng","non-dropping-particle":"","parse-names":false,"suffix":""},{"dropping-particle":"","family":"Zheng","given":"Yi","non-dropping-particle":"","parse-names":false,"suffix":""},{"dropping-particle":"","family":"Hao","given":"Qian","non-dropping-particle":"","parse-names":false,"suffix":""},{"dropping-particle":"","family":"Mao","given":"Guochao","non-dropping-particle":"","parse-names":false,"suffix":""},{"dropping-particle":"","family":"Dai","given":"Zhijun","non-dropping-particle":"","parse-names":false,"suffix":""},{"dropping-particle":"","family":"Zhai","given":"Zhen","non-dropping-particle":"","parse-names":false,"suffix":""},{"dropping-particle":"","family":"Lin","given":"Shuai","non-dropping-particle":"","parse-names":false,"suffix":""},{"dropping-particle":"","family":"Liang","given":"Baobao","non-dropping-particle":"","parse-names":false,"suffix":""},{"dropping-particle":"","family":"Kang","given":"Huafeng","non-dropping-particle":"","parse-names":false,"suffix":""},{"dropping-particle":"","family":"Ma","given":"Xiaobin","non-dropping-particle":"","parse-names":false,"suffix":""}],"container-title":"Journal of Translational Medicine","id":"ITEM-1","issue":"1","issued":{"date-parts":[["2025"]]},"page":"39","publisher":"Springer","title":"Hypoxic BMSC-derived exosomal miR-210-3p promotes progression of triple-negative breast cancer cells via NFIX-Wnt/β-catenin signaling axis","type":"article-journal","volume":"23"},"uris":["http://www.mendeley.com/documents/?uuid=eea3d69a-e5d2-4436-8288-f9cd682b5887"]}],"mendeley":{"formattedCitation":"(37)","plainTextFormattedCitation":"(37)","previouslyFormattedCitation":"(37)"},"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106</w:t>
            </w:r>
            <w:r>
              <w:rPr>
                <w:rFonts w:hint="default" w:ascii="Arial" w:hAnsi="Arial" w:cs="Arial"/>
                <w:sz w:val="24"/>
                <w:szCs w:val="24"/>
              </w:rPr>
              <w:t>)</w:t>
            </w:r>
            <w:r>
              <w:rPr>
                <w:rFonts w:hint="default" w:ascii="Arial" w:hAnsi="Arial" w:cs="Arial"/>
                <w:sz w:val="24"/>
                <w:szCs w:val="24"/>
              </w:rPr>
              <w:fldChar w:fldCharType="end"/>
            </w:r>
          </w:p>
        </w:tc>
        <w:tc>
          <w:tcPr>
            <w:tcW w:w="686" w:type="dxa"/>
          </w:tcPr>
          <w:p w14:paraId="7BD97D8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rtl/>
                <w:lang w:val="en-US" w:eastAsia="zh-CN" w:bidi="fa-IR"/>
              </w:rPr>
            </w:pPr>
            <w:r>
              <w:rPr>
                <w:rFonts w:hint="default" w:ascii="Arial" w:hAnsi="Arial" w:eastAsia="宋体" w:cs="Arial"/>
                <w:sz w:val="24"/>
                <w:szCs w:val="24"/>
                <w:rtl w:val="0"/>
                <w:lang w:val="en-US" w:eastAsia="zh-CN" w:bidi="fa-IR"/>
              </w:rPr>
              <w:t>Y</w:t>
            </w:r>
          </w:p>
        </w:tc>
        <w:tc>
          <w:tcPr>
            <w:tcW w:w="682" w:type="dxa"/>
          </w:tcPr>
          <w:p w14:paraId="61B2766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tcPr>
          <w:p w14:paraId="1675CBC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tcPr>
          <w:p w14:paraId="401844A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tcPr>
          <w:p w14:paraId="7E0E719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tcPr>
          <w:p w14:paraId="0B288D2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tcPr>
          <w:p w14:paraId="2DBC5FE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tcPr>
          <w:p w14:paraId="2EB7B3A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tcPr>
          <w:p w14:paraId="5873D0E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963" w:type="dxa"/>
          </w:tcPr>
          <w:p w14:paraId="6E211EF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rtl/>
                <w:lang w:val="en-US" w:eastAsia="zh-CN" w:bidi="fa-IR"/>
              </w:rPr>
            </w:pPr>
            <w:r>
              <w:rPr>
                <w:rFonts w:hint="default" w:ascii="Arial" w:hAnsi="Arial" w:eastAsia="宋体" w:cs="Arial"/>
                <w:sz w:val="24"/>
                <w:szCs w:val="24"/>
                <w:rtl w:val="0"/>
                <w:lang w:val="en-US" w:eastAsia="zh-CN" w:bidi="fa-IR"/>
              </w:rPr>
              <w:t>Y</w:t>
            </w:r>
          </w:p>
        </w:tc>
        <w:tc>
          <w:tcPr>
            <w:tcW w:w="1124" w:type="dxa"/>
          </w:tcPr>
          <w:p w14:paraId="07AD60F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45FF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698" w:type="dxa"/>
          </w:tcPr>
          <w:p w14:paraId="71A63BF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Chun Jin et al. (2024)</w:t>
            </w:r>
          </w:p>
          <w:p w14:paraId="089E6C4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ISSN":"1582-1838","author":[{"dropping-particle":"","family":"Liu","given":"Xi","non-dropping-particle":"","parse-names":false,"suffix":""},{"dropping-particle":"","family":"Jiang","given":"Feng","non-dropping-particle":"","parse-names":false,"suffix":""},{"dropping-particle":"","family":"Wang","given":"Zhilinag","non-dropping-particle":"","parse-names":false,"suffix":""},{"dropping-particle":"","family":"Tang","given":"Lang","non-dropping-particle":"","parse-names":false,"suffix":""},{"dropping-particle":"","family":"Zou","given":"Bin","non-dropping-particle":"","parse-names":false,"suffix":""},{"dropping-particle":"","family":"Xu","given":"Pengfei","non-dropping-particle":"","parse-names":false,"suffix":""},{"dropping-particle":"","family":"Yu","given":"Tenghua","non-dropping-particle":"","parse-names":false,"suffix":""}],"container-title":"Journal of cellular and molecular medicine","id":"ITEM-1","issue":"1","issued":{"date-parts":[["2021"]]},"page":"96-109","publisher":"Wiley Online Library","title":"Hypoxic bone marrow mesenchymal cell‐extracellular vesicles containing miR‐328‐3p promote lung cancer progression via the NF2‐mediated Hippo axis","type":"article-journal","volume":"25"},"uris":["http://www.mendeley.com/documents/?uuid=ce1def51-dc2e-4257-8e3e-e3e7063b99b7"]}],"mendeley":{"formattedCitation":"(38)","plainTextFormattedCitation":"(38)","previouslyFormattedCitation":"(38)"},"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125</w:t>
            </w:r>
            <w:r>
              <w:rPr>
                <w:rFonts w:hint="default" w:ascii="Arial" w:hAnsi="Arial" w:cs="Arial"/>
                <w:sz w:val="24"/>
                <w:szCs w:val="24"/>
              </w:rPr>
              <w:t>)</w:t>
            </w:r>
            <w:r>
              <w:rPr>
                <w:rFonts w:hint="default" w:ascii="Arial" w:hAnsi="Arial" w:cs="Arial"/>
                <w:sz w:val="24"/>
                <w:szCs w:val="24"/>
              </w:rPr>
              <w:fldChar w:fldCharType="end"/>
            </w:r>
          </w:p>
        </w:tc>
        <w:tc>
          <w:tcPr>
            <w:tcW w:w="686" w:type="dxa"/>
          </w:tcPr>
          <w:p w14:paraId="40AC3C8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tcPr>
          <w:p w14:paraId="2A99E58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tcPr>
          <w:p w14:paraId="6D0621A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tcPr>
          <w:p w14:paraId="1F46392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tl/>
                <w:lang w:bidi="fa-IR"/>
              </w:rPr>
            </w:pPr>
            <w:r>
              <w:rPr>
                <w:rFonts w:hint="default" w:ascii="Arial" w:hAnsi="Arial" w:cs="Arial"/>
                <w:sz w:val="24"/>
                <w:szCs w:val="24"/>
              </w:rPr>
              <w:t>U</w:t>
            </w:r>
          </w:p>
        </w:tc>
        <w:tc>
          <w:tcPr>
            <w:tcW w:w="706" w:type="dxa"/>
          </w:tcPr>
          <w:p w14:paraId="640B17E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tcPr>
          <w:p w14:paraId="18A011F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tcPr>
          <w:p w14:paraId="4FDE1A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tcPr>
          <w:p w14:paraId="16BAF88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tcPr>
          <w:p w14:paraId="1DDCCFA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tcPr>
          <w:p w14:paraId="3B17CCA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tcPr>
          <w:p w14:paraId="1B13145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33DF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tcPr>
          <w:p w14:paraId="10693E8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 xml:space="preserve">Song </w:t>
            </w:r>
            <w:r>
              <w:rPr>
                <w:rFonts w:hint="default" w:ascii="Arial" w:hAnsi="Arial" w:cs="Arial"/>
                <w:sz w:val="24"/>
                <w:szCs w:val="24"/>
              </w:rPr>
              <w:t xml:space="preserve">Li et al. </w:t>
            </w:r>
            <w:r>
              <w:rPr>
                <w:rFonts w:hint="default" w:ascii="Arial" w:hAnsi="Arial" w:eastAsia="宋体" w:cs="Arial"/>
                <w:sz w:val="24"/>
                <w:szCs w:val="24"/>
                <w:lang w:val="en-US" w:eastAsia="zh-CN"/>
              </w:rPr>
              <w:t>(</w:t>
            </w:r>
            <w:r>
              <w:rPr>
                <w:rFonts w:hint="default" w:ascii="Arial" w:hAnsi="Arial" w:cs="Arial"/>
                <w:sz w:val="24"/>
                <w:szCs w:val="24"/>
              </w:rPr>
              <w:t>2025</w:t>
            </w:r>
            <w:r>
              <w:rPr>
                <w:rFonts w:hint="default" w:ascii="Arial" w:hAnsi="Arial" w:eastAsia="宋体" w:cs="Arial"/>
                <w:sz w:val="24"/>
                <w:szCs w:val="24"/>
                <w:lang w:val="en-US" w:eastAsia="zh-CN"/>
              </w:rPr>
              <w:t>)</w:t>
            </w:r>
          </w:p>
          <w:p w14:paraId="069E522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tl/>
                <w:lang w:bidi="fa-IR"/>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author":[{"dropping-particle":"","family":"Ren","given":"Weihua","non-dropping-particle":"","parse-names":false,"suffix":""},{"dropping-particle":"","family":"Hou","given":"Jianfeng","non-dropping-particle":"","parse-names":false,"suffix":""},{"dropping-particle":"","family":"Yang","given":"Chenguang","non-dropping-particle":"","parse-names":false,"suffix":""},{"dropping-particle":"","family":"Wang","given":"Hanjun","non-dropping-particle":"","parse-names":false,"suffix":""},{"dropping-particle":"","family":"Wu","given":"Shuangting","non-dropping-particle":"","parse-names":false,"suffix":""},{"dropping-particle":"","family":"Wu","given":"Yabin","non-dropping-particle":"","parse-names":false,"suffix":""},{"dropping-particle":"","family":"Zhao","given":"Xingpeng","non-dropping-particle":"","parse-names":false,"suffix":""},{"dropping-particle":"","family":"Lu","given":"Chao","non-dropping-particle":"","parse-names":false,"suffix":""}],"container-title":"Journal of Experimental &amp; Clinical Cancer Research","id":"ITEM-1","issued":{"date-parts":[["2019"]]},"page":"1-14","publisher":"Springer","title":"Extracellular vesicles secreted by hypoxia pre-challenged mesenchymal stem cells promote non-small cell lung cancer cell growth and mobility as well as macrophage M2 polarization via miR-21-5p delivery","type":"article-journal","volume":"38"},"uris":["http://www.mendeley.com/documents/?uuid=e1e0c6de-6942-4b26-bfaa-61b88735a5eb"]}],"mendeley":{"formattedCitation":"(39)","plainTextFormattedCitation":"(39)","previouslyFormattedCitation":"(39)"},"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107</w:t>
            </w:r>
            <w:r>
              <w:rPr>
                <w:rFonts w:hint="default" w:ascii="Arial" w:hAnsi="Arial" w:cs="Arial"/>
                <w:sz w:val="24"/>
                <w:szCs w:val="24"/>
              </w:rPr>
              <w:t>)</w:t>
            </w:r>
            <w:r>
              <w:rPr>
                <w:rFonts w:hint="default" w:ascii="Arial" w:hAnsi="Arial" w:cs="Arial"/>
                <w:sz w:val="24"/>
                <w:szCs w:val="24"/>
              </w:rPr>
              <w:fldChar w:fldCharType="end"/>
            </w:r>
          </w:p>
        </w:tc>
        <w:tc>
          <w:tcPr>
            <w:tcW w:w="686" w:type="dxa"/>
          </w:tcPr>
          <w:p w14:paraId="02C35A9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tcPr>
          <w:p w14:paraId="1B784A2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tcPr>
          <w:p w14:paraId="70C24D9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tcPr>
          <w:p w14:paraId="6928190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tcPr>
          <w:p w14:paraId="4256481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tcPr>
          <w:p w14:paraId="0317721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tcPr>
          <w:p w14:paraId="357FD15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tcPr>
          <w:p w14:paraId="038FB8C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82" w:type="dxa"/>
          </w:tcPr>
          <w:p w14:paraId="3BB15D0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tcPr>
          <w:p w14:paraId="1E4B87A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tcPr>
          <w:p w14:paraId="529EDF0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3E6B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2B15D60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cs="Arial"/>
                <w:sz w:val="24"/>
                <w:szCs w:val="24"/>
              </w:rPr>
              <w:t>L. Xu et al. (2023)</w:t>
            </w:r>
          </w:p>
          <w:p w14:paraId="693AA87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author":[{"dropping-particle":"","family":"Zhang","given":"Xina","non-dropping-particle":"","parse-names":false,"suffix":""},{"dropping-particle":"","family":"Sai","given":"Buqing","non-dropping-particle":"","parse-names":false,"suffix":""},{"dropping-particle":"","family":"Wang","given":"Fan","non-dropping-particle":"","parse-names":false,"suffix":""},{"dropping-particle":"","family":"Wang","given":"Lujuan","non-dropping-particle":"","parse-names":false,"suffix":""},{"dropping-particle":"","family":"Wang","given":"Yuhui","non-dropping-particle":"","parse-names":false,"suffix":""},{"dropping-particle":"","family":"Zheng","given":"Leliang","non-dropping-particle":"","parse-names":false,"suffix":""},{"dropping-particle":"","family":"Li","given":"Guiyuan","non-dropping-particle":"","parse-names":false,"suffix":""},{"dropping-particle":"","family":"Tang","given":"Jingqun","non-dropping-particle":"","parse-names":false,"suffix":""},{"dropping-particle":"","family":"Xiang","given":"Juanjuan","non-dropping-particle":"","parse-names":false,"suffix":""}],"container-title":"Molecular cancer","id":"ITEM-1","issued":{"date-parts":[["2019"]]},"page":"1-15","publisher":"Springer","title":"Hypoxic BMSC-derived exosomal miRNAs promote metastasis of lung cancer cells via STAT3-induced EMT","type":"article-journal","volume":"18"},"uris":["http://www.mendeley.com/documents/?uuid=f3547c0a-4aaf-4947-8033-5ded940a2ec2"]}],"mendeley":{"formattedCitation":"(40)","plainTextFormattedCitation":"(40)","previouslyFormattedCitation":"(40)"},"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109</w:t>
            </w:r>
            <w:r>
              <w:rPr>
                <w:rFonts w:hint="default" w:ascii="Arial" w:hAnsi="Arial" w:cs="Arial"/>
                <w:sz w:val="24"/>
                <w:szCs w:val="24"/>
              </w:rPr>
              <w:t>)</w:t>
            </w:r>
            <w:r>
              <w:rPr>
                <w:rFonts w:hint="default" w:ascii="Arial" w:hAnsi="Arial" w:cs="Arial"/>
                <w:sz w:val="24"/>
                <w:szCs w:val="24"/>
              </w:rPr>
              <w:fldChar w:fldCharType="end"/>
            </w:r>
          </w:p>
        </w:tc>
        <w:tc>
          <w:tcPr>
            <w:tcW w:w="686" w:type="dxa"/>
            <w:vAlign w:val="top"/>
          </w:tcPr>
          <w:p w14:paraId="3AC21B0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43934FB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96" w:type="dxa"/>
            <w:vAlign w:val="top"/>
          </w:tcPr>
          <w:p w14:paraId="056591C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2496033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2A05335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249031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4ADA30B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2F8ACD3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7AEFABC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579E6B6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1124" w:type="dxa"/>
            <w:vAlign w:val="top"/>
          </w:tcPr>
          <w:p w14:paraId="738B348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1274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7086CF5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Lianyuan Tao et al. (2022)</w:t>
            </w:r>
          </w:p>
          <w:p w14:paraId="1853330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110</w:t>
            </w:r>
            <w:r>
              <w:rPr>
                <w:rFonts w:hint="default" w:ascii="Arial" w:hAnsi="Arial" w:eastAsia="宋体" w:cs="Arial"/>
                <w:sz w:val="24"/>
                <w:szCs w:val="24"/>
                <w:lang w:val="en-US" w:eastAsia="zh-CN"/>
              </w:rPr>
              <w:t>)</w:t>
            </w:r>
          </w:p>
        </w:tc>
        <w:tc>
          <w:tcPr>
            <w:tcW w:w="686" w:type="dxa"/>
            <w:vAlign w:val="top"/>
          </w:tcPr>
          <w:p w14:paraId="63EB8B9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256F687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96" w:type="dxa"/>
            <w:vAlign w:val="top"/>
          </w:tcPr>
          <w:p w14:paraId="7552E0D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eastAsia="zh-CN"/>
              </w:rPr>
            </w:pPr>
            <w:r>
              <w:rPr>
                <w:rFonts w:hint="default" w:ascii="Arial" w:hAnsi="Arial" w:eastAsia="宋体" w:cs="Arial"/>
                <w:sz w:val="24"/>
                <w:szCs w:val="24"/>
                <w:lang w:val="en-US" w:eastAsia="zh-CN"/>
              </w:rPr>
              <w:t>U</w:t>
            </w:r>
          </w:p>
        </w:tc>
        <w:tc>
          <w:tcPr>
            <w:tcW w:w="714" w:type="dxa"/>
            <w:vAlign w:val="top"/>
          </w:tcPr>
          <w:p w14:paraId="53885CD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eastAsia="zh-CN"/>
              </w:rPr>
            </w:pPr>
            <w:r>
              <w:rPr>
                <w:rFonts w:hint="default" w:ascii="Arial" w:hAnsi="Arial" w:eastAsia="宋体" w:cs="Arial"/>
                <w:sz w:val="24"/>
                <w:szCs w:val="24"/>
                <w:lang w:val="en-US" w:eastAsia="zh-CN"/>
              </w:rPr>
              <w:t>U</w:t>
            </w:r>
          </w:p>
        </w:tc>
        <w:tc>
          <w:tcPr>
            <w:tcW w:w="706" w:type="dxa"/>
            <w:vAlign w:val="top"/>
          </w:tcPr>
          <w:p w14:paraId="34B4478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eastAsia="zh-CN"/>
              </w:rPr>
            </w:pPr>
            <w:r>
              <w:rPr>
                <w:rFonts w:hint="default" w:ascii="Arial" w:hAnsi="Arial" w:eastAsia="宋体" w:cs="Arial"/>
                <w:sz w:val="24"/>
                <w:szCs w:val="24"/>
                <w:lang w:val="en-US" w:eastAsia="zh-CN"/>
              </w:rPr>
              <w:t>U</w:t>
            </w:r>
          </w:p>
        </w:tc>
        <w:tc>
          <w:tcPr>
            <w:tcW w:w="714" w:type="dxa"/>
            <w:vAlign w:val="top"/>
          </w:tcPr>
          <w:p w14:paraId="2E77A4A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eastAsia="zh-CN"/>
              </w:rPr>
            </w:pPr>
            <w:r>
              <w:rPr>
                <w:rFonts w:hint="default" w:ascii="Arial" w:hAnsi="Arial" w:eastAsia="宋体" w:cs="Arial"/>
                <w:sz w:val="24"/>
                <w:szCs w:val="24"/>
                <w:lang w:val="en-US" w:eastAsia="zh-CN"/>
              </w:rPr>
              <w:t>U</w:t>
            </w:r>
          </w:p>
        </w:tc>
        <w:tc>
          <w:tcPr>
            <w:tcW w:w="688" w:type="dxa"/>
            <w:vAlign w:val="top"/>
          </w:tcPr>
          <w:p w14:paraId="5D3AF22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lang w:bidi="fa-IR"/>
              </w:rPr>
              <w:t>U</w:t>
            </w:r>
          </w:p>
        </w:tc>
        <w:tc>
          <w:tcPr>
            <w:tcW w:w="687" w:type="dxa"/>
            <w:vAlign w:val="top"/>
          </w:tcPr>
          <w:p w14:paraId="5CCA8EE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cs="Arial"/>
                <w:sz w:val="24"/>
                <w:szCs w:val="24"/>
              </w:rPr>
              <w:t>Y</w:t>
            </w:r>
          </w:p>
        </w:tc>
        <w:tc>
          <w:tcPr>
            <w:tcW w:w="682" w:type="dxa"/>
            <w:vAlign w:val="top"/>
          </w:tcPr>
          <w:p w14:paraId="0D3C905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7631561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5C14282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69AD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412E7B6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Zhiqiang He et al. (2024)</w:t>
            </w:r>
          </w:p>
          <w:p w14:paraId="162DE6C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112</w:t>
            </w:r>
            <w:r>
              <w:rPr>
                <w:rFonts w:hint="default" w:ascii="Arial" w:hAnsi="Arial" w:eastAsia="宋体" w:cs="Arial"/>
                <w:sz w:val="24"/>
                <w:szCs w:val="24"/>
                <w:lang w:val="en-US" w:eastAsia="zh-CN"/>
              </w:rPr>
              <w:t>)</w:t>
            </w:r>
          </w:p>
        </w:tc>
        <w:tc>
          <w:tcPr>
            <w:tcW w:w="686" w:type="dxa"/>
            <w:vAlign w:val="top"/>
          </w:tcPr>
          <w:p w14:paraId="3F69BD4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5852E74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1C7901D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14" w:type="dxa"/>
            <w:vAlign w:val="top"/>
          </w:tcPr>
          <w:p w14:paraId="117B6B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06" w:type="dxa"/>
            <w:vAlign w:val="top"/>
          </w:tcPr>
          <w:p w14:paraId="2BF0445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714" w:type="dxa"/>
            <w:vAlign w:val="top"/>
          </w:tcPr>
          <w:p w14:paraId="5C1907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8" w:type="dxa"/>
            <w:vAlign w:val="top"/>
          </w:tcPr>
          <w:p w14:paraId="00FE59D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lang w:bidi="fa-IR"/>
              </w:rPr>
              <w:t>U</w:t>
            </w:r>
          </w:p>
        </w:tc>
        <w:tc>
          <w:tcPr>
            <w:tcW w:w="687" w:type="dxa"/>
            <w:vAlign w:val="top"/>
          </w:tcPr>
          <w:p w14:paraId="6148E6C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cs="Arial"/>
                <w:sz w:val="24"/>
                <w:szCs w:val="24"/>
              </w:rPr>
              <w:t>Y</w:t>
            </w:r>
          </w:p>
        </w:tc>
        <w:tc>
          <w:tcPr>
            <w:tcW w:w="682" w:type="dxa"/>
            <w:vAlign w:val="top"/>
          </w:tcPr>
          <w:p w14:paraId="276682F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0D9D1E8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263C1D2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77AE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138220F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Zhiming Wang et al. (2022)</w:t>
            </w:r>
          </w:p>
          <w:p w14:paraId="013820A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113</w:t>
            </w:r>
            <w:r>
              <w:rPr>
                <w:rFonts w:hint="default" w:ascii="Arial" w:hAnsi="Arial" w:eastAsia="宋体" w:cs="Arial"/>
                <w:sz w:val="24"/>
                <w:szCs w:val="24"/>
                <w:lang w:val="en-US" w:eastAsia="zh-CN"/>
              </w:rPr>
              <w:t>)</w:t>
            </w:r>
          </w:p>
        </w:tc>
        <w:tc>
          <w:tcPr>
            <w:tcW w:w="686" w:type="dxa"/>
            <w:vAlign w:val="top"/>
          </w:tcPr>
          <w:p w14:paraId="4B9BECA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242DFE2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4634353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714" w:type="dxa"/>
            <w:vAlign w:val="top"/>
          </w:tcPr>
          <w:p w14:paraId="1AFD16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706" w:type="dxa"/>
            <w:vAlign w:val="top"/>
          </w:tcPr>
          <w:p w14:paraId="08F9A43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714" w:type="dxa"/>
            <w:vAlign w:val="top"/>
          </w:tcPr>
          <w:p w14:paraId="665CC7B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688" w:type="dxa"/>
            <w:vAlign w:val="top"/>
          </w:tcPr>
          <w:p w14:paraId="5D4A870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lang w:bidi="fa-IR"/>
              </w:rPr>
              <w:t>U</w:t>
            </w:r>
          </w:p>
        </w:tc>
        <w:tc>
          <w:tcPr>
            <w:tcW w:w="687" w:type="dxa"/>
            <w:vAlign w:val="top"/>
          </w:tcPr>
          <w:p w14:paraId="00D0D3E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cs="Arial"/>
                <w:sz w:val="24"/>
                <w:szCs w:val="24"/>
              </w:rPr>
              <w:t>Y</w:t>
            </w:r>
          </w:p>
        </w:tc>
        <w:tc>
          <w:tcPr>
            <w:tcW w:w="682" w:type="dxa"/>
            <w:vAlign w:val="top"/>
          </w:tcPr>
          <w:p w14:paraId="18FD3FD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51C79FE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7B03B41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7125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0B16C83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Yuhang Hu</w:t>
            </w:r>
            <w:r>
              <w:rPr>
                <w:rFonts w:hint="default" w:ascii="Arial" w:hAnsi="Arial" w:eastAsia="宋体" w:cs="Arial"/>
                <w:sz w:val="24"/>
                <w:szCs w:val="24"/>
                <w:lang w:val="en-US" w:eastAsia="zh-CN"/>
              </w:rPr>
              <w:t xml:space="preserve"> </w:t>
            </w:r>
            <w:r>
              <w:rPr>
                <w:rFonts w:hint="default" w:ascii="Arial" w:hAnsi="Arial" w:cs="Arial"/>
                <w:sz w:val="24"/>
                <w:szCs w:val="24"/>
              </w:rPr>
              <w:t>et al. (202</w:t>
            </w:r>
            <w:r>
              <w:rPr>
                <w:rFonts w:hint="default" w:ascii="Arial" w:hAnsi="Arial" w:eastAsia="宋体" w:cs="Arial"/>
                <w:sz w:val="24"/>
                <w:szCs w:val="24"/>
                <w:lang w:val="en-US" w:eastAsia="zh-CN"/>
              </w:rPr>
              <w:t>4</w:t>
            </w:r>
            <w:r>
              <w:rPr>
                <w:rFonts w:hint="default" w:ascii="Arial" w:hAnsi="Arial" w:cs="Arial"/>
                <w:sz w:val="24"/>
                <w:szCs w:val="24"/>
              </w:rPr>
              <w:t>)</w:t>
            </w:r>
          </w:p>
          <w:p w14:paraId="721379D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111</w:t>
            </w:r>
            <w:r>
              <w:rPr>
                <w:rFonts w:hint="default" w:ascii="Arial" w:hAnsi="Arial" w:eastAsia="宋体" w:cs="Arial"/>
                <w:sz w:val="24"/>
                <w:szCs w:val="24"/>
                <w:lang w:val="en-US" w:eastAsia="zh-CN"/>
              </w:rPr>
              <w:t>)</w:t>
            </w:r>
          </w:p>
        </w:tc>
        <w:tc>
          <w:tcPr>
            <w:tcW w:w="686" w:type="dxa"/>
            <w:vAlign w:val="top"/>
          </w:tcPr>
          <w:p w14:paraId="5BC96F6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cs="Arial"/>
                <w:sz w:val="24"/>
                <w:szCs w:val="24"/>
              </w:rPr>
              <w:t>Y</w:t>
            </w:r>
          </w:p>
        </w:tc>
        <w:tc>
          <w:tcPr>
            <w:tcW w:w="682" w:type="dxa"/>
            <w:vAlign w:val="top"/>
          </w:tcPr>
          <w:p w14:paraId="15820A8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72F7C97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4265925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06EB00D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42A4432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42B4255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4200175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cs="Arial"/>
                <w:sz w:val="24"/>
                <w:szCs w:val="24"/>
              </w:rPr>
              <w:t>Y</w:t>
            </w:r>
          </w:p>
        </w:tc>
        <w:tc>
          <w:tcPr>
            <w:tcW w:w="682" w:type="dxa"/>
            <w:vAlign w:val="top"/>
          </w:tcPr>
          <w:p w14:paraId="79F6311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4CAA8DF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374815B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1E3E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339FF2E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Zongqiang Hu</w:t>
            </w:r>
            <w:r>
              <w:rPr>
                <w:rFonts w:hint="default" w:ascii="Arial" w:hAnsi="Arial" w:eastAsia="宋体" w:cs="Arial"/>
                <w:sz w:val="24"/>
                <w:szCs w:val="24"/>
                <w:lang w:val="en-US" w:eastAsia="zh-CN"/>
              </w:rPr>
              <w:t xml:space="preserve"> et</w:t>
            </w:r>
            <w:r>
              <w:rPr>
                <w:rFonts w:hint="default" w:ascii="Arial" w:hAnsi="Arial" w:cs="Arial"/>
                <w:sz w:val="24"/>
                <w:szCs w:val="24"/>
              </w:rPr>
              <w:t xml:space="preserve"> al. (202</w:t>
            </w:r>
            <w:r>
              <w:rPr>
                <w:rFonts w:hint="default" w:ascii="Arial" w:hAnsi="Arial" w:eastAsia="宋体" w:cs="Arial"/>
                <w:sz w:val="24"/>
                <w:szCs w:val="24"/>
                <w:lang w:val="en-US" w:eastAsia="zh-CN"/>
              </w:rPr>
              <w:t>3</w:t>
            </w:r>
            <w:r>
              <w:rPr>
                <w:rFonts w:hint="default" w:ascii="Arial" w:hAnsi="Arial" w:cs="Arial"/>
                <w:sz w:val="24"/>
                <w:szCs w:val="24"/>
              </w:rPr>
              <w:t>)</w:t>
            </w:r>
          </w:p>
          <w:p w14:paraId="4B8C259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118</w:t>
            </w:r>
            <w:r>
              <w:rPr>
                <w:rFonts w:hint="default" w:ascii="Arial" w:hAnsi="Arial" w:eastAsia="宋体" w:cs="Arial"/>
                <w:sz w:val="24"/>
                <w:szCs w:val="24"/>
                <w:lang w:val="en-US" w:eastAsia="zh-CN"/>
              </w:rPr>
              <w:t>)</w:t>
            </w:r>
          </w:p>
        </w:tc>
        <w:tc>
          <w:tcPr>
            <w:tcW w:w="686" w:type="dxa"/>
            <w:vAlign w:val="top"/>
          </w:tcPr>
          <w:p w14:paraId="52D7C25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0081CA9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96" w:type="dxa"/>
            <w:vAlign w:val="top"/>
          </w:tcPr>
          <w:p w14:paraId="4C79245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159ECC5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4D98D3E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65339BB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3E22562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5C2C5B6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6FAF95B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963" w:type="dxa"/>
            <w:vAlign w:val="top"/>
          </w:tcPr>
          <w:p w14:paraId="19B2C34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425DC99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6589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0F5AAD2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Yanping Wei et al. (2023)</w:t>
            </w:r>
          </w:p>
          <w:p w14:paraId="6BA8CB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119</w:t>
            </w:r>
            <w:r>
              <w:rPr>
                <w:rFonts w:hint="default" w:ascii="Arial" w:hAnsi="Arial" w:eastAsia="宋体" w:cs="Arial"/>
                <w:sz w:val="24"/>
                <w:szCs w:val="24"/>
                <w:lang w:val="en-US" w:eastAsia="zh-CN"/>
              </w:rPr>
              <w:t>)</w:t>
            </w:r>
          </w:p>
        </w:tc>
        <w:tc>
          <w:tcPr>
            <w:tcW w:w="686" w:type="dxa"/>
            <w:vAlign w:val="top"/>
          </w:tcPr>
          <w:p w14:paraId="5D1B11C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12AB6F3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3F1C740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7836E6B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76FA3FE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18192D6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56A6DBD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0435DC9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285B1CC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1E14F1B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6B009A7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4CAF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3D56BEE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Ao Chen et al. (2024)</w:t>
            </w:r>
          </w:p>
          <w:p w14:paraId="2BC4F92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122</w:t>
            </w:r>
            <w:r>
              <w:rPr>
                <w:rFonts w:hint="default" w:ascii="Arial" w:hAnsi="Arial" w:eastAsia="宋体" w:cs="Arial"/>
                <w:sz w:val="24"/>
                <w:szCs w:val="24"/>
                <w:lang w:val="en-US" w:eastAsia="zh-CN"/>
              </w:rPr>
              <w:t>)</w:t>
            </w:r>
          </w:p>
        </w:tc>
        <w:tc>
          <w:tcPr>
            <w:tcW w:w="686" w:type="dxa"/>
            <w:vAlign w:val="top"/>
          </w:tcPr>
          <w:p w14:paraId="6189E37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U</w:t>
            </w:r>
          </w:p>
        </w:tc>
        <w:tc>
          <w:tcPr>
            <w:tcW w:w="682" w:type="dxa"/>
            <w:vAlign w:val="top"/>
          </w:tcPr>
          <w:p w14:paraId="3753056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3D05F13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173DEF8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2380620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33B1296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2E30AF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05F73EB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35E43B9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7F64BCB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147A96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17FFE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305C02C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Xiaoyu Liu</w:t>
            </w:r>
            <w:r>
              <w:rPr>
                <w:rFonts w:hint="default" w:ascii="Arial" w:hAnsi="Arial" w:eastAsia="宋体" w:cs="Arial"/>
                <w:sz w:val="24"/>
                <w:szCs w:val="24"/>
                <w:lang w:val="en-US" w:eastAsia="zh-CN"/>
              </w:rPr>
              <w:t xml:space="preserve"> </w:t>
            </w:r>
            <w:r>
              <w:rPr>
                <w:rFonts w:hint="default" w:ascii="Arial" w:hAnsi="Arial" w:cs="Arial"/>
                <w:sz w:val="24"/>
                <w:szCs w:val="24"/>
              </w:rPr>
              <w:t xml:space="preserve">et al. </w:t>
            </w:r>
          </w:p>
          <w:p w14:paraId="095185D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(2024)</w:t>
            </w:r>
          </w:p>
          <w:p w14:paraId="3ED9207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120</w:t>
            </w:r>
            <w:r>
              <w:rPr>
                <w:rFonts w:hint="default" w:ascii="Arial" w:hAnsi="Arial" w:eastAsia="宋体" w:cs="Arial"/>
                <w:sz w:val="24"/>
                <w:szCs w:val="24"/>
                <w:lang w:val="en-US" w:eastAsia="zh-CN"/>
              </w:rPr>
              <w:t>)</w:t>
            </w:r>
          </w:p>
        </w:tc>
        <w:tc>
          <w:tcPr>
            <w:tcW w:w="686" w:type="dxa"/>
            <w:vAlign w:val="top"/>
          </w:tcPr>
          <w:p w14:paraId="0D7C5F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5F7A5DD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96" w:type="dxa"/>
            <w:vAlign w:val="top"/>
          </w:tcPr>
          <w:p w14:paraId="01C2BBA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5161F32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0996521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0C60035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5E9626F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21495B5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13A6D1D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3FFD966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3A1551C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0909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698" w:type="dxa"/>
            <w:vAlign w:val="top"/>
          </w:tcPr>
          <w:p w14:paraId="2EB3727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Peilong Li et al. (2023)</w:t>
            </w:r>
          </w:p>
          <w:p w14:paraId="2CDBBF4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121</w:t>
            </w:r>
            <w:r>
              <w:rPr>
                <w:rFonts w:hint="default" w:ascii="Arial" w:hAnsi="Arial" w:eastAsia="宋体" w:cs="Arial"/>
                <w:sz w:val="24"/>
                <w:szCs w:val="24"/>
                <w:lang w:val="en-US" w:eastAsia="zh-CN"/>
              </w:rPr>
              <w:t>)</w:t>
            </w:r>
          </w:p>
        </w:tc>
        <w:tc>
          <w:tcPr>
            <w:tcW w:w="686" w:type="dxa"/>
            <w:vAlign w:val="top"/>
          </w:tcPr>
          <w:p w14:paraId="50F6B07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Y</w:t>
            </w:r>
          </w:p>
        </w:tc>
        <w:tc>
          <w:tcPr>
            <w:tcW w:w="682" w:type="dxa"/>
            <w:vAlign w:val="top"/>
          </w:tcPr>
          <w:p w14:paraId="355D272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40297D4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22CD122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70A7502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4E7182D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1F00627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46D135F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188621F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69AD0DF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1124" w:type="dxa"/>
            <w:vAlign w:val="top"/>
          </w:tcPr>
          <w:p w14:paraId="18B2FBD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1072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59F1EFB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Keyi Ao</w:t>
            </w:r>
            <w:r>
              <w:rPr>
                <w:rFonts w:hint="default" w:ascii="Arial" w:hAnsi="Arial" w:eastAsia="宋体" w:cs="Arial"/>
                <w:sz w:val="24"/>
                <w:szCs w:val="24"/>
                <w:lang w:val="en-US" w:eastAsia="zh-CN"/>
              </w:rPr>
              <w:t xml:space="preserve"> </w:t>
            </w:r>
            <w:r>
              <w:rPr>
                <w:rFonts w:hint="default" w:ascii="Arial" w:hAnsi="Arial" w:cs="Arial"/>
                <w:sz w:val="24"/>
                <w:szCs w:val="24"/>
              </w:rPr>
              <w:t>et al. (202</w:t>
            </w:r>
            <w:r>
              <w:rPr>
                <w:rFonts w:hint="default" w:ascii="Arial" w:hAnsi="Arial" w:eastAsia="宋体" w:cs="Arial"/>
                <w:sz w:val="24"/>
                <w:szCs w:val="24"/>
                <w:lang w:val="en-US" w:eastAsia="zh-CN"/>
              </w:rPr>
              <w:t>4</w:t>
            </w:r>
            <w:r>
              <w:rPr>
                <w:rFonts w:hint="default" w:ascii="Arial" w:hAnsi="Arial" w:cs="Arial"/>
                <w:sz w:val="24"/>
                <w:szCs w:val="24"/>
              </w:rPr>
              <w:t>)</w:t>
            </w:r>
          </w:p>
          <w:p w14:paraId="5AC4E09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123</w:t>
            </w:r>
            <w:r>
              <w:rPr>
                <w:rFonts w:hint="default" w:ascii="Arial" w:hAnsi="Arial" w:eastAsia="宋体" w:cs="Arial"/>
                <w:sz w:val="24"/>
                <w:szCs w:val="24"/>
                <w:lang w:val="en-US" w:eastAsia="zh-CN"/>
              </w:rPr>
              <w:t>)</w:t>
            </w:r>
          </w:p>
        </w:tc>
        <w:tc>
          <w:tcPr>
            <w:tcW w:w="686" w:type="dxa"/>
            <w:vAlign w:val="top"/>
          </w:tcPr>
          <w:p w14:paraId="4239D74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5B04E31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0414046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5FE367C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6B49F9C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316FCE6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5C6CC1D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20FE4B6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19539F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3D48169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1124" w:type="dxa"/>
            <w:vAlign w:val="top"/>
          </w:tcPr>
          <w:p w14:paraId="47402B1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4E2E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146BE1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Yuting Zhang, MD</w:t>
            </w:r>
            <w:r>
              <w:rPr>
                <w:rFonts w:hint="default" w:ascii="Arial" w:hAnsi="Arial" w:eastAsia="宋体" w:cs="Arial"/>
                <w:sz w:val="24"/>
                <w:szCs w:val="24"/>
                <w:lang w:val="en-US" w:eastAsia="zh-CN"/>
              </w:rPr>
              <w:t xml:space="preserve"> </w:t>
            </w:r>
            <w:r>
              <w:rPr>
                <w:rFonts w:hint="default" w:ascii="Arial" w:hAnsi="Arial" w:cs="Arial"/>
                <w:sz w:val="24"/>
                <w:szCs w:val="24"/>
              </w:rPr>
              <w:t>et al. (202</w:t>
            </w:r>
            <w:r>
              <w:rPr>
                <w:rFonts w:hint="default" w:ascii="Arial" w:hAnsi="Arial" w:eastAsia="宋体" w:cs="Arial"/>
                <w:sz w:val="24"/>
                <w:szCs w:val="24"/>
                <w:lang w:val="en-US" w:eastAsia="zh-CN"/>
              </w:rPr>
              <w:t>3</w:t>
            </w:r>
            <w:r>
              <w:rPr>
                <w:rFonts w:hint="default" w:ascii="Arial" w:hAnsi="Arial" w:cs="Arial"/>
                <w:sz w:val="24"/>
                <w:szCs w:val="24"/>
              </w:rPr>
              <w:t>)</w:t>
            </w:r>
          </w:p>
          <w:p w14:paraId="174AC5F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124</w:t>
            </w:r>
            <w:r>
              <w:rPr>
                <w:rFonts w:hint="default" w:ascii="Arial" w:hAnsi="Arial" w:eastAsia="宋体" w:cs="Arial"/>
                <w:sz w:val="24"/>
                <w:szCs w:val="24"/>
                <w:lang w:val="en-US" w:eastAsia="zh-CN"/>
              </w:rPr>
              <w:t>)</w:t>
            </w:r>
          </w:p>
        </w:tc>
        <w:tc>
          <w:tcPr>
            <w:tcW w:w="686" w:type="dxa"/>
            <w:vAlign w:val="top"/>
          </w:tcPr>
          <w:p w14:paraId="779726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2DFFD2A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43D59E5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068E756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6E1FEC4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52BBCDD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04ACEFA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1B9469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4C3DF59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6339AB3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1124" w:type="dxa"/>
            <w:vAlign w:val="top"/>
          </w:tcPr>
          <w:p w14:paraId="4C87FAD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5B5B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6EC2CA4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Tingting Li et al. (2023)</w:t>
            </w:r>
          </w:p>
          <w:p w14:paraId="1299DAA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cs="Arial"/>
                <w:sz w:val="24"/>
                <w:szCs w:val="24"/>
              </w:rPr>
              <w:fldChar w:fldCharType="begin" w:fldLock="1"/>
            </w:r>
            <w:r>
              <w:rPr>
                <w:rFonts w:hint="default" w:ascii="Arial" w:hAnsi="Arial" w:cs="Arial"/>
                <w:sz w:val="24"/>
                <w:szCs w:val="24"/>
              </w:rPr>
              <w:instrText xml:space="preserve">ADDIN CSL_CITATION {"citationItems":[{"id":"ITEM-1","itemData":{"ISSN":"2041-4889","author":[{"dropping-particle":"","family":"Egea","given":"Virginia","non-dropping-particle":"","parse-names":false,"suffix":""},{"dropping-particle":"","family":"Kessenbrock","given":"Kai","non-dropping-particle":"","parse-names":false,"suffix":""},{"dropping-particle":"","family":"Lawson","given":"Devon","non-dropping-particle":"","parse-names":false,"suffix":""},{"dropping-particle":"","family":"Bartelt","given":"Alexander","non-dropping-particle":"","parse-names":false,"suffix":""},{"dropping-particle":"","family":"Weber","given":"Christian","non-dropping-particle":"","parse-names":false,"suffix":""},{"dropping-particle":"","family":"Ries","given":"Christian","non-dropping-particle":"","parse-names":false,"suffix":""}],"container-title":"Cell death &amp; disease","id":"ITEM-1","issue":"6","issued":{"date-parts":[["2021"]]},"page":"516","publisher":"Nature Publishing Group UK London","title":"Let-7f miRNA regulates SDF-1α-and hypoxia-promoted migration of mesenchymal stem cells and attenuates mammary tumor growth upon exosomal release","type":"article-journal","volume":"12"},"uris":["http://www.mendeley.com/documents/?uuid=e90ec711-46ac-4a81-8245-80fed8c6c0f7"]}],"mendeley":{"formattedCitation":"(36)","plainTextFormattedCitation":"(36)","previouslyFormattedCitation":"(36)"},"properties":{"noteIndex":0},"schema":"https://github.com/citation-style-language/schema/raw/master/csl-citation.json"}</w:instrText>
            </w:r>
            <w:r>
              <w:rPr>
                <w:rFonts w:hint="default" w:ascii="Arial" w:hAnsi="Arial" w:cs="Arial"/>
                <w:sz w:val="24"/>
                <w:szCs w:val="24"/>
              </w:rPr>
              <w:fldChar w:fldCharType="separate"/>
            </w:r>
            <w:r>
              <w:rPr>
                <w:rFonts w:hint="default" w:ascii="Arial" w:hAnsi="Arial" w:cs="Arial"/>
                <w:sz w:val="24"/>
                <w:szCs w:val="24"/>
              </w:rPr>
              <w:t>(</w:t>
            </w:r>
            <w:r>
              <w:rPr>
                <w:rFonts w:hint="eastAsia" w:ascii="Arial" w:hAnsi="Arial" w:eastAsia="宋体" w:cs="Arial"/>
                <w:sz w:val="24"/>
                <w:szCs w:val="24"/>
                <w:lang w:val="en-US" w:eastAsia="zh-CN"/>
              </w:rPr>
              <w:t>116</w:t>
            </w:r>
            <w:r>
              <w:rPr>
                <w:rFonts w:hint="default" w:ascii="Arial" w:hAnsi="Arial" w:cs="Arial"/>
                <w:sz w:val="24"/>
                <w:szCs w:val="24"/>
              </w:rPr>
              <w:t>)</w:t>
            </w:r>
            <w:r>
              <w:rPr>
                <w:rFonts w:hint="default" w:ascii="Arial" w:hAnsi="Arial" w:cs="Arial"/>
                <w:sz w:val="24"/>
                <w:szCs w:val="24"/>
              </w:rPr>
              <w:fldChar w:fldCharType="end"/>
            </w:r>
          </w:p>
        </w:tc>
        <w:tc>
          <w:tcPr>
            <w:tcW w:w="686" w:type="dxa"/>
            <w:vAlign w:val="top"/>
          </w:tcPr>
          <w:p w14:paraId="716387D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577FB98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696" w:type="dxa"/>
            <w:vAlign w:val="top"/>
          </w:tcPr>
          <w:p w14:paraId="623B438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3E59155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6A233E2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0561E5F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4BDC16B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3294850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0EB588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11696BB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1124" w:type="dxa"/>
            <w:vAlign w:val="top"/>
          </w:tcPr>
          <w:p w14:paraId="33035E5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r w14:paraId="4398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698" w:type="dxa"/>
            <w:vAlign w:val="top"/>
          </w:tcPr>
          <w:p w14:paraId="5E9FB91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Jian Gou</w:t>
            </w:r>
            <w:r>
              <w:rPr>
                <w:rFonts w:hint="default" w:ascii="Arial" w:hAnsi="Arial" w:eastAsia="宋体" w:cs="Arial"/>
                <w:sz w:val="24"/>
                <w:szCs w:val="24"/>
                <w:lang w:val="en-US" w:eastAsia="zh-CN"/>
              </w:rPr>
              <w:t xml:space="preserve"> </w:t>
            </w:r>
            <w:r>
              <w:rPr>
                <w:rFonts w:hint="default" w:ascii="Arial" w:hAnsi="Arial" w:cs="Arial"/>
                <w:sz w:val="24"/>
                <w:szCs w:val="24"/>
              </w:rPr>
              <w:t>et al. (202</w:t>
            </w:r>
            <w:r>
              <w:rPr>
                <w:rFonts w:hint="default" w:ascii="Arial" w:hAnsi="Arial" w:eastAsia="宋体" w:cs="Arial"/>
                <w:sz w:val="24"/>
                <w:szCs w:val="24"/>
                <w:lang w:val="en-US" w:eastAsia="zh-CN"/>
              </w:rPr>
              <w:t>3</w:t>
            </w:r>
            <w:r>
              <w:rPr>
                <w:rFonts w:hint="default" w:ascii="Arial" w:hAnsi="Arial" w:cs="Arial"/>
                <w:sz w:val="24"/>
                <w:szCs w:val="24"/>
              </w:rPr>
              <w:t>)</w:t>
            </w:r>
          </w:p>
          <w:p w14:paraId="5EE0941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126</w:t>
            </w:r>
            <w:r>
              <w:rPr>
                <w:rFonts w:hint="default" w:ascii="Arial" w:hAnsi="Arial" w:eastAsia="宋体" w:cs="Arial"/>
                <w:sz w:val="24"/>
                <w:szCs w:val="24"/>
                <w:lang w:val="en-US" w:eastAsia="zh-CN"/>
              </w:rPr>
              <w:t>)</w:t>
            </w:r>
          </w:p>
        </w:tc>
        <w:tc>
          <w:tcPr>
            <w:tcW w:w="686" w:type="dxa"/>
            <w:vAlign w:val="top"/>
          </w:tcPr>
          <w:p w14:paraId="5B42789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82" w:type="dxa"/>
            <w:vAlign w:val="top"/>
          </w:tcPr>
          <w:p w14:paraId="1618894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696" w:type="dxa"/>
            <w:vAlign w:val="top"/>
          </w:tcPr>
          <w:p w14:paraId="46E0279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767A357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06" w:type="dxa"/>
            <w:vAlign w:val="top"/>
          </w:tcPr>
          <w:p w14:paraId="718E1E3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714" w:type="dxa"/>
            <w:vAlign w:val="top"/>
          </w:tcPr>
          <w:p w14:paraId="4327208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8" w:type="dxa"/>
            <w:vAlign w:val="top"/>
          </w:tcPr>
          <w:p w14:paraId="2C9B4C2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U</w:t>
            </w:r>
          </w:p>
        </w:tc>
        <w:tc>
          <w:tcPr>
            <w:tcW w:w="687" w:type="dxa"/>
            <w:vAlign w:val="top"/>
          </w:tcPr>
          <w:p w14:paraId="5474538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Y</w:t>
            </w:r>
          </w:p>
        </w:tc>
        <w:tc>
          <w:tcPr>
            <w:tcW w:w="682" w:type="dxa"/>
            <w:vAlign w:val="top"/>
          </w:tcPr>
          <w:p w14:paraId="16E2EB3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Y</w:t>
            </w:r>
          </w:p>
        </w:tc>
        <w:tc>
          <w:tcPr>
            <w:tcW w:w="963" w:type="dxa"/>
            <w:vAlign w:val="top"/>
          </w:tcPr>
          <w:p w14:paraId="238C3A5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eastAsia="宋体" w:cs="Arial"/>
                <w:sz w:val="24"/>
                <w:szCs w:val="24"/>
                <w:lang w:val="en-US" w:eastAsia="zh-CN"/>
              </w:rPr>
            </w:pPr>
            <w:r>
              <w:rPr>
                <w:rFonts w:hint="default" w:ascii="Arial" w:hAnsi="Arial" w:eastAsia="宋体" w:cs="Arial"/>
                <w:sz w:val="24"/>
                <w:szCs w:val="24"/>
                <w:lang w:val="en-US" w:eastAsia="zh-CN"/>
              </w:rPr>
              <w:t>U</w:t>
            </w:r>
          </w:p>
        </w:tc>
        <w:tc>
          <w:tcPr>
            <w:tcW w:w="1124" w:type="dxa"/>
            <w:vAlign w:val="top"/>
          </w:tcPr>
          <w:p w14:paraId="578CDF7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Arial" w:hAnsi="Arial" w:cs="Arial"/>
                <w:sz w:val="24"/>
                <w:szCs w:val="24"/>
              </w:rPr>
            </w:pPr>
            <w:r>
              <w:rPr>
                <w:rFonts w:hint="default" w:ascii="Arial" w:hAnsi="Arial" w:cs="Arial"/>
                <w:sz w:val="24"/>
                <w:szCs w:val="24"/>
              </w:rPr>
              <w:t>Included</w:t>
            </w:r>
          </w:p>
        </w:tc>
      </w:tr>
    </w:tbl>
    <w:p w14:paraId="71934BB0">
      <w:pPr>
        <w:rPr>
          <w:rFonts w:hint="default" w:ascii="Arial" w:hAnsi="Arial" w:cs="Arial"/>
          <w:sz w:val="24"/>
          <w:szCs w:val="24"/>
        </w:rPr>
      </w:pPr>
      <w:r>
        <w:rPr>
          <w:rFonts w:hint="default" w:ascii="Arial" w:hAnsi="Arial" w:cs="Arial"/>
          <w:sz w:val="24"/>
          <w:szCs w:val="24"/>
        </w:rPr>
        <w:t>N: No; N/A: Not applicable; U: Unclear; Y: Yes.</w:t>
      </w:r>
    </w:p>
    <w:p w14:paraId="245F6491">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Was the allocation sequence adequately generated and applied? </w:t>
      </w:r>
    </w:p>
    <w:p w14:paraId="7AA1CD76">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Were the groups similar at baseline or were they adjusted for confounders in the analysis?</w:t>
      </w:r>
    </w:p>
    <w:p w14:paraId="2C543050">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Was the allocation adequately concealed? </w:t>
      </w:r>
    </w:p>
    <w:p w14:paraId="34CE3E10">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Were the animals randomly housed during the experiment?</w:t>
      </w:r>
    </w:p>
    <w:p w14:paraId="672FACD9">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Were the caregivers and/or investigators blinded from knowledge which intervention each animal received during the experiment?</w:t>
      </w:r>
    </w:p>
    <w:p w14:paraId="2B06F426">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Were animals selected at random for outcome assessment?</w:t>
      </w:r>
    </w:p>
    <w:p w14:paraId="44D11E2F">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Was the outcome assessor blinded?</w:t>
      </w:r>
    </w:p>
    <w:p w14:paraId="257FDCC0">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Were incomplete outcome data adequately addressed? </w:t>
      </w:r>
    </w:p>
    <w:p w14:paraId="354465E7">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Are reports of the study free of selective outcome reporting? </w:t>
      </w:r>
    </w:p>
    <w:p w14:paraId="1C061295">
      <w:pPr>
        <w:pStyle w:val="8"/>
        <w:keepNext w:val="0"/>
        <w:keepLines w:val="0"/>
        <w:pageBreakBefore w:val="0"/>
        <w:widowControl/>
        <w:numPr>
          <w:ilvl w:val="0"/>
          <w:numId w:val="2"/>
        </w:numPr>
        <w:kinsoku/>
        <w:wordWrap/>
        <w:overflowPunct/>
        <w:topLinePunct w:val="0"/>
        <w:autoSpaceDE/>
        <w:autoSpaceDN/>
        <w:bidi w:val="0"/>
        <w:adjustRightInd/>
        <w:snapToGrid/>
        <w:spacing w:line="240" w:lineRule="auto"/>
        <w:ind w:left="726" w:hanging="363"/>
        <w:textAlignment w:val="auto"/>
        <w:rPr>
          <w:rFonts w:hint="default" w:ascii="Arial" w:hAnsi="Arial" w:cs="Arial"/>
          <w:sz w:val="24"/>
          <w:szCs w:val="24"/>
        </w:rPr>
      </w:pPr>
      <w:r>
        <w:rPr>
          <w:rFonts w:hint="default" w:ascii="Arial" w:hAnsi="Arial" w:cs="Arial"/>
          <w:sz w:val="24"/>
          <w:szCs w:val="24"/>
        </w:rPr>
        <w:t xml:space="preserve">Was the study apparently free of other problems that could result in high risk of bias? </w:t>
      </w:r>
    </w:p>
    <w:p w14:paraId="59317C35"/>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EA1AE3"/>
    <w:multiLevelType w:val="multilevel"/>
    <w:tmpl w:val="35EA1AE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A631828"/>
    <w:multiLevelType w:val="multilevel"/>
    <w:tmpl w:val="6A63182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D47"/>
    <w:rsid w:val="0000668D"/>
    <w:rsid w:val="000C56A0"/>
    <w:rsid w:val="000D4A4D"/>
    <w:rsid w:val="001701AF"/>
    <w:rsid w:val="00173722"/>
    <w:rsid w:val="001A0A8E"/>
    <w:rsid w:val="001B38A6"/>
    <w:rsid w:val="00207666"/>
    <w:rsid w:val="00271E19"/>
    <w:rsid w:val="002A18B2"/>
    <w:rsid w:val="002E41B7"/>
    <w:rsid w:val="002E5543"/>
    <w:rsid w:val="00331E40"/>
    <w:rsid w:val="0035690A"/>
    <w:rsid w:val="00381C16"/>
    <w:rsid w:val="00396891"/>
    <w:rsid w:val="003F1670"/>
    <w:rsid w:val="00460CBE"/>
    <w:rsid w:val="00480A2E"/>
    <w:rsid w:val="00484EDF"/>
    <w:rsid w:val="00557000"/>
    <w:rsid w:val="005C2F41"/>
    <w:rsid w:val="00640E94"/>
    <w:rsid w:val="00677CF7"/>
    <w:rsid w:val="006D41FA"/>
    <w:rsid w:val="007964E6"/>
    <w:rsid w:val="007B5531"/>
    <w:rsid w:val="007E5FD0"/>
    <w:rsid w:val="0080019E"/>
    <w:rsid w:val="00817A67"/>
    <w:rsid w:val="00836292"/>
    <w:rsid w:val="008A0665"/>
    <w:rsid w:val="008A755C"/>
    <w:rsid w:val="0094188D"/>
    <w:rsid w:val="009A3A99"/>
    <w:rsid w:val="009F6909"/>
    <w:rsid w:val="00A11D47"/>
    <w:rsid w:val="00A230EC"/>
    <w:rsid w:val="00A77B6C"/>
    <w:rsid w:val="00B9344D"/>
    <w:rsid w:val="00BD3247"/>
    <w:rsid w:val="00CB0D6B"/>
    <w:rsid w:val="00CC2F67"/>
    <w:rsid w:val="00CC6330"/>
    <w:rsid w:val="00DB7DE5"/>
    <w:rsid w:val="00DE46DA"/>
    <w:rsid w:val="00DF3590"/>
    <w:rsid w:val="00E22B1F"/>
    <w:rsid w:val="00E60D07"/>
    <w:rsid w:val="00EA487C"/>
    <w:rsid w:val="00EB3B59"/>
    <w:rsid w:val="00ED1B39"/>
    <w:rsid w:val="00EF645A"/>
    <w:rsid w:val="00F33821"/>
    <w:rsid w:val="00FC7F2C"/>
    <w:rsid w:val="03A26EFC"/>
    <w:rsid w:val="04B769D7"/>
    <w:rsid w:val="050D4849"/>
    <w:rsid w:val="056E2007"/>
    <w:rsid w:val="05900FD6"/>
    <w:rsid w:val="092B1742"/>
    <w:rsid w:val="094445B2"/>
    <w:rsid w:val="0969678B"/>
    <w:rsid w:val="09F61D50"/>
    <w:rsid w:val="0C485415"/>
    <w:rsid w:val="0D116EA1"/>
    <w:rsid w:val="0D466B4A"/>
    <w:rsid w:val="0DF06AB6"/>
    <w:rsid w:val="0EF95E3E"/>
    <w:rsid w:val="0F0A3BA7"/>
    <w:rsid w:val="0F625791"/>
    <w:rsid w:val="10797237"/>
    <w:rsid w:val="10A2678D"/>
    <w:rsid w:val="12EF1A32"/>
    <w:rsid w:val="15A74787"/>
    <w:rsid w:val="16AA639C"/>
    <w:rsid w:val="16B5089D"/>
    <w:rsid w:val="181141F9"/>
    <w:rsid w:val="1B0D0CA7"/>
    <w:rsid w:val="1B8371BB"/>
    <w:rsid w:val="1BA62EAA"/>
    <w:rsid w:val="1BE614F8"/>
    <w:rsid w:val="1C9176B6"/>
    <w:rsid w:val="1D6D0123"/>
    <w:rsid w:val="1D9A07EC"/>
    <w:rsid w:val="1EE937D9"/>
    <w:rsid w:val="1FB02549"/>
    <w:rsid w:val="1FD47FE6"/>
    <w:rsid w:val="21E62252"/>
    <w:rsid w:val="24E231A5"/>
    <w:rsid w:val="26296BB1"/>
    <w:rsid w:val="272F6449"/>
    <w:rsid w:val="27806CA5"/>
    <w:rsid w:val="2D5664DE"/>
    <w:rsid w:val="2D92328E"/>
    <w:rsid w:val="2DD6761F"/>
    <w:rsid w:val="2FEA5603"/>
    <w:rsid w:val="31D67BED"/>
    <w:rsid w:val="371A5B4C"/>
    <w:rsid w:val="37A12A4B"/>
    <w:rsid w:val="37F52D97"/>
    <w:rsid w:val="384D4981"/>
    <w:rsid w:val="387C7014"/>
    <w:rsid w:val="3A1F40FB"/>
    <w:rsid w:val="3CD15B81"/>
    <w:rsid w:val="3CF655E7"/>
    <w:rsid w:val="3DAC214A"/>
    <w:rsid w:val="3E6B790F"/>
    <w:rsid w:val="40041DC9"/>
    <w:rsid w:val="40833636"/>
    <w:rsid w:val="418E2292"/>
    <w:rsid w:val="435A7F52"/>
    <w:rsid w:val="43CC70A2"/>
    <w:rsid w:val="440D7B75"/>
    <w:rsid w:val="448D4A83"/>
    <w:rsid w:val="44EE3048"/>
    <w:rsid w:val="469F284C"/>
    <w:rsid w:val="46FC1A4C"/>
    <w:rsid w:val="47F170D7"/>
    <w:rsid w:val="48AB372A"/>
    <w:rsid w:val="4A062BE2"/>
    <w:rsid w:val="4A5D6CA6"/>
    <w:rsid w:val="4B307F16"/>
    <w:rsid w:val="4D6E2F78"/>
    <w:rsid w:val="4E830CA5"/>
    <w:rsid w:val="4F365D17"/>
    <w:rsid w:val="50BB4726"/>
    <w:rsid w:val="50DB6B76"/>
    <w:rsid w:val="514F57A6"/>
    <w:rsid w:val="519002BC"/>
    <w:rsid w:val="52DB4C0C"/>
    <w:rsid w:val="564C5E20"/>
    <w:rsid w:val="565D1DDC"/>
    <w:rsid w:val="5900361E"/>
    <w:rsid w:val="598D0C2A"/>
    <w:rsid w:val="5A4D7A0A"/>
    <w:rsid w:val="5D5E6B65"/>
    <w:rsid w:val="5E31427A"/>
    <w:rsid w:val="5E6E2DD8"/>
    <w:rsid w:val="5F7A57AC"/>
    <w:rsid w:val="5FB40CBE"/>
    <w:rsid w:val="623065F6"/>
    <w:rsid w:val="62467BC8"/>
    <w:rsid w:val="62A3326C"/>
    <w:rsid w:val="656613FC"/>
    <w:rsid w:val="666176C6"/>
    <w:rsid w:val="69825989"/>
    <w:rsid w:val="69D1193E"/>
    <w:rsid w:val="69F05A4B"/>
    <w:rsid w:val="6ACF2727"/>
    <w:rsid w:val="6B032AFA"/>
    <w:rsid w:val="6D6B3508"/>
    <w:rsid w:val="700A492A"/>
    <w:rsid w:val="70C63DD1"/>
    <w:rsid w:val="71CC633B"/>
    <w:rsid w:val="722577FA"/>
    <w:rsid w:val="7335077F"/>
    <w:rsid w:val="733C129F"/>
    <w:rsid w:val="736B3932"/>
    <w:rsid w:val="76432944"/>
    <w:rsid w:val="76EC4D8A"/>
    <w:rsid w:val="79A74F98"/>
    <w:rsid w:val="7B4927AB"/>
    <w:rsid w:val="7C0B5CB2"/>
    <w:rsid w:val="7C4116D4"/>
    <w:rsid w:val="7CA67789"/>
    <w:rsid w:val="7DBB54B6"/>
    <w:rsid w:val="7DDF11A4"/>
    <w:rsid w:val="7DE45B1A"/>
    <w:rsid w:val="7F9D4E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9"/>
    <w:semiHidden/>
    <w:unhideWhenUsed/>
    <w:qFormat/>
    <w:uiPriority w:val="99"/>
    <w:pPr>
      <w:spacing w:line="240" w:lineRule="auto"/>
    </w:pPr>
    <w:rPr>
      <w:sz w:val="20"/>
      <w:szCs w:val="20"/>
    </w:rPr>
  </w:style>
  <w:style w:type="paragraph" w:styleId="3">
    <w:name w:val="annotation subject"/>
    <w:basedOn w:val="2"/>
    <w:next w:val="2"/>
    <w:link w:val="10"/>
    <w:semiHidden/>
    <w:unhideWhenUsed/>
    <w:qFormat/>
    <w:uiPriority w:val="99"/>
    <w:rPr>
      <w:b/>
      <w:bCs/>
    </w:rPr>
  </w:style>
  <w:style w:type="table" w:styleId="5">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annotation reference"/>
    <w:basedOn w:val="6"/>
    <w:semiHidden/>
    <w:unhideWhenUsed/>
    <w:qFormat/>
    <w:uiPriority w:val="99"/>
    <w:rPr>
      <w:sz w:val="16"/>
      <w:szCs w:val="16"/>
    </w:rPr>
  </w:style>
  <w:style w:type="paragraph" w:styleId="8">
    <w:name w:val="List Paragraph"/>
    <w:basedOn w:val="1"/>
    <w:qFormat/>
    <w:uiPriority w:val="34"/>
    <w:pPr>
      <w:ind w:left="720"/>
      <w:contextualSpacing/>
    </w:pPr>
  </w:style>
  <w:style w:type="character" w:customStyle="1" w:styleId="9">
    <w:name w:val="Comment Text Char"/>
    <w:basedOn w:val="6"/>
    <w:link w:val="2"/>
    <w:semiHidden/>
    <w:qFormat/>
    <w:uiPriority w:val="99"/>
    <w:rPr>
      <w:sz w:val="20"/>
      <w:szCs w:val="20"/>
    </w:rPr>
  </w:style>
  <w:style w:type="character" w:customStyle="1" w:styleId="10">
    <w:name w:val="Comment Subject Char"/>
    <w:basedOn w:val="9"/>
    <w:link w:val="3"/>
    <w:semiHidden/>
    <w:qFormat/>
    <w:uiPriority w:val="99"/>
    <w:rPr>
      <w:b/>
      <w:bCs/>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599</Words>
  <Characters>2330</Characters>
  <Lines>162</Lines>
  <Paragraphs>45</Paragraphs>
  <TotalTime>6</TotalTime>
  <ScaleCrop>false</ScaleCrop>
  <LinksUpToDate>false</LinksUpToDate>
  <CharactersWithSpaces>2610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2025-11-03T19:46:00Z</dcterms:created>
  <dc:creator>PAYTAKHT</dc:creator>
  <cp:lastModifiedBy>乐，</cp:lastModifiedBy>
  <dcterms:modified xsi:type="dcterms:W3CDTF">2026-01-31T02:59:30Z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d7b361ff-286b-428f-aca1-6acae1eeda2c</vt:lpwstr>
  </property>
  <property fmtid="{D5CDD505-2E9C-101B-9397-08002B2CF9AE}" pid="3" name="KSOProductBuildVer">
    <vt:lpwstr>2052-12.1.0.24657</vt:lpwstr>
  </property>
  <property fmtid="{D5CDD505-2E9C-101B-9397-08002B2CF9AE}" pid="4" name="ICV">
    <vt:lpwstr>96E5DCE9A91F445884EFBD7123410EF1_13</vt:lpwstr>
  </property>
  <property fmtid="{D5CDD505-2E9C-101B-9397-08002B2CF9AE}" pid="5" name="KSOTemplateDocerSaveRecord">
    <vt:lpwstr>eyJoZGlkIjoiNTkwZjI0MzczY2U1NDllYjcyZGQxMzAwYjNkZTg5MmYiLCJ1c2VySWQiOiI2NTQyNjM4NjAifQ==</vt:lpwstr>
  </property>
</Properties>
</file>