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003AA">
      <w:pPr>
        <w:pStyle w:val="3"/>
        <w:ind w:left="567" w:hanging="567"/>
        <w:rPr>
          <w:rFonts w:ascii="Times New Roman" w:hAnsi="Times New Roman" w:cs="Times New Roman" w:eastAsiaTheme="minorEastAsia"/>
          <w:lang w:eastAsia="zh-CN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Supplementary Figures</w:t>
      </w:r>
      <w:r>
        <w:rPr>
          <w:rFonts w:ascii="Times New Roman" w:hAnsi="Times New Roman" w:eastAsia="宋体" w:cs="Times New Roman"/>
          <w:b/>
          <w:color w:val="000000"/>
          <w:sz w:val="18"/>
          <w:szCs w:val="20"/>
        </w:rPr>
        <w:drawing>
          <wp:inline distT="0" distB="0" distL="0" distR="0">
            <wp:extent cx="5274310" cy="3129280"/>
            <wp:effectExtent l="0" t="0" r="0" b="0"/>
            <wp:docPr id="1736952346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952346" name="图形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98653">
      <w:pPr>
        <w:pStyle w:val="3"/>
        <w:ind w:left="567" w:hanging="567"/>
        <w:rPr>
          <w:rFonts w:ascii="Times New Roman" w:hAnsi="Times New Roman" w:cs="Times New Roman" w:eastAsiaTheme="minorEastAsia"/>
          <w:bCs/>
          <w:lang w:eastAsia="zh-CN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Fig</w:t>
      </w:r>
      <w:r>
        <w:rPr>
          <w:rFonts w:ascii="Arial" w:hAnsi="Arial" w:cs="Arial"/>
          <w:b/>
          <w:bCs/>
          <w:color w:val="auto"/>
          <w:sz w:val="20"/>
          <w:szCs w:val="20"/>
          <w:lang w:eastAsia="zh-CN"/>
        </w:rPr>
        <w:t>.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 1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Kaplan-Meier analysis of DDFS comparing CCT5-mutated and wild-type groups.</w:t>
      </w:r>
      <w:r>
        <w:rPr>
          <w:rFonts w:ascii="Times New Roman" w:hAnsi="Times New Roman" w:eastAsia="宋体" w:cs="Times New Roman"/>
          <w:b/>
          <w:color w:val="000000"/>
          <w:sz w:val="18"/>
          <w:szCs w:val="20"/>
        </w:rPr>
        <w:drawing>
          <wp:inline distT="0" distB="0" distL="0" distR="0">
            <wp:extent cx="5273040" cy="3114040"/>
            <wp:effectExtent l="0" t="0" r="0" b="0"/>
            <wp:docPr id="1150573883" name="图片 1" descr="圆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573883" name="图片 1" descr="圆圈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2D168">
      <w:pPr>
        <w:pStyle w:val="3"/>
        <w:ind w:left="567" w:hanging="567"/>
        <w:rPr>
          <w:rFonts w:ascii="Times New Roman" w:hAnsi="Times New Roman" w:cs="Times New Roman"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Fig</w:t>
      </w:r>
      <w:r>
        <w:rPr>
          <w:rFonts w:ascii="Arial" w:hAnsi="Arial" w:cs="Arial"/>
          <w:b/>
          <w:bCs/>
          <w:color w:val="auto"/>
          <w:sz w:val="20"/>
          <w:szCs w:val="20"/>
          <w:lang w:eastAsia="zh-CN"/>
        </w:rPr>
        <w:t>.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EastAsia"/>
          <w:b/>
          <w:bCs/>
          <w:color w:val="auto"/>
          <w:sz w:val="20"/>
          <w:szCs w:val="20"/>
        </w:rPr>
        <w:t>2</w:t>
      </w:r>
      <w:r>
        <w:rPr>
          <w:rFonts w:ascii="Times New Roman" w:hAnsi="Times New Roman" w:cs="Times New Roman" w:eastAsiaTheme="minorEastAsia"/>
          <w:color w:val="auto"/>
          <w:sz w:val="20"/>
          <w:szCs w:val="20"/>
        </w:rPr>
        <w:t xml:space="preserve"> Colony formation assay demonstrates reduced colony formation capacity following CCT5 knockdown.</w:t>
      </w:r>
    </w:p>
    <w:p w14:paraId="5F383F8C">
      <w:pPr>
        <w:spacing w:before="240"/>
        <w:rPr>
          <w:rFonts w:cs="Times New Roman"/>
          <w:lang w:eastAsia="zh-CN"/>
        </w:rPr>
      </w:pPr>
      <w:r>
        <w:rPr>
          <w:rFonts w:eastAsia="宋体" w:cs="Times New Roman"/>
          <w:bCs/>
          <w:color w:val="000000"/>
          <w:sz w:val="18"/>
          <w:szCs w:val="20"/>
        </w:rPr>
        <w:drawing>
          <wp:inline distT="0" distB="0" distL="0" distR="0">
            <wp:extent cx="5273040" cy="1539240"/>
            <wp:effectExtent l="0" t="0" r="0" b="0"/>
            <wp:docPr id="1923685619" name="图片 2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685619" name="图片 2" descr="图表, 条形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FF6A6">
      <w:pPr>
        <w:rPr>
          <w:rFonts w:cs="Times New Roman"/>
          <w:sz w:val="20"/>
          <w:szCs w:val="20"/>
          <w:lang w:eastAsia="zh-CN"/>
        </w:rPr>
      </w:pPr>
      <w:r>
        <w:rPr>
          <w:rFonts w:ascii="Arial" w:hAnsi="Arial" w:cs="Arial"/>
          <w:b/>
          <w:bCs/>
          <w:sz w:val="20"/>
          <w:szCs w:val="20"/>
        </w:rPr>
        <w:t>Fig</w:t>
      </w:r>
      <w:r>
        <w:rPr>
          <w:rFonts w:ascii="Arial" w:hAnsi="Arial" w:cs="Arial"/>
          <w:b/>
          <w:bCs/>
          <w:sz w:val="20"/>
          <w:szCs w:val="20"/>
          <w:lang w:eastAsia="zh-CN"/>
        </w:rPr>
        <w:t>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hint="eastAsia" w:ascii="Arial" w:hAnsi="Arial" w:cs="Arial"/>
          <w:b/>
          <w:bCs/>
          <w:sz w:val="20"/>
          <w:szCs w:val="20"/>
          <w:lang w:eastAsia="zh-CN"/>
        </w:rPr>
        <w:t>3</w:t>
      </w:r>
      <w:r>
        <w:rPr>
          <w:rFonts w:cs="Times New Roman"/>
          <w:sz w:val="20"/>
          <w:szCs w:val="20"/>
          <w:lang w:eastAsia="zh-CN"/>
        </w:rPr>
        <w:t xml:space="preserve"> Quantitative analysis of Wnt3A, β-catenin, c-Myc, and cyclin D1 protein expression in HT29 and HCT116 cells.</w:t>
      </w:r>
    </w:p>
    <w:p w14:paraId="40D7149C">
      <w:pPr>
        <w:rPr>
          <w:rFonts w:ascii="Arial" w:hAnsi="Arial" w:cs="Arial" w:eastAsiaTheme="majorEastAsia"/>
          <w:b/>
          <w:bCs/>
          <w:sz w:val="20"/>
          <w:szCs w:val="20"/>
        </w:rPr>
      </w:pPr>
      <w:r>
        <w:rPr>
          <w:rFonts w:ascii="Arial" w:hAnsi="Arial" w:cs="Arial" w:eastAsiaTheme="majorEastAsia"/>
          <w:b/>
          <w:bCs/>
          <w:sz w:val="20"/>
          <w:szCs w:val="20"/>
        </w:rPr>
        <w:t>Western blot raw image</w:t>
      </w:r>
    </w:p>
    <w:p w14:paraId="60CF70ED">
      <w:pPr>
        <w:jc w:val="center"/>
        <w:rPr>
          <w:rFonts w:ascii="Arial" w:hAnsi="Arial" w:cs="Arial" w:eastAsiaTheme="majorEastAsia"/>
          <w:b/>
          <w:bCs/>
          <w:sz w:val="20"/>
          <w:szCs w:val="20"/>
        </w:rPr>
      </w:pPr>
      <w:r>
        <w:drawing>
          <wp:inline distT="0" distB="0" distL="0" distR="0">
            <wp:extent cx="2705100" cy="3380105"/>
            <wp:effectExtent l="0" t="0" r="0" b="0"/>
            <wp:docPr id="289011279" name="图片 7" descr="屏幕上有白色的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011279" name="图片 7" descr="屏幕上有白色的字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38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F96AA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ascii="Arial" w:hAnsi="Arial" w:cs="Arial" w:eastAsiaTheme="majorEastAsia"/>
          <w:b/>
          <w:bCs/>
          <w:sz w:val="20"/>
          <w:szCs w:val="20"/>
        </w:rPr>
        <w:t>Fig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. 4 </w:t>
      </w:r>
      <w:r>
        <w:rPr>
          <w:rFonts w:cs="Times New Roman" w:eastAsiaTheme="majorEastAsia"/>
          <w:sz w:val="20"/>
          <w:szCs w:val="20"/>
        </w:rPr>
        <w:t>Original figure for protein expression validation following CCT5 knockdown in HCT116 Cells</w:t>
      </w:r>
      <w:r>
        <w:rPr>
          <w:rFonts w:hint="eastAsia" w:cs="Times New Roman" w:eastAsiaTheme="majorEastAsia"/>
          <w:sz w:val="20"/>
          <w:szCs w:val="20"/>
          <w:lang w:eastAsia="zh-CN"/>
        </w:rPr>
        <w:t>.</w:t>
      </w:r>
    </w:p>
    <w:p w14:paraId="4DA3D5CB">
      <w:pPr>
        <w:jc w:val="center"/>
        <w:rPr>
          <w:rFonts w:ascii="Arial" w:hAnsi="Arial" w:cs="Arial" w:eastAsiaTheme="majorEastAsia"/>
          <w:b/>
          <w:bCs/>
          <w:sz w:val="20"/>
          <w:szCs w:val="20"/>
        </w:rPr>
      </w:pPr>
      <w:r>
        <w:drawing>
          <wp:inline distT="0" distB="0" distL="0" distR="0">
            <wp:extent cx="2705100" cy="3380105"/>
            <wp:effectExtent l="0" t="0" r="0" b="0"/>
            <wp:docPr id="86819206" name="图片 6" descr="屏幕上有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19206" name="图片 6" descr="屏幕上有字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38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03CE1">
      <w:pPr>
        <w:rPr>
          <w:rFonts w:ascii="Arial" w:hAnsi="Arial" w:cs="Arial" w:eastAsiaTheme="majorEastAsia"/>
          <w:sz w:val="20"/>
          <w:szCs w:val="20"/>
          <w:lang w:eastAsia="zh-CN"/>
        </w:rPr>
      </w:pPr>
      <w:r>
        <w:rPr>
          <w:rFonts w:ascii="Arial" w:hAnsi="Arial" w:cs="Arial" w:eastAsiaTheme="majorEastAsia"/>
          <w:b/>
          <w:bCs/>
          <w:sz w:val="20"/>
          <w:szCs w:val="20"/>
        </w:rPr>
        <w:t>Fig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. 5 </w:t>
      </w:r>
      <w:r>
        <w:rPr>
          <w:rFonts w:cs="Times New Roman" w:eastAsiaTheme="majorEastAsia"/>
          <w:sz w:val="20"/>
          <w:szCs w:val="20"/>
        </w:rPr>
        <w:t>Original figure for protein expression validation following CCT5 knockdown in HT29 Cells</w:t>
      </w:r>
      <w:r>
        <w:rPr>
          <w:rFonts w:hint="eastAsia" w:cs="Times New Roman" w:eastAsiaTheme="majorEastAsia"/>
          <w:sz w:val="20"/>
          <w:szCs w:val="20"/>
          <w:lang w:eastAsia="zh-CN"/>
        </w:rPr>
        <w:t>.</w:t>
      </w:r>
    </w:p>
    <w:p w14:paraId="7BEC66F1">
      <w:pPr>
        <w:jc w:val="center"/>
        <w:rPr>
          <w:rFonts w:ascii="Arial" w:hAnsi="Arial" w:cs="Arial" w:eastAsiaTheme="majorEastAsia"/>
          <w:b/>
          <w:bCs/>
          <w:sz w:val="20"/>
          <w:szCs w:val="20"/>
        </w:rPr>
      </w:pPr>
      <w:r>
        <w:drawing>
          <wp:inline distT="0" distB="0" distL="0" distR="0">
            <wp:extent cx="2705100" cy="3380105"/>
            <wp:effectExtent l="0" t="0" r="0" b="0"/>
            <wp:docPr id="795573543" name="图片 5" descr="屏幕上有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73543" name="图片 5" descr="屏幕上有字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38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DFE7C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ascii="Arial" w:hAnsi="Arial" w:cs="Arial" w:eastAsiaTheme="majorEastAsia"/>
          <w:b/>
          <w:bCs/>
          <w:sz w:val="20"/>
          <w:szCs w:val="20"/>
        </w:rPr>
        <w:t>Fig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. 6 </w:t>
      </w:r>
      <w:r>
        <w:rPr>
          <w:rFonts w:cs="Times New Roman" w:eastAsiaTheme="majorEastAsia"/>
          <w:sz w:val="20"/>
          <w:szCs w:val="20"/>
        </w:rPr>
        <w:t xml:space="preserve">Original image of Wnt, β-catenin, Myc, Cyclin D1 and </w:t>
      </w:r>
      <w:r>
        <w:rPr>
          <w:rFonts w:hint="eastAsia" w:cs="Times New Roman" w:eastAsiaTheme="majorEastAsia"/>
          <w:sz w:val="20"/>
          <w:szCs w:val="20"/>
          <w:lang w:eastAsia="zh-CN"/>
        </w:rPr>
        <w:t xml:space="preserve">GAPDH </w:t>
      </w:r>
      <w:r>
        <w:rPr>
          <w:rFonts w:cs="Times New Roman" w:eastAsiaTheme="majorEastAsia"/>
          <w:sz w:val="20"/>
          <w:szCs w:val="20"/>
        </w:rPr>
        <w:t>protein expression in HCT116 cells following CCT5 knockdown</w:t>
      </w:r>
      <w:r>
        <w:rPr>
          <w:rFonts w:hint="eastAsia" w:cs="Times New Roman" w:eastAsiaTheme="majorEastAsia"/>
          <w:sz w:val="20"/>
          <w:szCs w:val="20"/>
          <w:lang w:eastAsia="zh-CN"/>
        </w:rPr>
        <w:t>.</w:t>
      </w:r>
    </w:p>
    <w:p w14:paraId="1828B8B6">
      <w:pPr>
        <w:jc w:val="center"/>
        <w:rPr>
          <w:rFonts w:ascii="Arial" w:hAnsi="Arial" w:cs="Arial" w:eastAsiaTheme="majorEastAsia"/>
          <w:b/>
          <w:bCs/>
          <w:sz w:val="20"/>
          <w:szCs w:val="20"/>
        </w:rPr>
      </w:pPr>
      <w:r>
        <w:drawing>
          <wp:inline distT="0" distB="0" distL="0" distR="0">
            <wp:extent cx="2705100" cy="3380105"/>
            <wp:effectExtent l="0" t="0" r="0" b="0"/>
            <wp:docPr id="1690156843" name="图片 4" descr="屏幕上有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156843" name="图片 4" descr="屏幕上有字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38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1C72A">
      <w:pPr>
        <w:rPr>
          <w:rFonts w:cs="Times New Roman" w:eastAsiaTheme="majorEastAsia"/>
          <w:sz w:val="20"/>
          <w:szCs w:val="20"/>
          <w:lang w:eastAsia="zh-CN"/>
        </w:rPr>
      </w:pPr>
      <w:r>
        <w:rPr>
          <w:rFonts w:ascii="Arial" w:hAnsi="Arial" w:cs="Arial" w:eastAsiaTheme="majorEastAsia"/>
          <w:b/>
          <w:bCs/>
          <w:sz w:val="20"/>
          <w:szCs w:val="20"/>
        </w:rPr>
        <w:t>Fig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. 7 </w:t>
      </w:r>
      <w:r>
        <w:rPr>
          <w:rFonts w:cs="Times New Roman" w:eastAsiaTheme="majorEastAsia"/>
          <w:sz w:val="20"/>
          <w:szCs w:val="20"/>
        </w:rPr>
        <w:t xml:space="preserve">Original image of Wnt, β-catenin, Myc, Cyclin D1 and </w:t>
      </w:r>
      <w:r>
        <w:rPr>
          <w:rFonts w:hint="eastAsia" w:cs="Times New Roman" w:eastAsiaTheme="majorEastAsia"/>
          <w:sz w:val="20"/>
          <w:szCs w:val="20"/>
          <w:lang w:eastAsia="zh-CN"/>
        </w:rPr>
        <w:t xml:space="preserve">GAPDH </w:t>
      </w:r>
      <w:r>
        <w:rPr>
          <w:rFonts w:cs="Times New Roman" w:eastAsiaTheme="majorEastAsia"/>
          <w:sz w:val="20"/>
          <w:szCs w:val="20"/>
        </w:rPr>
        <w:t>protein expression in HT29 cells following CCT5 knockdown</w:t>
      </w:r>
      <w:r>
        <w:rPr>
          <w:rFonts w:hint="eastAsia" w:cs="Times New Roman" w:eastAsiaTheme="majorEastAsia"/>
          <w:sz w:val="20"/>
          <w:szCs w:val="20"/>
          <w:lang w:eastAsia="zh-CN"/>
        </w:rPr>
        <w:t>.</w:t>
      </w:r>
    </w:p>
    <w:p w14:paraId="69D5F604">
      <w:pPr>
        <w:jc w:val="center"/>
        <w:rPr>
          <w:rFonts w:cs="Times New Roman" w:eastAsiaTheme="majorEastAsia"/>
          <w:sz w:val="20"/>
          <w:szCs w:val="20"/>
          <w:lang w:eastAsia="zh-CN"/>
        </w:rPr>
      </w:pPr>
      <w:r>
        <w:drawing>
          <wp:inline distT="0" distB="0" distL="0" distR="0">
            <wp:extent cx="3968750" cy="3973830"/>
            <wp:effectExtent l="0" t="0" r="0" b="0"/>
            <wp:docPr id="1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76299" cy="398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31909">
      <w:pPr>
        <w:rPr>
          <w:rFonts w:ascii="Arial" w:hAnsi="Arial" w:cs="Arial" w:eastAsiaTheme="majorEastAsia"/>
          <w:b/>
          <w:bCs/>
          <w:sz w:val="20"/>
          <w:szCs w:val="20"/>
        </w:rPr>
      </w:pPr>
      <w:r>
        <w:rPr>
          <w:rFonts w:ascii="Arial" w:hAnsi="Arial" w:cs="Arial" w:eastAsiaTheme="majorEastAsia"/>
          <w:b/>
          <w:bCs/>
          <w:sz w:val="20"/>
          <w:szCs w:val="20"/>
        </w:rPr>
        <w:t>Fig.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val="en-US" w:eastAsia="zh-CN"/>
        </w:rPr>
        <w:t xml:space="preserve"> </w:t>
      </w:r>
      <w:r>
        <w:rPr>
          <w:rFonts w:ascii="Arial" w:hAnsi="Arial" w:cs="Arial" w:eastAsiaTheme="majorEastAsia"/>
          <w:b/>
          <w:bCs/>
          <w:sz w:val="20"/>
          <w:szCs w:val="20"/>
        </w:rPr>
        <w:t>8</w:t>
      </w:r>
      <w:r>
        <w:rPr>
          <w:rFonts w:ascii="Arial" w:hAnsi="Arial" w:cs="Arial" w:eastAsiaTheme="majorEastAsia"/>
          <w:sz w:val="20"/>
          <w:szCs w:val="20"/>
        </w:rPr>
        <w:t xml:space="preserve"> Nomogram Calibration</w:t>
      </w:r>
    </w:p>
    <w:p w14:paraId="07CDE2A3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>Table 1:</w:t>
      </w: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 xml:space="preserve"> 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>Information on Antibodies Used in the Experiment.</w:t>
      </w:r>
    </w:p>
    <w:tbl>
      <w:tblPr>
        <w:tblStyle w:val="16"/>
        <w:tblW w:w="852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629"/>
        <w:gridCol w:w="2556"/>
        <w:gridCol w:w="1697"/>
        <w:gridCol w:w="1398"/>
      </w:tblGrid>
      <w:tr w14:paraId="287287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4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</w:tcPr>
          <w:p w14:paraId="007C3C1E">
            <w:pPr>
              <w:rPr>
                <w:rFonts w:hint="eastAsia"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Antibody</w:t>
            </w:r>
          </w:p>
        </w:tc>
        <w:tc>
          <w:tcPr>
            <w:tcW w:w="162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</w:tcPr>
          <w:p w14:paraId="391B0784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Host Species</w:t>
            </w:r>
          </w:p>
        </w:tc>
        <w:tc>
          <w:tcPr>
            <w:tcW w:w="255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</w:tcPr>
          <w:p w14:paraId="5CFC2AC5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Manufacturer</w:t>
            </w:r>
          </w:p>
        </w:tc>
        <w:tc>
          <w:tcPr>
            <w:tcW w:w="169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</w:tcPr>
          <w:p w14:paraId="5101A85F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Catalog No.</w:t>
            </w:r>
          </w:p>
        </w:tc>
        <w:tc>
          <w:tcPr>
            <w:tcW w:w="139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</w:tcPr>
          <w:p w14:paraId="47A5386D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Dilution</w:t>
            </w:r>
          </w:p>
        </w:tc>
      </w:tr>
      <w:tr w14:paraId="3D71CB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42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</w:tcPr>
          <w:p w14:paraId="4CBFC57D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CCT5</w:t>
            </w:r>
          </w:p>
        </w:tc>
        <w:tc>
          <w:tcPr>
            <w:tcW w:w="1629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</w:tcPr>
          <w:p w14:paraId="740829EB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Rabbit</w:t>
            </w:r>
          </w:p>
        </w:tc>
        <w:tc>
          <w:tcPr>
            <w:tcW w:w="2556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</w:tcPr>
          <w:p w14:paraId="783D1095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Thermo Fisher Scientific</w:t>
            </w:r>
          </w:p>
        </w:tc>
        <w:tc>
          <w:tcPr>
            <w:tcW w:w="1697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</w:tcPr>
          <w:p w14:paraId="59B219D7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PA5-78955</w:t>
            </w:r>
          </w:p>
        </w:tc>
        <w:tc>
          <w:tcPr>
            <w:tcW w:w="1398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</w:tcPr>
          <w:p w14:paraId="209634BC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1：1000</w:t>
            </w:r>
          </w:p>
        </w:tc>
      </w:tr>
      <w:tr w14:paraId="0A9016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A3E6C3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Wnt3a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D8B3A3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Rabbit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704429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Servicebio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F3D1D4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GB113750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C59272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1：1000</w:t>
            </w:r>
          </w:p>
        </w:tc>
      </w:tr>
      <w:tr w14:paraId="6230AC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C97133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β-catenin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08A0B8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Rabbit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0AA1F7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Servicebio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F44284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GB150016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A8AE3B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1：1000</w:t>
            </w:r>
          </w:p>
        </w:tc>
      </w:tr>
      <w:tr w14:paraId="2458E7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5A7F5E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c-Myc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D4FBE9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Rabbit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D0ED6A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Promab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30E695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P20935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0AAB43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1：1000</w:t>
            </w:r>
          </w:p>
        </w:tc>
      </w:tr>
      <w:tr w14:paraId="2A9C7B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9FCFB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Cyclin D1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2ACA3A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Rabbit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9CF0E3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Servicebio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D1E877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GB151372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FF952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1：1000</w:t>
            </w:r>
          </w:p>
        </w:tc>
      </w:tr>
      <w:tr w14:paraId="1A5AAD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4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50343CBA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GAPDH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7F0A8508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Rabbit</w:t>
            </w:r>
          </w:p>
        </w:tc>
        <w:tc>
          <w:tcPr>
            <w:tcW w:w="255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519E7F76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Servicebio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488CBFF0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GB15004</w:t>
            </w:r>
          </w:p>
        </w:tc>
        <w:tc>
          <w:tcPr>
            <w:tcW w:w="139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</w:tcPr>
          <w:p w14:paraId="5AAC2D82">
            <w:pP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sz w:val="20"/>
                <w:szCs w:val="20"/>
                <w:lang w:eastAsia="zh-CN"/>
              </w:rPr>
              <w:t>1：10000</w:t>
            </w:r>
          </w:p>
        </w:tc>
      </w:tr>
    </w:tbl>
    <w:p w14:paraId="2336D188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tbl>
      <w:tblPr>
        <w:tblStyle w:val="15"/>
        <w:tblpPr w:leftFromText="180" w:rightFromText="180" w:vertAnchor="text" w:horzAnchor="margin" w:tblpY="1177"/>
        <w:tblW w:w="8279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030"/>
        <w:gridCol w:w="1532"/>
        <w:gridCol w:w="2737"/>
      </w:tblGrid>
      <w:tr w14:paraId="13F648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9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2B205424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Survival plot summary</w:t>
            </w:r>
          </w:p>
        </w:tc>
        <w:tc>
          <w:tcPr>
            <w:tcW w:w="20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1248BF40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Number of Cases, Total</w:t>
            </w:r>
          </w:p>
        </w:tc>
        <w:tc>
          <w:tcPr>
            <w:tcW w:w="153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0BDDA962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Number of Events</w:t>
            </w:r>
          </w:p>
        </w:tc>
        <w:tc>
          <w:tcPr>
            <w:tcW w:w="273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51B7D1BE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Median Months Overall (95% CI)</w:t>
            </w:r>
          </w:p>
        </w:tc>
      </w:tr>
      <w:tr w14:paraId="612EA6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980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6A3EC478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Altered group</w:t>
            </w:r>
          </w:p>
        </w:tc>
        <w:tc>
          <w:tcPr>
            <w:tcW w:w="2030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05042E27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425</w:t>
            </w:r>
          </w:p>
        </w:tc>
        <w:tc>
          <w:tcPr>
            <w:tcW w:w="1532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0C6B39A1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168</w:t>
            </w:r>
          </w:p>
        </w:tc>
        <w:tc>
          <w:tcPr>
            <w:tcW w:w="2737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088E9674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56.71 (43.30 - 75.48)</w:t>
            </w:r>
          </w:p>
        </w:tc>
      </w:tr>
      <w:tr w14:paraId="57F134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98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5A7E620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Unaltered group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3444ED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10378</w:t>
            </w:r>
          </w:p>
        </w:tc>
        <w:tc>
          <w:tcPr>
            <w:tcW w:w="153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144EFC5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3345</w:t>
            </w:r>
          </w:p>
        </w:tc>
        <w:tc>
          <w:tcPr>
            <w:tcW w:w="273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CAF30D5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80.84 (75.09 - 85.51)</w:t>
            </w:r>
          </w:p>
        </w:tc>
      </w:tr>
    </w:tbl>
    <w:p w14:paraId="558BA1AF">
      <w:pP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 xml:space="preserve">Table 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>2</w:t>
      </w: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>: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 </w:t>
      </w: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>The total number of OS survival curves and events in the cct5 mutation group and non mutation group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>.</w:t>
      </w:r>
    </w:p>
    <w:p w14:paraId="242369BE">
      <w:pP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 </w:t>
      </w:r>
    </w:p>
    <w:tbl>
      <w:tblPr>
        <w:tblStyle w:val="15"/>
        <w:tblpPr w:leftFromText="180" w:rightFromText="180" w:vertAnchor="text" w:horzAnchor="margin" w:tblpY="1133"/>
        <w:tblW w:w="8498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0"/>
        <w:gridCol w:w="2059"/>
        <w:gridCol w:w="2059"/>
      </w:tblGrid>
      <w:tr w14:paraId="55429B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43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5D08B7C9">
            <w:pPr>
              <w:rPr>
                <w:rFonts w:hint="eastAsia"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Hazard ratio ( ±95% confidence interval)</w:t>
            </w:r>
          </w:p>
        </w:tc>
        <w:tc>
          <w:tcPr>
            <w:tcW w:w="205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27F7E20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Altered group</w:t>
            </w:r>
          </w:p>
        </w:tc>
        <w:tc>
          <w:tcPr>
            <w:tcW w:w="205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60165EE0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Unaltered group</w:t>
            </w:r>
          </w:p>
        </w:tc>
      </w:tr>
      <w:tr w14:paraId="07CEED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380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77594AAC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Altered group</w:t>
            </w:r>
          </w:p>
        </w:tc>
        <w:tc>
          <w:tcPr>
            <w:tcW w:w="2059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792AADC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1.000 (0.792-1.263)</w:t>
            </w:r>
          </w:p>
        </w:tc>
        <w:tc>
          <w:tcPr>
            <w:tcW w:w="2059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10B195DD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0.834 (0.705-0.987)</w:t>
            </w:r>
          </w:p>
        </w:tc>
      </w:tr>
      <w:tr w14:paraId="16FE45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438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8891CEB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Unaltered group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F273C16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1.199 (1.014-1.419)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F38F43B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1.000 (0.953-1.049)</w:t>
            </w:r>
          </w:p>
        </w:tc>
      </w:tr>
    </w:tbl>
    <w:p w14:paraId="70DD5A98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 xml:space="preserve">Table 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>3</w:t>
      </w: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>: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 </w:t>
      </w: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>Hazard Ratio (HR) and 95% Confidence Interval (CI) Analysis of the Impact of CCT5 Mutations on Overall Survival (OS).</w:t>
      </w:r>
    </w:p>
    <w:p w14:paraId="41210AEC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p w14:paraId="3B6FE360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p w14:paraId="1EDE8241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p w14:paraId="582FF908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>Table 4: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 </w:t>
      </w: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>Results of Univariate Cox Proportional Hazards Analysis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>.</w:t>
      </w:r>
    </w:p>
    <w:tbl>
      <w:tblPr>
        <w:tblStyle w:val="15"/>
        <w:tblW w:w="8172" w:type="dxa"/>
        <w:tblInd w:w="96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24"/>
        <w:gridCol w:w="1392"/>
        <w:gridCol w:w="1392"/>
        <w:gridCol w:w="1392"/>
        <w:gridCol w:w="1392"/>
      </w:tblGrid>
      <w:tr w14:paraId="5B8C71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4371812F">
            <w:pPr>
              <w:rPr>
                <w:rFonts w:hint="eastAsia"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id</w:t>
            </w:r>
          </w:p>
        </w:tc>
        <w:tc>
          <w:tcPr>
            <w:tcW w:w="1524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7475BEFD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β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642CE4B9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HR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294F6DF1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HR.95L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67397D22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HR.95H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23825F3D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pvalue</w:t>
            </w:r>
          </w:p>
        </w:tc>
      </w:tr>
      <w:tr w14:paraId="0698EF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5EAA971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bookmarkStart w:id="0" w:name="_GoBack" w:colFirst="0" w:colLast="5"/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Age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06733683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-0.008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0CFEE6A2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0.992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29E27A51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0.947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707B485E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1.038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44944146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0.725</w:t>
            </w:r>
          </w:p>
        </w:tc>
      </w:tr>
      <w:tr w14:paraId="037246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7D504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3CF0B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ADBF9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5A66B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E0ADF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3.422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3E919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0.735</w:t>
            </w:r>
          </w:p>
        </w:tc>
      </w:tr>
      <w:tr w14:paraId="1FD3D1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A28C2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A73F1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EB9BE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3.547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89C04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6382B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8.077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5A6FB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0.003</w:t>
            </w:r>
          </w:p>
        </w:tc>
      </w:tr>
      <w:tr w14:paraId="754652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77363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2566F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AC661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2.859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939D9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D2607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6.140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8BF79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0.007</w:t>
            </w:r>
          </w:p>
        </w:tc>
      </w:tr>
      <w:tr w14:paraId="7D0403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C9BFA4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CCT5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7C9AF99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0.429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F626331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1.536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C8403C7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1.249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F91ACE2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1.889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2A2076E">
            <w:pP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 w:eastAsiaTheme="majorEastAsia"/>
                <w:b w:val="0"/>
                <w:bCs w:val="0"/>
                <w:sz w:val="20"/>
                <w:szCs w:val="20"/>
                <w:lang w:eastAsia="zh-CN"/>
              </w:rPr>
              <w:t>0.000</w:t>
            </w:r>
          </w:p>
        </w:tc>
      </w:tr>
      <w:bookmarkEnd w:id="0"/>
    </w:tbl>
    <w:p w14:paraId="528F4999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 </w:t>
      </w:r>
    </w:p>
    <w:p w14:paraId="5AC0893F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p w14:paraId="6259B887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p w14:paraId="205CBEC5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p w14:paraId="646D7293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p w14:paraId="21CCF664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>Table 5:</w:t>
      </w:r>
      <w: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  <w:t xml:space="preserve"> </w:t>
      </w:r>
      <w:r>
        <w:rPr>
          <w:rFonts w:ascii="Arial" w:hAnsi="Arial" w:cs="Arial" w:eastAsiaTheme="majorEastAsia"/>
          <w:b/>
          <w:bCs/>
          <w:sz w:val="20"/>
          <w:szCs w:val="20"/>
          <w:lang w:eastAsia="zh-CN"/>
        </w:rPr>
        <w:t>Results of Multivariate Cox Proportional Hazards Analysis.</w:t>
      </w:r>
    </w:p>
    <w:tbl>
      <w:tblPr>
        <w:tblStyle w:val="15"/>
        <w:tblW w:w="8449" w:type="dxa"/>
        <w:tblInd w:w="96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00"/>
        <w:gridCol w:w="1392"/>
        <w:gridCol w:w="1392"/>
        <w:gridCol w:w="1392"/>
        <w:gridCol w:w="1393"/>
      </w:tblGrid>
      <w:tr w14:paraId="7FBCB4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8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4F151EBD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id</w:t>
            </w:r>
          </w:p>
        </w:tc>
        <w:tc>
          <w:tcPr>
            <w:tcW w:w="18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78490C47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β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2568F4E8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HR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46883E86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HR.95L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73D37723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HR.95H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128E7F77">
            <w:pP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 w:eastAsiaTheme="majorEastAsia"/>
                <w:b/>
                <w:bCs/>
                <w:sz w:val="20"/>
                <w:szCs w:val="20"/>
                <w:lang w:eastAsia="zh-CN"/>
              </w:rPr>
              <w:t>pvalue</w:t>
            </w:r>
          </w:p>
        </w:tc>
      </w:tr>
      <w:tr w14:paraId="7E20D3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0567412B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Age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653BCE15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-0.014 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425DF610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0.986 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29B59603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0.940 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648AE88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1.035 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1D5C6F26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0.572 </w:t>
            </w:r>
          </w:p>
        </w:tc>
      </w:tr>
      <w:tr w14:paraId="02DF45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26566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8E43B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0.171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86DAC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1.187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428D6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0.369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F9347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3.814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1D618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0.773 </w:t>
            </w:r>
          </w:p>
        </w:tc>
      </w:tr>
      <w:tr w14:paraId="7BD25F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E6B48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67B6D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0.130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A0660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1.139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35B6E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0.425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75A88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3.056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90FDE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0.796 </w:t>
            </w:r>
          </w:p>
        </w:tc>
      </w:tr>
      <w:tr w14:paraId="27CD30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54FB2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F3D66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1.253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354D0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3.500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97279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1.148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96DAB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10.667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0F2BE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0.028 </w:t>
            </w:r>
          </w:p>
        </w:tc>
      </w:tr>
      <w:tr w14:paraId="7C1344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5D0310A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>CCT5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EF61338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0.413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14C02DD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1.511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C16C8FA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1.189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128FFDA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1.920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CEC30A7">
            <w:pPr>
              <w:rPr>
                <w:rFonts w:cs="Times New Roman" w:eastAsiaTheme="majorEastAsia"/>
                <w:sz w:val="20"/>
                <w:szCs w:val="20"/>
                <w:lang w:eastAsia="zh-CN"/>
              </w:rPr>
            </w:pPr>
            <w:r>
              <w:rPr>
                <w:rFonts w:cs="Times New Roman" w:eastAsiaTheme="majorEastAsia"/>
                <w:sz w:val="20"/>
                <w:szCs w:val="20"/>
                <w:lang w:eastAsia="zh-CN"/>
              </w:rPr>
              <w:t xml:space="preserve">0.001 </w:t>
            </w:r>
          </w:p>
        </w:tc>
      </w:tr>
    </w:tbl>
    <w:p w14:paraId="1DF58F0C">
      <w:pPr>
        <w:rPr>
          <w:rFonts w:ascii="Arial" w:hAnsi="Arial" w:cs="Arial" w:eastAsiaTheme="majorEastAsia"/>
          <w:b/>
          <w:bCs/>
          <w:sz w:val="20"/>
          <w:szCs w:val="20"/>
          <w:lang w:eastAsia="zh-CN"/>
        </w:rPr>
      </w:pPr>
    </w:p>
    <w:p w14:paraId="551C28F0">
      <w:pPr>
        <w:rPr>
          <w:rFonts w:hint="eastAsia" w:ascii="Arial" w:hAnsi="Arial" w:cs="Arial" w:eastAsiaTheme="majorEastAsia"/>
          <w:b/>
          <w:bCs/>
          <w:sz w:val="20"/>
          <w:szCs w:val="2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32563C"/>
    <w:rsid w:val="000E4FC9"/>
    <w:rsid w:val="00133DAE"/>
    <w:rsid w:val="00253A4F"/>
    <w:rsid w:val="0032563C"/>
    <w:rsid w:val="004F51B8"/>
    <w:rsid w:val="00501835"/>
    <w:rsid w:val="0052256C"/>
    <w:rsid w:val="005A01D7"/>
    <w:rsid w:val="00632D2C"/>
    <w:rsid w:val="006B3BDB"/>
    <w:rsid w:val="007965D8"/>
    <w:rsid w:val="00797D82"/>
    <w:rsid w:val="008B29C0"/>
    <w:rsid w:val="00912DCF"/>
    <w:rsid w:val="00A35542"/>
    <w:rsid w:val="00A90986"/>
    <w:rsid w:val="00C85BF9"/>
    <w:rsid w:val="00D17207"/>
    <w:rsid w:val="7231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iPriority="2" w:semiHidden="0" w:name="heading 2"/>
    <w:lsdException w:qFormat="1" w:uiPriority="2" w:semiHidden="0" w:name="heading 3"/>
    <w:lsdException w:qFormat="1" w:uiPriority="2" w:semiHidden="0" w:name="heading 4"/>
    <w:lsdException w:qFormat="1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2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2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unhideWhenUsed/>
    <w:qFormat/>
    <w:uiPriority w:val="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unhideWhenUsed/>
    <w:qFormat/>
    <w:uiPriority w:val="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qFormat/>
    <w:uiPriority w:val="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0F4761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0F4761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rFonts w:ascii="Times New Roman" w:hAnsi="Times New Roman"/>
      <w:kern w:val="0"/>
      <w:sz w:val="18"/>
      <w:szCs w:val="18"/>
      <w:lang w:eastAsia="en-US"/>
    </w:rPr>
  </w:style>
  <w:style w:type="character" w:customStyle="1" w:styleId="37">
    <w:name w:val="页脚 字符"/>
    <w:basedOn w:val="17"/>
    <w:link w:val="11"/>
    <w:qFormat/>
    <w:uiPriority w:val="99"/>
    <w:rPr>
      <w:rFonts w:ascii="Times New Roman" w:hAnsi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tiff"/><Relationship Id="rId7" Type="http://schemas.openxmlformats.org/officeDocument/2006/relationships/image" Target="media/image3.jpeg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364</Words>
  <Characters>1981</Characters>
  <Lines>62</Lines>
  <Paragraphs>31</Paragraphs>
  <TotalTime>27</TotalTime>
  <ScaleCrop>false</ScaleCrop>
  <LinksUpToDate>false</LinksUpToDate>
  <CharactersWithSpaces>2217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2025-12-30T14:51:00Z</dcterms:created>
  <dc:creator>东京 王</dc:creator>
  <cp:lastModifiedBy>小疯子^O^</cp:lastModifiedBy>
  <dcterms:modified xsi:type="dcterms:W3CDTF">2026-02-22T14:38:38Z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eyJoZGlkIjoiMzZkOTkyYjYwNTJmZDk5NzMzYjY3MmI1MDQyOGZkYmIiLCJ1c2VySWQiOiIyOTcwMzEwMzkifQ==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690535D052E540C9ACB3C0E8BEDC25D2_12</vt:lpwstr>
  </property>
</Properties>
</file>