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4C99B" w14:textId="61589D27" w:rsidR="0006037C" w:rsidRDefault="0006037C" w:rsidP="0006037C">
      <w:pPr>
        <w:pStyle w:val="EndNoteBibliography"/>
        <w:spacing w:line="360" w:lineRule="auto"/>
        <w:rPr>
          <w:rFonts w:ascii="Times New Roman" w:hAnsi="Times New Roman" w:cs="Times New Roman"/>
          <w:b/>
          <w:bCs/>
          <w:sz w:val="24"/>
        </w:rPr>
      </w:pPr>
      <w:r w:rsidRPr="00B76DF4">
        <w:rPr>
          <w:rFonts w:ascii="Times New Roman" w:hAnsi="Times New Roman" w:cs="Times New Roman"/>
          <w:b/>
          <w:bCs/>
          <w:sz w:val="24"/>
        </w:rPr>
        <w:t>Bulk-level RNA-seq analysis</w:t>
      </w:r>
    </w:p>
    <w:p w14:paraId="2C8703A5" w14:textId="77777777" w:rsidR="0006037C" w:rsidRPr="000C0CDF" w:rsidRDefault="0006037C" w:rsidP="0006037C">
      <w:pPr>
        <w:pStyle w:val="EndNoteBibliography"/>
        <w:spacing w:line="360" w:lineRule="auto"/>
        <w:rPr>
          <w:rFonts w:ascii="Times New Roman" w:hAnsi="Times New Roman" w:cs="Times New Roman"/>
          <w:sz w:val="24"/>
        </w:rPr>
      </w:pPr>
      <w:r>
        <w:rPr>
          <w:rFonts w:ascii="Times New Roman" w:hAnsi="Times New Roman" w:cs="Times New Roman"/>
          <w:sz w:val="24"/>
        </w:rPr>
        <w:t>(1)</w:t>
      </w:r>
      <w:r w:rsidRPr="000C0CDF">
        <w:rPr>
          <w:rFonts w:ascii="Times New Roman" w:hAnsi="Times New Roman" w:cs="Times New Roman"/>
          <w:sz w:val="24"/>
        </w:rPr>
        <w:t xml:space="preserve"> Extraction: After splitting the tissue sample with Trizol reagent, add an extraction reagent (chloroform: isoamyl alcohol=24:1) to form an upper clear layer (colorless in aqueous phase), an intermediate layer, and a lower layer (red in organic phase). Extract the aqueous phase containing RNA and add isopropanol. Due to the polyanionic state of RNA molecules in solutions with pH values greater than 4, and the formation of salts with cations such as potassium, sodium, magnesium, lithium, and ammonium, negatively charged phosphate groups are blocked, causing RNA molecules to aggregate and obtain total RNA insoluble in isopropanol.</w:t>
      </w:r>
    </w:p>
    <w:p w14:paraId="69E1A316" w14:textId="77777777" w:rsidR="0006037C" w:rsidRDefault="0006037C" w:rsidP="0006037C">
      <w:pPr>
        <w:pStyle w:val="EndNoteBibliography"/>
        <w:spacing w:line="360" w:lineRule="auto"/>
        <w:rPr>
          <w:rFonts w:ascii="Times New Roman" w:hAnsi="Times New Roman" w:cs="Times New Roman"/>
          <w:sz w:val="24"/>
        </w:rPr>
      </w:pPr>
      <w:r>
        <w:rPr>
          <w:rFonts w:ascii="Times New Roman" w:hAnsi="Times New Roman" w:cs="Times New Roman"/>
          <w:sz w:val="24"/>
        </w:rPr>
        <w:t xml:space="preserve">(2) </w:t>
      </w:r>
      <w:r w:rsidRPr="005C792A">
        <w:rPr>
          <w:rFonts w:ascii="Times New Roman" w:hAnsi="Times New Roman" w:cs="Times New Roman"/>
          <w:sz w:val="24"/>
        </w:rPr>
        <w:t>Quality control: Use Agilent2100 biological analyzer to detect RNA integrity. Separate RNA fragments of different sizes from the sample using capillary electrophoresis and embed fluorescent dyes to quantify RNA concentration based on fluorescence signal intensity.</w:t>
      </w:r>
    </w:p>
    <w:p w14:paraId="2F2CADD2" w14:textId="77777777" w:rsidR="0006037C" w:rsidRDefault="0006037C" w:rsidP="0006037C">
      <w:pPr>
        <w:pStyle w:val="EndNoteBibliography"/>
        <w:spacing w:line="360" w:lineRule="auto"/>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hint="eastAsia"/>
          <w:sz w:val="24"/>
        </w:rPr>
        <w:t>3</w:t>
      </w:r>
      <w:r>
        <w:rPr>
          <w:rFonts w:ascii="Times New Roman" w:hAnsi="Times New Roman" w:cs="Times New Roman"/>
          <w:sz w:val="24"/>
        </w:rPr>
        <w:t xml:space="preserve">) </w:t>
      </w:r>
      <w:r w:rsidRPr="005C792A">
        <w:rPr>
          <w:rFonts w:ascii="Times New Roman" w:hAnsi="Times New Roman" w:cs="Times New Roman"/>
          <w:sz w:val="24"/>
        </w:rPr>
        <w:t xml:space="preserve">Transcriptome sequencing: </w:t>
      </w:r>
      <w:r>
        <w:rPr>
          <w:rFonts w:ascii="Times New Roman" w:hAnsi="Times New Roman" w:cs="Times New Roman" w:hint="eastAsia"/>
          <w:sz w:val="24"/>
        </w:rPr>
        <w:t>R</w:t>
      </w:r>
      <w:r w:rsidRPr="005C792A">
        <w:rPr>
          <w:rFonts w:ascii="Times New Roman" w:hAnsi="Times New Roman" w:cs="Times New Roman"/>
          <w:sz w:val="24"/>
        </w:rPr>
        <w:t>ibosomal RNA</w:t>
      </w:r>
      <w:r>
        <w:rPr>
          <w:rFonts w:ascii="Times New Roman" w:hAnsi="Times New Roman" w:cs="Times New Roman"/>
          <w:sz w:val="24"/>
        </w:rPr>
        <w:t xml:space="preserve"> was removed</w:t>
      </w:r>
      <w:r w:rsidRPr="005C792A">
        <w:rPr>
          <w:rFonts w:ascii="Times New Roman" w:hAnsi="Times New Roman" w:cs="Times New Roman" w:hint="eastAsia"/>
          <w:sz w:val="24"/>
        </w:rPr>
        <w:t>,</w:t>
      </w:r>
      <w:r w:rsidRPr="005C792A">
        <w:rPr>
          <w:rFonts w:ascii="Times New Roman" w:hAnsi="Times New Roman" w:cs="Times New Roman"/>
          <w:sz w:val="24"/>
        </w:rPr>
        <w:t xml:space="preserve"> and the remaining RNA is reverse transcribed into complementary single stranded DNA, which is then used as a template to synthesize complementary strands of single stranded DNA to obtain double stranded DNA, and joint sequences </w:t>
      </w:r>
      <w:r>
        <w:rPr>
          <w:rFonts w:ascii="Times New Roman" w:hAnsi="Times New Roman" w:cs="Times New Roman"/>
          <w:sz w:val="24"/>
        </w:rPr>
        <w:t>were</w:t>
      </w:r>
      <w:r w:rsidRPr="005C792A">
        <w:rPr>
          <w:rFonts w:ascii="Times New Roman" w:hAnsi="Times New Roman" w:cs="Times New Roman"/>
          <w:sz w:val="24"/>
        </w:rPr>
        <w:t xml:space="preserve"> added at both ends. The PCR amplification product is cyclized to obtain a single stranded circular DNA library, and then it is loaded onto the swimming lane for sequencing with the</w:t>
      </w:r>
      <w:r>
        <w:rPr>
          <w:rFonts w:ascii="Times New Roman" w:hAnsi="Times New Roman" w:cs="Times New Roman"/>
          <w:sz w:val="24"/>
        </w:rPr>
        <w:t xml:space="preserve"> Illumina NovaSeq 6000 </w:t>
      </w:r>
      <w:r w:rsidRPr="005C792A">
        <w:rPr>
          <w:rFonts w:ascii="Times New Roman" w:hAnsi="Times New Roman" w:cs="Times New Roman"/>
          <w:sz w:val="24"/>
        </w:rPr>
        <w:t>(sequencing reading length is 100 bp)</w:t>
      </w:r>
      <w:r>
        <w:rPr>
          <w:rFonts w:ascii="Times New Roman" w:hAnsi="Times New Roman" w:cs="Times New Roman"/>
          <w:sz w:val="24"/>
        </w:rPr>
        <w:t>.</w:t>
      </w:r>
    </w:p>
    <w:p w14:paraId="25EDF0A1" w14:textId="19FC20F5" w:rsidR="0006037C" w:rsidRPr="00080924" w:rsidRDefault="0006037C" w:rsidP="0006037C">
      <w:pPr>
        <w:pStyle w:val="EndNoteBibliography"/>
        <w:spacing w:line="360" w:lineRule="auto"/>
        <w:rPr>
          <w:rFonts w:ascii="Times New Roman" w:hAnsi="Times New Roman" w:cs="Times New Roman"/>
          <w:sz w:val="24"/>
        </w:rPr>
      </w:pPr>
      <w:r>
        <w:rPr>
          <w:rFonts w:ascii="Times New Roman" w:hAnsi="Times New Roman" w:cs="Times New Roman"/>
          <w:sz w:val="24"/>
        </w:rPr>
        <w:t xml:space="preserve">(4) Transcriptome data processing and analysis: </w:t>
      </w:r>
      <w:r w:rsidRPr="004E69B0">
        <w:rPr>
          <w:rFonts w:ascii="Times New Roman" w:hAnsi="Times New Roman" w:cs="Times New Roman"/>
          <w:sz w:val="24"/>
        </w:rPr>
        <w:t>The original transcriptome sequencing data uses Bowtie2 paired ribosomal RNA (rRNA) database to filter the reads containing rRNA, and then use</w:t>
      </w:r>
      <w:r w:rsidR="00355B30">
        <w:rPr>
          <w:rFonts w:ascii="Times New Roman" w:hAnsi="Times New Roman" w:cs="Times New Roman"/>
          <w:sz w:val="24"/>
        </w:rPr>
        <w:t xml:space="preserve"> </w:t>
      </w:r>
      <w:r w:rsidRPr="004E69B0">
        <w:rPr>
          <w:rFonts w:ascii="Times New Roman" w:hAnsi="Times New Roman" w:cs="Times New Roman"/>
          <w:sz w:val="24"/>
        </w:rPr>
        <w:t xml:space="preserve">SOAPnuke to further filter the double ended sequencing reads: </w:t>
      </w:r>
      <w:r>
        <w:rPr>
          <w:rFonts w:ascii="Times New Roman" w:hAnsi="Times New Roman" w:cs="Times New Roman"/>
          <w:sz w:val="24"/>
        </w:rPr>
        <w:t>(</w:t>
      </w:r>
      <w:r w:rsidRPr="004E69B0">
        <w:rPr>
          <w:rFonts w:ascii="Times New Roman" w:hAnsi="Times New Roman" w:cs="Times New Roman"/>
          <w:sz w:val="24"/>
        </w:rPr>
        <w:t xml:space="preserve">1) Remove the reads containing the connector; </w:t>
      </w:r>
      <w:r>
        <w:rPr>
          <w:rFonts w:ascii="Times New Roman" w:hAnsi="Times New Roman" w:cs="Times New Roman"/>
          <w:sz w:val="24"/>
        </w:rPr>
        <w:t>(</w:t>
      </w:r>
      <w:r w:rsidRPr="004E69B0">
        <w:rPr>
          <w:rFonts w:ascii="Times New Roman" w:hAnsi="Times New Roman" w:cs="Times New Roman"/>
          <w:sz w:val="24"/>
        </w:rPr>
        <w:t xml:space="preserve">2) Remove low-quality reads (more than 50% of base mass&lt;5); </w:t>
      </w:r>
      <w:r>
        <w:rPr>
          <w:rFonts w:ascii="Times New Roman" w:hAnsi="Times New Roman" w:cs="Times New Roman"/>
          <w:sz w:val="24"/>
        </w:rPr>
        <w:t>(</w:t>
      </w:r>
      <w:r w:rsidRPr="004E69B0">
        <w:rPr>
          <w:rFonts w:ascii="Times New Roman" w:hAnsi="Times New Roman" w:cs="Times New Roman"/>
          <w:sz w:val="24"/>
        </w:rPr>
        <w:t xml:space="preserve">3) Remove reads containing more than 10% unknown bases; </w:t>
      </w:r>
      <w:r>
        <w:rPr>
          <w:rFonts w:ascii="Times New Roman" w:hAnsi="Times New Roman" w:cs="Times New Roman"/>
          <w:sz w:val="24"/>
        </w:rPr>
        <w:t>(</w:t>
      </w:r>
      <w:r w:rsidRPr="004E69B0">
        <w:rPr>
          <w:rFonts w:ascii="Times New Roman" w:hAnsi="Times New Roman" w:cs="Times New Roman"/>
          <w:sz w:val="24"/>
        </w:rPr>
        <w:t>4) Remove 15 bases from the reads header. Use Bowtie2 to pair the filtered reads to the UCSC human transcriptome (hg19).</w:t>
      </w:r>
      <w:r>
        <w:rPr>
          <w:rFonts w:ascii="Times New Roman" w:hAnsi="Times New Roman" w:cs="Times New Roman"/>
          <w:sz w:val="24"/>
        </w:rPr>
        <w:t xml:space="preserve"> </w:t>
      </w:r>
      <w:r w:rsidRPr="00080924">
        <w:rPr>
          <w:rFonts w:ascii="Times New Roman" w:hAnsi="Times New Roman" w:cs="Times New Roman"/>
          <w:sz w:val="24"/>
        </w:rPr>
        <w:t>All gene expression values were calculated using TPM (</w:t>
      </w:r>
      <w:r>
        <w:rPr>
          <w:rFonts w:ascii="Times New Roman" w:hAnsi="Times New Roman" w:cs="Times New Roman"/>
          <w:sz w:val="24"/>
        </w:rPr>
        <w:t>Transcripts Per Million</w:t>
      </w:r>
      <w:r w:rsidRPr="00080924">
        <w:rPr>
          <w:rFonts w:ascii="Times New Roman" w:hAnsi="Times New Roman" w:cs="Times New Roman" w:hint="eastAsia"/>
          <w:sz w:val="24"/>
        </w:rPr>
        <w:t>)</w:t>
      </w:r>
      <w:r w:rsidRPr="00080924">
        <w:rPr>
          <w:rFonts w:ascii="Times New Roman" w:hAnsi="Times New Roman" w:cs="Times New Roman"/>
          <w:sz w:val="24"/>
        </w:rPr>
        <w:t>.</w:t>
      </w:r>
      <w:r>
        <w:rPr>
          <w:rFonts w:ascii="Times New Roman" w:hAnsi="Times New Roman" w:cs="Times New Roman"/>
          <w:sz w:val="24"/>
        </w:rPr>
        <w:t xml:space="preserve"> </w:t>
      </w:r>
    </w:p>
    <w:p w14:paraId="5E2489A9" w14:textId="61255C4F" w:rsidR="008523EA" w:rsidRDefault="008523EA"/>
    <w:p w14:paraId="1F93AC1A" w14:textId="20C5A28D" w:rsidR="0006037C" w:rsidRPr="00B76DF4" w:rsidRDefault="0006037C" w:rsidP="0006037C">
      <w:pPr>
        <w:pStyle w:val="EndNoteBibliography"/>
        <w:rPr>
          <w:rFonts w:ascii="Times New Roman" w:hAnsi="Times New Roman" w:cs="Times New Roman"/>
          <w:b/>
          <w:bCs/>
          <w:sz w:val="24"/>
        </w:rPr>
      </w:pPr>
      <w:r w:rsidRPr="00B76DF4">
        <w:rPr>
          <w:rFonts w:ascii="Times New Roman" w:hAnsi="Times New Roman" w:cs="Times New Roman"/>
          <w:b/>
          <w:bCs/>
          <w:sz w:val="24"/>
        </w:rPr>
        <w:t xml:space="preserve">Immunohistochemical staining </w:t>
      </w:r>
    </w:p>
    <w:p w14:paraId="096421F7" w14:textId="157DFDBA" w:rsidR="0006037C" w:rsidRPr="00355B30" w:rsidRDefault="0006037C" w:rsidP="0006037C">
      <w:pPr>
        <w:spacing w:line="360" w:lineRule="auto"/>
        <w:rPr>
          <w:rFonts w:ascii="Times New Roman" w:hAnsi="Times New Roman" w:cs="Times New Roman"/>
          <w:sz w:val="24"/>
        </w:rPr>
      </w:pPr>
      <w:r w:rsidRPr="00355B30">
        <w:rPr>
          <w:rFonts w:ascii="Times New Roman" w:hAnsi="Times New Roman" w:cs="Times New Roman"/>
          <w:sz w:val="24"/>
        </w:rPr>
        <w:lastRenderedPageBreak/>
        <w:t>After deparaffinization, slides were hydrated in alcohol and endogenous peroxidase activity was quenched for 30 min in 10% hydrogen peroxide. Antigen epitope retrieval was induced by microwave heating. To examine the expression pattern of candidate antibodies in cHCC-CCA, sections were immunostained with primary antibodies overnight at 4°C.</w:t>
      </w:r>
      <w:r w:rsidR="00130EEF">
        <w:rPr>
          <w:rFonts w:ascii="Times New Roman" w:hAnsi="Times New Roman" w:cs="Times New Roman"/>
          <w:sz w:val="24"/>
        </w:rPr>
        <w:t xml:space="preserve"> </w:t>
      </w:r>
      <w:r w:rsidRPr="00355B30">
        <w:rPr>
          <w:rFonts w:ascii="Times New Roman" w:hAnsi="Times New Roman" w:cs="Times New Roman"/>
          <w:sz w:val="24"/>
        </w:rPr>
        <w:t>The CD8 (Cat #ab209775, Abcam) and PD-1 (Cat #ab237728, Abcam) were used as primary antibodies. The primary antibodies were applied sequentially, followed by incubation with horseradish peroxidase-conjugated secondary antibodies (1:1, Cat # DS9800, Lecia Biosystems. 1:1 Cat# A10011-6/A10012-6, WiSee Biotechnology), and tyramide signal amplification (M-D110051, WiSee Biotechnology). After each TSA operation, the slides were microwave heat-treated. Nuclei were stained with DAPI (D1306, ThermoFisher) following the labeling of all the aforementioned antigens. The stained slides were scanned with the Pannoramic MIDI imaging system (3D HISTECH) to obtain multispectral images.</w:t>
      </w:r>
    </w:p>
    <w:p w14:paraId="71533135" w14:textId="3FFDCD61" w:rsidR="0006037C" w:rsidRDefault="0006037C"/>
    <w:p w14:paraId="617E2636" w14:textId="0A05F6A2" w:rsidR="0026261C" w:rsidRPr="001D75ED" w:rsidRDefault="001D75ED" w:rsidP="0026261C">
      <w:pPr>
        <w:rPr>
          <w:rFonts w:ascii="Times New Roman" w:hAnsi="Times New Roman"/>
          <w:sz w:val="24"/>
        </w:rPr>
      </w:pPr>
      <w:bookmarkStart w:id="0" w:name="_GoBack"/>
      <w:r w:rsidRPr="001D75ED">
        <w:rPr>
          <w:rFonts w:ascii="Times New Roman" w:hAnsi="Times New Roman" w:cs="Times New Roman"/>
          <w:b/>
          <w:bCs/>
          <w:sz w:val="24"/>
        </w:rPr>
        <w:t>Table S</w:t>
      </w:r>
      <w:r w:rsidR="00DC270F" w:rsidRPr="001D75ED">
        <w:rPr>
          <w:rFonts w:ascii="Times New Roman" w:hAnsi="Times New Roman" w:cs="Times New Roman"/>
          <w:b/>
          <w:bCs/>
          <w:sz w:val="24"/>
        </w:rPr>
        <w:t>1</w:t>
      </w:r>
      <w:bookmarkEnd w:id="0"/>
      <w:r w:rsidR="0026261C" w:rsidRPr="001D75ED">
        <w:rPr>
          <w:rFonts w:ascii="Times New Roman" w:hAnsi="Times New Roman" w:cs="Times New Roman"/>
          <w:b/>
          <w:bCs/>
          <w:sz w:val="24"/>
        </w:rPr>
        <w:t xml:space="preserve">. </w:t>
      </w:r>
      <w:r w:rsidR="0026261C" w:rsidRPr="001D75ED">
        <w:rPr>
          <w:rFonts w:ascii="Times New Roman" w:hAnsi="Times New Roman"/>
          <w:b/>
          <w:bCs/>
          <w:sz w:val="24"/>
        </w:rPr>
        <w:t>Parameters of T1-weighted imaging, T2-weighted imaging and diffusion-weighted imaging</w:t>
      </w:r>
    </w:p>
    <w:tbl>
      <w:tblPr>
        <w:tblW w:w="8399" w:type="dxa"/>
        <w:tblBorders>
          <w:top w:val="single" w:sz="4" w:space="0" w:color="auto"/>
          <w:bottom w:val="single" w:sz="4" w:space="0" w:color="auto"/>
        </w:tblBorders>
        <w:tblLook w:val="04A0" w:firstRow="1" w:lastRow="0" w:firstColumn="1" w:lastColumn="0" w:noHBand="0" w:noVBand="1"/>
      </w:tblPr>
      <w:tblGrid>
        <w:gridCol w:w="1349"/>
        <w:gridCol w:w="2254"/>
        <w:gridCol w:w="1808"/>
        <w:gridCol w:w="1306"/>
        <w:gridCol w:w="1717"/>
      </w:tblGrid>
      <w:tr w:rsidR="0026261C" w14:paraId="0967CBD9" w14:textId="77777777" w:rsidTr="0026261C">
        <w:trPr>
          <w:trHeight w:val="701"/>
        </w:trPr>
        <w:tc>
          <w:tcPr>
            <w:tcW w:w="1314" w:type="dxa"/>
            <w:tcBorders>
              <w:top w:val="single" w:sz="4" w:space="0" w:color="auto"/>
              <w:left w:val="nil"/>
              <w:bottom w:val="single" w:sz="4" w:space="0" w:color="auto"/>
              <w:right w:val="nil"/>
            </w:tcBorders>
            <w:noWrap/>
            <w:vAlign w:val="center"/>
            <w:hideMark/>
          </w:tcPr>
          <w:p w14:paraId="1F509615" w14:textId="77777777" w:rsidR="0026261C" w:rsidRDefault="0026261C">
            <w:pPr>
              <w:widowControl/>
              <w:jc w:val="left"/>
              <w:rPr>
                <w:rFonts w:ascii="Times New Roman" w:hAnsi="Times New Roman"/>
                <w:color w:val="000000"/>
                <w:kern w:val="0"/>
                <w:sz w:val="24"/>
              </w:rPr>
            </w:pPr>
            <w:r>
              <w:rPr>
                <w:rFonts w:ascii="Times New Roman" w:hAnsi="Times New Roman"/>
                <w:color w:val="000000"/>
                <w:kern w:val="0"/>
                <w:sz w:val="24"/>
              </w:rPr>
              <w:t>Parameter</w:t>
            </w:r>
          </w:p>
        </w:tc>
        <w:tc>
          <w:tcPr>
            <w:tcW w:w="2254" w:type="dxa"/>
            <w:tcBorders>
              <w:top w:val="single" w:sz="4" w:space="0" w:color="auto"/>
              <w:left w:val="nil"/>
              <w:bottom w:val="single" w:sz="4" w:space="0" w:color="auto"/>
              <w:right w:val="nil"/>
            </w:tcBorders>
            <w:noWrap/>
            <w:vAlign w:val="center"/>
            <w:hideMark/>
          </w:tcPr>
          <w:p w14:paraId="719A6BA2"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T1 in-phase and opposed-phase imaging</w:t>
            </w:r>
          </w:p>
        </w:tc>
        <w:tc>
          <w:tcPr>
            <w:tcW w:w="1808" w:type="dxa"/>
            <w:tcBorders>
              <w:top w:val="single" w:sz="4" w:space="0" w:color="auto"/>
              <w:left w:val="nil"/>
              <w:bottom w:val="single" w:sz="4" w:space="0" w:color="auto"/>
              <w:right w:val="nil"/>
            </w:tcBorders>
            <w:noWrap/>
            <w:vAlign w:val="center"/>
            <w:hideMark/>
          </w:tcPr>
          <w:p w14:paraId="4C20150B"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FS-T1-weighted quick3D BH</w:t>
            </w:r>
          </w:p>
        </w:tc>
        <w:tc>
          <w:tcPr>
            <w:tcW w:w="1306" w:type="dxa"/>
            <w:tcBorders>
              <w:top w:val="single" w:sz="4" w:space="0" w:color="auto"/>
              <w:left w:val="nil"/>
              <w:bottom w:val="single" w:sz="4" w:space="0" w:color="auto"/>
              <w:right w:val="nil"/>
            </w:tcBorders>
            <w:noWrap/>
            <w:vAlign w:val="center"/>
            <w:hideMark/>
          </w:tcPr>
          <w:p w14:paraId="05D4361E"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FS-T2-weighted</w:t>
            </w:r>
          </w:p>
        </w:tc>
        <w:tc>
          <w:tcPr>
            <w:tcW w:w="1717" w:type="dxa"/>
            <w:tcBorders>
              <w:top w:val="single" w:sz="4" w:space="0" w:color="auto"/>
              <w:left w:val="nil"/>
              <w:bottom w:val="single" w:sz="4" w:space="0" w:color="auto"/>
              <w:right w:val="nil"/>
            </w:tcBorders>
            <w:noWrap/>
            <w:vAlign w:val="center"/>
            <w:hideMark/>
          </w:tcPr>
          <w:p w14:paraId="392CDEB0"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 xml:space="preserve">Diffusion-weighted imaging </w:t>
            </w:r>
          </w:p>
        </w:tc>
      </w:tr>
      <w:tr w:rsidR="0026261C" w14:paraId="72E939CB" w14:textId="77777777" w:rsidTr="0026261C">
        <w:trPr>
          <w:trHeight w:val="701"/>
        </w:trPr>
        <w:tc>
          <w:tcPr>
            <w:tcW w:w="1314" w:type="dxa"/>
            <w:tcBorders>
              <w:top w:val="single" w:sz="4" w:space="0" w:color="auto"/>
              <w:left w:val="nil"/>
              <w:bottom w:val="nil"/>
              <w:right w:val="nil"/>
            </w:tcBorders>
            <w:noWrap/>
            <w:vAlign w:val="center"/>
            <w:hideMark/>
          </w:tcPr>
          <w:p w14:paraId="6E04095D" w14:textId="77777777" w:rsidR="0026261C" w:rsidRDefault="0026261C">
            <w:pPr>
              <w:widowControl/>
              <w:jc w:val="left"/>
              <w:rPr>
                <w:rFonts w:ascii="Times New Roman" w:hAnsi="Times New Roman"/>
                <w:color w:val="000000"/>
                <w:kern w:val="0"/>
                <w:sz w:val="24"/>
              </w:rPr>
            </w:pPr>
            <w:r>
              <w:rPr>
                <w:rFonts w:ascii="Times New Roman" w:hAnsi="Times New Roman"/>
                <w:color w:val="000000"/>
                <w:kern w:val="0"/>
                <w:sz w:val="24"/>
              </w:rPr>
              <w:t>Repetition time (ms)</w:t>
            </w:r>
          </w:p>
        </w:tc>
        <w:tc>
          <w:tcPr>
            <w:tcW w:w="2254" w:type="dxa"/>
            <w:tcBorders>
              <w:top w:val="single" w:sz="4" w:space="0" w:color="auto"/>
              <w:left w:val="nil"/>
              <w:bottom w:val="nil"/>
              <w:right w:val="nil"/>
            </w:tcBorders>
            <w:noWrap/>
            <w:vAlign w:val="center"/>
            <w:hideMark/>
          </w:tcPr>
          <w:p w14:paraId="2BE82435"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115.8</w:t>
            </w:r>
          </w:p>
        </w:tc>
        <w:tc>
          <w:tcPr>
            <w:tcW w:w="1808" w:type="dxa"/>
            <w:tcBorders>
              <w:top w:val="single" w:sz="4" w:space="0" w:color="auto"/>
              <w:left w:val="nil"/>
              <w:bottom w:val="nil"/>
              <w:right w:val="nil"/>
            </w:tcBorders>
            <w:noWrap/>
            <w:vAlign w:val="center"/>
            <w:hideMark/>
          </w:tcPr>
          <w:p w14:paraId="03C1BCA1"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4.4</w:t>
            </w:r>
          </w:p>
        </w:tc>
        <w:tc>
          <w:tcPr>
            <w:tcW w:w="1306" w:type="dxa"/>
            <w:tcBorders>
              <w:top w:val="single" w:sz="4" w:space="0" w:color="auto"/>
              <w:left w:val="nil"/>
              <w:bottom w:val="nil"/>
              <w:right w:val="nil"/>
            </w:tcBorders>
            <w:noWrap/>
            <w:vAlign w:val="center"/>
            <w:hideMark/>
          </w:tcPr>
          <w:p w14:paraId="3A6E28E2"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2693</w:t>
            </w:r>
          </w:p>
        </w:tc>
        <w:tc>
          <w:tcPr>
            <w:tcW w:w="1717" w:type="dxa"/>
            <w:tcBorders>
              <w:top w:val="single" w:sz="4" w:space="0" w:color="auto"/>
              <w:left w:val="nil"/>
              <w:bottom w:val="nil"/>
              <w:right w:val="nil"/>
            </w:tcBorders>
            <w:noWrap/>
            <w:vAlign w:val="center"/>
            <w:hideMark/>
          </w:tcPr>
          <w:p w14:paraId="2F232904"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2807</w:t>
            </w:r>
          </w:p>
        </w:tc>
      </w:tr>
      <w:tr w:rsidR="0026261C" w14:paraId="7B460017" w14:textId="77777777" w:rsidTr="0026261C">
        <w:trPr>
          <w:trHeight w:val="341"/>
        </w:trPr>
        <w:tc>
          <w:tcPr>
            <w:tcW w:w="1314" w:type="dxa"/>
            <w:tcBorders>
              <w:top w:val="nil"/>
              <w:left w:val="nil"/>
              <w:bottom w:val="nil"/>
              <w:right w:val="nil"/>
            </w:tcBorders>
            <w:noWrap/>
            <w:vAlign w:val="center"/>
            <w:hideMark/>
          </w:tcPr>
          <w:p w14:paraId="785B1B8D" w14:textId="77777777" w:rsidR="0026261C" w:rsidRDefault="0026261C">
            <w:pPr>
              <w:widowControl/>
              <w:jc w:val="left"/>
              <w:rPr>
                <w:rFonts w:ascii="Times New Roman" w:hAnsi="Times New Roman"/>
                <w:color w:val="000000"/>
                <w:kern w:val="0"/>
                <w:sz w:val="24"/>
              </w:rPr>
            </w:pPr>
            <w:r>
              <w:rPr>
                <w:rFonts w:ascii="Times New Roman" w:hAnsi="Times New Roman"/>
                <w:color w:val="000000"/>
                <w:kern w:val="0"/>
                <w:sz w:val="24"/>
              </w:rPr>
              <w:t>Echo time (ms)</w:t>
            </w:r>
          </w:p>
        </w:tc>
        <w:tc>
          <w:tcPr>
            <w:tcW w:w="2254" w:type="dxa"/>
            <w:tcBorders>
              <w:top w:val="nil"/>
              <w:left w:val="nil"/>
              <w:bottom w:val="nil"/>
              <w:right w:val="nil"/>
            </w:tcBorders>
            <w:noWrap/>
            <w:vAlign w:val="center"/>
            <w:hideMark/>
          </w:tcPr>
          <w:p w14:paraId="5A3CE556"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4.7 and 2.2</w:t>
            </w:r>
          </w:p>
        </w:tc>
        <w:tc>
          <w:tcPr>
            <w:tcW w:w="1808" w:type="dxa"/>
            <w:tcBorders>
              <w:top w:val="nil"/>
              <w:left w:val="nil"/>
              <w:bottom w:val="nil"/>
              <w:right w:val="nil"/>
            </w:tcBorders>
            <w:noWrap/>
            <w:vAlign w:val="center"/>
            <w:hideMark/>
          </w:tcPr>
          <w:p w14:paraId="6D36EA7B"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2.2</w:t>
            </w:r>
          </w:p>
        </w:tc>
        <w:tc>
          <w:tcPr>
            <w:tcW w:w="1306" w:type="dxa"/>
            <w:tcBorders>
              <w:top w:val="nil"/>
              <w:left w:val="nil"/>
              <w:bottom w:val="nil"/>
              <w:right w:val="nil"/>
            </w:tcBorders>
            <w:noWrap/>
            <w:vAlign w:val="center"/>
            <w:hideMark/>
          </w:tcPr>
          <w:p w14:paraId="6ECE7382"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85.6</w:t>
            </w:r>
          </w:p>
        </w:tc>
        <w:tc>
          <w:tcPr>
            <w:tcW w:w="1717" w:type="dxa"/>
            <w:tcBorders>
              <w:top w:val="nil"/>
              <w:left w:val="nil"/>
              <w:bottom w:val="nil"/>
              <w:right w:val="nil"/>
            </w:tcBorders>
            <w:noWrap/>
            <w:vAlign w:val="center"/>
            <w:hideMark/>
          </w:tcPr>
          <w:p w14:paraId="013221C4"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75.7</w:t>
            </w:r>
          </w:p>
        </w:tc>
      </w:tr>
      <w:tr w:rsidR="0026261C" w14:paraId="6BB35EEF" w14:textId="77777777" w:rsidTr="0026261C">
        <w:trPr>
          <w:trHeight w:val="341"/>
        </w:trPr>
        <w:tc>
          <w:tcPr>
            <w:tcW w:w="1314" w:type="dxa"/>
            <w:tcBorders>
              <w:top w:val="nil"/>
              <w:left w:val="nil"/>
              <w:bottom w:val="nil"/>
              <w:right w:val="nil"/>
            </w:tcBorders>
            <w:noWrap/>
            <w:vAlign w:val="center"/>
            <w:hideMark/>
          </w:tcPr>
          <w:p w14:paraId="477E72C9" w14:textId="77777777" w:rsidR="0026261C" w:rsidRDefault="0026261C">
            <w:pPr>
              <w:widowControl/>
              <w:jc w:val="left"/>
              <w:rPr>
                <w:rFonts w:ascii="Times New Roman" w:hAnsi="Times New Roman"/>
                <w:color w:val="000000"/>
                <w:kern w:val="0"/>
                <w:sz w:val="24"/>
              </w:rPr>
            </w:pPr>
            <w:r>
              <w:rPr>
                <w:rFonts w:ascii="Times New Roman" w:hAnsi="Times New Roman"/>
                <w:color w:val="000000"/>
                <w:kern w:val="0"/>
                <w:sz w:val="24"/>
              </w:rPr>
              <w:t>Matrix size</w:t>
            </w:r>
          </w:p>
        </w:tc>
        <w:tc>
          <w:tcPr>
            <w:tcW w:w="2254" w:type="dxa"/>
            <w:tcBorders>
              <w:top w:val="nil"/>
              <w:left w:val="nil"/>
              <w:bottom w:val="nil"/>
              <w:right w:val="nil"/>
            </w:tcBorders>
            <w:noWrap/>
            <w:vAlign w:val="center"/>
            <w:hideMark/>
          </w:tcPr>
          <w:p w14:paraId="590654C5"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230×288</w:t>
            </w:r>
          </w:p>
        </w:tc>
        <w:tc>
          <w:tcPr>
            <w:tcW w:w="1808" w:type="dxa"/>
            <w:tcBorders>
              <w:top w:val="nil"/>
              <w:left w:val="nil"/>
              <w:bottom w:val="nil"/>
              <w:right w:val="nil"/>
            </w:tcBorders>
            <w:noWrap/>
            <w:vAlign w:val="center"/>
            <w:hideMark/>
          </w:tcPr>
          <w:p w14:paraId="62EEFBE8"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192×256</w:t>
            </w:r>
          </w:p>
        </w:tc>
        <w:tc>
          <w:tcPr>
            <w:tcW w:w="1306" w:type="dxa"/>
            <w:tcBorders>
              <w:top w:val="nil"/>
              <w:left w:val="nil"/>
              <w:bottom w:val="nil"/>
              <w:right w:val="nil"/>
            </w:tcBorders>
            <w:noWrap/>
            <w:vAlign w:val="center"/>
            <w:hideMark/>
          </w:tcPr>
          <w:p w14:paraId="0542D42B"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201×288</w:t>
            </w:r>
          </w:p>
        </w:tc>
        <w:tc>
          <w:tcPr>
            <w:tcW w:w="1717" w:type="dxa"/>
            <w:tcBorders>
              <w:top w:val="nil"/>
              <w:left w:val="nil"/>
              <w:bottom w:val="nil"/>
              <w:right w:val="nil"/>
            </w:tcBorders>
            <w:noWrap/>
            <w:vAlign w:val="center"/>
            <w:hideMark/>
          </w:tcPr>
          <w:p w14:paraId="6FD223C6"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115×128</w:t>
            </w:r>
          </w:p>
        </w:tc>
      </w:tr>
      <w:tr w:rsidR="0026261C" w14:paraId="6C0A6830" w14:textId="77777777" w:rsidTr="0026261C">
        <w:trPr>
          <w:trHeight w:val="682"/>
        </w:trPr>
        <w:tc>
          <w:tcPr>
            <w:tcW w:w="1314" w:type="dxa"/>
            <w:tcBorders>
              <w:top w:val="nil"/>
              <w:left w:val="nil"/>
              <w:bottom w:val="nil"/>
              <w:right w:val="nil"/>
            </w:tcBorders>
            <w:noWrap/>
            <w:vAlign w:val="center"/>
            <w:hideMark/>
          </w:tcPr>
          <w:p w14:paraId="5B4DE857" w14:textId="77777777" w:rsidR="0026261C" w:rsidRDefault="0026261C">
            <w:pPr>
              <w:widowControl/>
              <w:jc w:val="left"/>
              <w:rPr>
                <w:rFonts w:ascii="Times New Roman" w:hAnsi="Times New Roman"/>
                <w:color w:val="000000"/>
                <w:kern w:val="0"/>
                <w:sz w:val="24"/>
              </w:rPr>
            </w:pPr>
            <w:r>
              <w:rPr>
                <w:rFonts w:ascii="Times New Roman" w:hAnsi="Times New Roman"/>
                <w:color w:val="000000"/>
                <w:kern w:val="0"/>
                <w:sz w:val="24"/>
              </w:rPr>
              <w:t>Field of view (mm2)</w:t>
            </w:r>
          </w:p>
        </w:tc>
        <w:tc>
          <w:tcPr>
            <w:tcW w:w="2254" w:type="dxa"/>
            <w:tcBorders>
              <w:top w:val="nil"/>
              <w:left w:val="nil"/>
              <w:bottom w:val="nil"/>
              <w:right w:val="nil"/>
            </w:tcBorders>
            <w:noWrap/>
            <w:vAlign w:val="center"/>
            <w:hideMark/>
          </w:tcPr>
          <w:p w14:paraId="56D732A3"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400×280</w:t>
            </w:r>
          </w:p>
        </w:tc>
        <w:tc>
          <w:tcPr>
            <w:tcW w:w="1808" w:type="dxa"/>
            <w:tcBorders>
              <w:top w:val="nil"/>
              <w:left w:val="nil"/>
              <w:bottom w:val="nil"/>
              <w:right w:val="nil"/>
            </w:tcBorders>
            <w:noWrap/>
            <w:vAlign w:val="center"/>
            <w:hideMark/>
          </w:tcPr>
          <w:p w14:paraId="18BE79AC"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400×280</w:t>
            </w:r>
          </w:p>
        </w:tc>
        <w:tc>
          <w:tcPr>
            <w:tcW w:w="1306" w:type="dxa"/>
            <w:tcBorders>
              <w:top w:val="nil"/>
              <w:left w:val="nil"/>
              <w:bottom w:val="nil"/>
              <w:right w:val="nil"/>
            </w:tcBorders>
            <w:noWrap/>
            <w:vAlign w:val="center"/>
            <w:hideMark/>
          </w:tcPr>
          <w:p w14:paraId="5E4E88E2"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380×360</w:t>
            </w:r>
          </w:p>
        </w:tc>
        <w:tc>
          <w:tcPr>
            <w:tcW w:w="1717" w:type="dxa"/>
            <w:tcBorders>
              <w:top w:val="nil"/>
              <w:left w:val="nil"/>
              <w:bottom w:val="nil"/>
              <w:right w:val="nil"/>
            </w:tcBorders>
            <w:noWrap/>
            <w:vAlign w:val="center"/>
            <w:hideMark/>
          </w:tcPr>
          <w:p w14:paraId="05E6384C"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380×300</w:t>
            </w:r>
          </w:p>
        </w:tc>
      </w:tr>
      <w:tr w:rsidR="0026261C" w14:paraId="43546D6C" w14:textId="77777777" w:rsidTr="0026261C">
        <w:trPr>
          <w:trHeight w:val="682"/>
        </w:trPr>
        <w:tc>
          <w:tcPr>
            <w:tcW w:w="1314" w:type="dxa"/>
            <w:tcBorders>
              <w:top w:val="nil"/>
              <w:left w:val="nil"/>
              <w:bottom w:val="nil"/>
              <w:right w:val="nil"/>
            </w:tcBorders>
            <w:noWrap/>
            <w:vAlign w:val="center"/>
            <w:hideMark/>
          </w:tcPr>
          <w:p w14:paraId="664BFC8F" w14:textId="77777777" w:rsidR="0026261C" w:rsidRDefault="0026261C">
            <w:pPr>
              <w:widowControl/>
              <w:jc w:val="left"/>
              <w:rPr>
                <w:rFonts w:ascii="Times New Roman" w:hAnsi="Times New Roman"/>
                <w:color w:val="000000"/>
                <w:kern w:val="0"/>
                <w:sz w:val="24"/>
              </w:rPr>
            </w:pPr>
            <w:r>
              <w:rPr>
                <w:rFonts w:ascii="Times New Roman" w:hAnsi="Times New Roman"/>
                <w:color w:val="000000"/>
                <w:kern w:val="0"/>
                <w:sz w:val="24"/>
              </w:rPr>
              <w:t>Section thickness (mm)</w:t>
            </w:r>
          </w:p>
        </w:tc>
        <w:tc>
          <w:tcPr>
            <w:tcW w:w="2254" w:type="dxa"/>
            <w:tcBorders>
              <w:top w:val="nil"/>
              <w:left w:val="nil"/>
              <w:bottom w:val="nil"/>
              <w:right w:val="nil"/>
            </w:tcBorders>
            <w:noWrap/>
            <w:vAlign w:val="center"/>
            <w:hideMark/>
          </w:tcPr>
          <w:p w14:paraId="0C24F55C"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6</w:t>
            </w:r>
          </w:p>
        </w:tc>
        <w:tc>
          <w:tcPr>
            <w:tcW w:w="1808" w:type="dxa"/>
            <w:tcBorders>
              <w:top w:val="nil"/>
              <w:left w:val="nil"/>
              <w:bottom w:val="nil"/>
              <w:right w:val="nil"/>
            </w:tcBorders>
            <w:noWrap/>
            <w:vAlign w:val="center"/>
            <w:hideMark/>
          </w:tcPr>
          <w:p w14:paraId="00E5841F"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3</w:t>
            </w:r>
          </w:p>
        </w:tc>
        <w:tc>
          <w:tcPr>
            <w:tcW w:w="1306" w:type="dxa"/>
            <w:tcBorders>
              <w:top w:val="nil"/>
              <w:left w:val="nil"/>
              <w:bottom w:val="nil"/>
              <w:right w:val="nil"/>
            </w:tcBorders>
            <w:noWrap/>
            <w:vAlign w:val="center"/>
            <w:hideMark/>
          </w:tcPr>
          <w:p w14:paraId="000A477F"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6</w:t>
            </w:r>
          </w:p>
        </w:tc>
        <w:tc>
          <w:tcPr>
            <w:tcW w:w="1717" w:type="dxa"/>
            <w:tcBorders>
              <w:top w:val="nil"/>
              <w:left w:val="nil"/>
              <w:bottom w:val="nil"/>
              <w:right w:val="nil"/>
            </w:tcBorders>
            <w:noWrap/>
            <w:vAlign w:val="center"/>
            <w:hideMark/>
          </w:tcPr>
          <w:p w14:paraId="25658963"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6</w:t>
            </w:r>
          </w:p>
        </w:tc>
      </w:tr>
      <w:tr w:rsidR="0026261C" w14:paraId="3726CD79" w14:textId="77777777" w:rsidTr="0026261C">
        <w:trPr>
          <w:trHeight w:val="701"/>
        </w:trPr>
        <w:tc>
          <w:tcPr>
            <w:tcW w:w="1314" w:type="dxa"/>
            <w:tcBorders>
              <w:top w:val="nil"/>
              <w:left w:val="nil"/>
              <w:bottom w:val="single" w:sz="4" w:space="0" w:color="auto"/>
              <w:right w:val="nil"/>
            </w:tcBorders>
            <w:noWrap/>
            <w:vAlign w:val="center"/>
            <w:hideMark/>
          </w:tcPr>
          <w:p w14:paraId="18F69C6B" w14:textId="77777777" w:rsidR="0026261C" w:rsidRDefault="0026261C">
            <w:pPr>
              <w:widowControl/>
              <w:jc w:val="left"/>
              <w:rPr>
                <w:rFonts w:ascii="Times New Roman" w:hAnsi="Times New Roman"/>
                <w:color w:val="000000"/>
                <w:kern w:val="0"/>
                <w:sz w:val="24"/>
              </w:rPr>
            </w:pPr>
            <w:r>
              <w:rPr>
                <w:rFonts w:ascii="Times New Roman" w:hAnsi="Times New Roman"/>
                <w:color w:val="000000"/>
                <w:kern w:val="0"/>
                <w:sz w:val="24"/>
              </w:rPr>
              <w:t>Intersection gap (mm)</w:t>
            </w:r>
          </w:p>
        </w:tc>
        <w:tc>
          <w:tcPr>
            <w:tcW w:w="2254" w:type="dxa"/>
            <w:tcBorders>
              <w:top w:val="nil"/>
              <w:left w:val="nil"/>
              <w:bottom w:val="single" w:sz="4" w:space="0" w:color="auto"/>
              <w:right w:val="nil"/>
            </w:tcBorders>
            <w:noWrap/>
            <w:vAlign w:val="center"/>
            <w:hideMark/>
          </w:tcPr>
          <w:p w14:paraId="47DB7E4D"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1.2</w:t>
            </w:r>
          </w:p>
        </w:tc>
        <w:tc>
          <w:tcPr>
            <w:tcW w:w="1808" w:type="dxa"/>
            <w:tcBorders>
              <w:top w:val="nil"/>
              <w:left w:val="nil"/>
              <w:bottom w:val="single" w:sz="4" w:space="0" w:color="auto"/>
              <w:right w:val="nil"/>
            </w:tcBorders>
            <w:noWrap/>
            <w:vAlign w:val="center"/>
            <w:hideMark/>
          </w:tcPr>
          <w:p w14:paraId="4A892A1C"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0</w:t>
            </w:r>
          </w:p>
        </w:tc>
        <w:tc>
          <w:tcPr>
            <w:tcW w:w="1306" w:type="dxa"/>
            <w:tcBorders>
              <w:top w:val="nil"/>
              <w:left w:val="nil"/>
              <w:bottom w:val="single" w:sz="4" w:space="0" w:color="auto"/>
              <w:right w:val="nil"/>
            </w:tcBorders>
            <w:noWrap/>
            <w:vAlign w:val="center"/>
            <w:hideMark/>
          </w:tcPr>
          <w:p w14:paraId="0B2161B8"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1.2</w:t>
            </w:r>
          </w:p>
        </w:tc>
        <w:tc>
          <w:tcPr>
            <w:tcW w:w="1717" w:type="dxa"/>
            <w:tcBorders>
              <w:top w:val="nil"/>
              <w:left w:val="nil"/>
              <w:bottom w:val="single" w:sz="4" w:space="0" w:color="auto"/>
              <w:right w:val="nil"/>
            </w:tcBorders>
            <w:noWrap/>
            <w:vAlign w:val="center"/>
            <w:hideMark/>
          </w:tcPr>
          <w:p w14:paraId="1AAE98C0" w14:textId="77777777" w:rsidR="0026261C" w:rsidRDefault="0026261C">
            <w:pPr>
              <w:widowControl/>
              <w:jc w:val="center"/>
              <w:rPr>
                <w:rFonts w:ascii="Times New Roman" w:hAnsi="Times New Roman"/>
                <w:color w:val="000000"/>
                <w:kern w:val="0"/>
                <w:sz w:val="24"/>
              </w:rPr>
            </w:pPr>
            <w:r>
              <w:rPr>
                <w:rFonts w:ascii="Times New Roman" w:hAnsi="Times New Roman"/>
                <w:color w:val="000000"/>
                <w:kern w:val="0"/>
                <w:sz w:val="24"/>
              </w:rPr>
              <w:t>1.2</w:t>
            </w:r>
          </w:p>
        </w:tc>
      </w:tr>
    </w:tbl>
    <w:p w14:paraId="06BCD9FC" w14:textId="3F8CD3E9" w:rsidR="00DC270F" w:rsidRPr="0026261C" w:rsidRDefault="00DC270F">
      <w:pPr>
        <w:rPr>
          <w:rFonts w:ascii="Times New Roman" w:hAnsi="Times New Roman" w:cs="Times New Roman"/>
          <w:b/>
          <w:bCs/>
        </w:rPr>
      </w:pPr>
    </w:p>
    <w:p w14:paraId="5BA911C6" w14:textId="33B409AF" w:rsidR="00DC270F" w:rsidRPr="00FE1315" w:rsidRDefault="0026261C">
      <w:pPr>
        <w:rPr>
          <w:rFonts w:ascii="Times New Roman" w:hAnsi="Times New Roman" w:cs="Times New Roman"/>
          <w:b/>
          <w:bCs/>
          <w:sz w:val="24"/>
        </w:rPr>
      </w:pPr>
      <w:r w:rsidRPr="00FE1315">
        <w:rPr>
          <w:rFonts w:ascii="Times New Roman" w:hAnsi="Times New Roman" w:cs="Times New Roman" w:hint="eastAsia"/>
          <w:b/>
          <w:bCs/>
          <w:sz w:val="24"/>
        </w:rPr>
        <w:t>T</w:t>
      </w:r>
      <w:r w:rsidR="001D75ED">
        <w:rPr>
          <w:rFonts w:ascii="Times New Roman" w:hAnsi="Times New Roman" w:cs="Times New Roman"/>
          <w:b/>
          <w:bCs/>
          <w:sz w:val="24"/>
        </w:rPr>
        <w:t>able S</w:t>
      </w:r>
      <w:r w:rsidRPr="00FE1315">
        <w:rPr>
          <w:rFonts w:ascii="Times New Roman" w:hAnsi="Times New Roman" w:cs="Times New Roman"/>
          <w:b/>
          <w:bCs/>
          <w:sz w:val="24"/>
        </w:rPr>
        <w:t>2</w:t>
      </w:r>
      <w:r w:rsidR="0072735F" w:rsidRPr="00FE1315">
        <w:rPr>
          <w:rFonts w:ascii="Times New Roman" w:hAnsi="Times New Roman" w:cs="Times New Roman"/>
          <w:b/>
          <w:bCs/>
          <w:sz w:val="24"/>
        </w:rPr>
        <w:t>. Optimal features in the radiomics model</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9"/>
        <w:gridCol w:w="1481"/>
      </w:tblGrid>
      <w:tr w:rsidR="003A126E" w:rsidRPr="00FE1315" w14:paraId="7083FF66" w14:textId="4885901E" w:rsidTr="003A126E">
        <w:tc>
          <w:tcPr>
            <w:tcW w:w="5240" w:type="dxa"/>
            <w:tcBorders>
              <w:top w:val="single" w:sz="4" w:space="0" w:color="auto"/>
              <w:bottom w:val="single" w:sz="4" w:space="0" w:color="auto"/>
            </w:tcBorders>
          </w:tcPr>
          <w:p w14:paraId="797FEA34" w14:textId="051AA3A7" w:rsidR="003A126E" w:rsidRPr="00FE1315" w:rsidRDefault="003A126E">
            <w:pPr>
              <w:rPr>
                <w:rFonts w:ascii="Times New Roman" w:hAnsi="Times New Roman" w:cs="Times New Roman"/>
                <w:b/>
                <w:bCs/>
                <w:sz w:val="24"/>
              </w:rPr>
            </w:pPr>
            <w:r w:rsidRPr="00FE1315">
              <w:rPr>
                <w:rFonts w:ascii="Times New Roman" w:hAnsi="Times New Roman" w:cs="Times New Roman" w:hint="eastAsia"/>
                <w:b/>
                <w:bCs/>
                <w:sz w:val="24"/>
              </w:rPr>
              <w:t>R</w:t>
            </w:r>
            <w:r w:rsidRPr="00FE1315">
              <w:rPr>
                <w:rFonts w:ascii="Times New Roman" w:hAnsi="Times New Roman" w:cs="Times New Roman"/>
                <w:b/>
                <w:bCs/>
                <w:sz w:val="24"/>
              </w:rPr>
              <w:t>adiomic feature</w:t>
            </w:r>
          </w:p>
        </w:tc>
        <w:tc>
          <w:tcPr>
            <w:tcW w:w="1481" w:type="dxa"/>
            <w:tcBorders>
              <w:top w:val="single" w:sz="4" w:space="0" w:color="auto"/>
              <w:bottom w:val="single" w:sz="4" w:space="0" w:color="auto"/>
            </w:tcBorders>
          </w:tcPr>
          <w:p w14:paraId="3B48BCE9" w14:textId="6DE8BB65" w:rsidR="003A126E" w:rsidRPr="00FE1315" w:rsidRDefault="003A126E">
            <w:pPr>
              <w:rPr>
                <w:rFonts w:ascii="Times New Roman" w:hAnsi="Times New Roman" w:cs="Times New Roman"/>
                <w:b/>
                <w:bCs/>
                <w:sz w:val="24"/>
              </w:rPr>
            </w:pPr>
            <w:r w:rsidRPr="00FE1315">
              <w:rPr>
                <w:rFonts w:ascii="Times New Roman" w:hAnsi="Times New Roman" w:cs="Times New Roman" w:hint="eastAsia"/>
                <w:b/>
                <w:bCs/>
                <w:sz w:val="24"/>
              </w:rPr>
              <w:t>C</w:t>
            </w:r>
            <w:r w:rsidRPr="00FE1315">
              <w:rPr>
                <w:rFonts w:ascii="Times New Roman" w:hAnsi="Times New Roman" w:cs="Times New Roman"/>
                <w:b/>
                <w:bCs/>
                <w:sz w:val="24"/>
              </w:rPr>
              <w:t>oefficient</w:t>
            </w:r>
          </w:p>
        </w:tc>
      </w:tr>
      <w:tr w:rsidR="003A126E" w:rsidRPr="00FE1315" w14:paraId="2BE4BF89" w14:textId="284FF9D2" w:rsidTr="003A126E">
        <w:tc>
          <w:tcPr>
            <w:tcW w:w="5240" w:type="dxa"/>
            <w:tcBorders>
              <w:top w:val="single" w:sz="4" w:space="0" w:color="auto"/>
            </w:tcBorders>
          </w:tcPr>
          <w:p w14:paraId="12E9D435" w14:textId="4CEFF02A"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t>F1: Original_Glszm_GrayLevelNonUniformity_AP</w:t>
            </w:r>
          </w:p>
        </w:tc>
        <w:tc>
          <w:tcPr>
            <w:tcW w:w="1481" w:type="dxa"/>
            <w:tcBorders>
              <w:top w:val="single" w:sz="4" w:space="0" w:color="auto"/>
            </w:tcBorders>
          </w:tcPr>
          <w:p w14:paraId="2F7EBB50" w14:textId="43239C9D" w:rsidR="003A126E" w:rsidRPr="00FE1315" w:rsidRDefault="003A126E">
            <w:pPr>
              <w:rPr>
                <w:rFonts w:ascii="Times New Roman" w:hAnsi="Times New Roman" w:cs="Times New Roman"/>
                <w:sz w:val="24"/>
              </w:rPr>
            </w:pPr>
            <w:r w:rsidRPr="00FE1315">
              <w:rPr>
                <w:rFonts w:ascii="Times New Roman" w:hAnsi="Times New Roman" w:cs="Times New Roman" w:hint="eastAsia"/>
                <w:sz w:val="24"/>
              </w:rPr>
              <w:t>1</w:t>
            </w:r>
            <w:r w:rsidRPr="00FE1315">
              <w:rPr>
                <w:rFonts w:ascii="Times New Roman" w:hAnsi="Times New Roman" w:cs="Times New Roman"/>
                <w:sz w:val="24"/>
              </w:rPr>
              <w:t>.946</w:t>
            </w:r>
          </w:p>
        </w:tc>
      </w:tr>
      <w:tr w:rsidR="003A126E" w:rsidRPr="00FE1315" w14:paraId="454FEFE1" w14:textId="12D04AA1" w:rsidTr="003A126E">
        <w:tc>
          <w:tcPr>
            <w:tcW w:w="5240" w:type="dxa"/>
          </w:tcPr>
          <w:p w14:paraId="0194AB96" w14:textId="74DB0D0B"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t xml:space="preserve">F2: </w:t>
            </w:r>
            <w:r w:rsidRPr="00FE1315">
              <w:rPr>
                <w:rFonts w:ascii="Times New Roman" w:hAnsi="Times New Roman" w:cs="Times New Roman"/>
                <w:sz w:val="24"/>
              </w:rPr>
              <w:lastRenderedPageBreak/>
              <w:t>Normalize_Glrlm_HighGrayLevelRunEmphasis_AP</w:t>
            </w:r>
          </w:p>
        </w:tc>
        <w:tc>
          <w:tcPr>
            <w:tcW w:w="1481" w:type="dxa"/>
          </w:tcPr>
          <w:p w14:paraId="3F87518A" w14:textId="41093318" w:rsidR="003A126E" w:rsidRPr="00FE1315" w:rsidRDefault="003A126E">
            <w:pPr>
              <w:rPr>
                <w:rFonts w:ascii="Times New Roman" w:hAnsi="Times New Roman" w:cs="Times New Roman"/>
                <w:sz w:val="24"/>
              </w:rPr>
            </w:pPr>
            <w:r w:rsidRPr="00FE1315">
              <w:rPr>
                <w:rFonts w:ascii="Times New Roman" w:hAnsi="Times New Roman" w:cs="Times New Roman" w:hint="eastAsia"/>
                <w:sz w:val="24"/>
              </w:rPr>
              <w:lastRenderedPageBreak/>
              <w:t>-</w:t>
            </w:r>
            <w:r w:rsidRPr="00FE1315">
              <w:rPr>
                <w:rFonts w:ascii="Times New Roman" w:hAnsi="Times New Roman" w:cs="Times New Roman"/>
                <w:sz w:val="24"/>
              </w:rPr>
              <w:t>0.287</w:t>
            </w:r>
          </w:p>
        </w:tc>
      </w:tr>
      <w:tr w:rsidR="003A126E" w:rsidRPr="00FE1315" w14:paraId="452A87F2" w14:textId="53BC5081" w:rsidTr="003A126E">
        <w:tc>
          <w:tcPr>
            <w:tcW w:w="5240" w:type="dxa"/>
          </w:tcPr>
          <w:p w14:paraId="26B25A64" w14:textId="5C91447D"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lastRenderedPageBreak/>
              <w:t>F3: Wavelet_Glszm_Wavelet-hhh-SizeZoneNonUniformityNormalized_AP</w:t>
            </w:r>
          </w:p>
        </w:tc>
        <w:tc>
          <w:tcPr>
            <w:tcW w:w="1481" w:type="dxa"/>
          </w:tcPr>
          <w:p w14:paraId="23426507" w14:textId="46D3EC8C" w:rsidR="003A126E" w:rsidRPr="00FE1315" w:rsidRDefault="003A126E">
            <w:pPr>
              <w:rPr>
                <w:rFonts w:ascii="Times New Roman" w:hAnsi="Times New Roman" w:cs="Times New Roman"/>
                <w:sz w:val="24"/>
              </w:rPr>
            </w:pPr>
            <w:r w:rsidRPr="00FE1315">
              <w:rPr>
                <w:rFonts w:ascii="Times New Roman" w:hAnsi="Times New Roman" w:cs="Times New Roman"/>
                <w:sz w:val="24"/>
              </w:rPr>
              <w:t>-0.229</w:t>
            </w:r>
          </w:p>
        </w:tc>
      </w:tr>
      <w:tr w:rsidR="003A126E" w:rsidRPr="00FE1315" w14:paraId="2CA436BF" w14:textId="6C39E2FA" w:rsidTr="003A126E">
        <w:tc>
          <w:tcPr>
            <w:tcW w:w="5240" w:type="dxa"/>
          </w:tcPr>
          <w:p w14:paraId="0BAE36EB" w14:textId="1604B569"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t>F4: Mean_Ngtdm_Contrast_AP</w:t>
            </w:r>
          </w:p>
        </w:tc>
        <w:tc>
          <w:tcPr>
            <w:tcW w:w="1481" w:type="dxa"/>
          </w:tcPr>
          <w:p w14:paraId="357D8D58" w14:textId="20BDDDE2" w:rsidR="003A126E" w:rsidRPr="00FE1315" w:rsidRDefault="003A126E">
            <w:pPr>
              <w:rPr>
                <w:rFonts w:ascii="Times New Roman" w:hAnsi="Times New Roman" w:cs="Times New Roman"/>
                <w:sz w:val="24"/>
              </w:rPr>
            </w:pPr>
            <w:r w:rsidRPr="00FE1315">
              <w:rPr>
                <w:rFonts w:ascii="Times New Roman" w:hAnsi="Times New Roman" w:cs="Times New Roman" w:hint="eastAsia"/>
                <w:sz w:val="24"/>
              </w:rPr>
              <w:t>0</w:t>
            </w:r>
            <w:r w:rsidRPr="00FE1315">
              <w:rPr>
                <w:rFonts w:ascii="Times New Roman" w:hAnsi="Times New Roman" w:cs="Times New Roman"/>
                <w:sz w:val="24"/>
              </w:rPr>
              <w:t>.040</w:t>
            </w:r>
          </w:p>
        </w:tc>
      </w:tr>
      <w:tr w:rsidR="003A126E" w:rsidRPr="00FE1315" w14:paraId="3B32D100" w14:textId="2754049D" w:rsidTr="003A126E">
        <w:tc>
          <w:tcPr>
            <w:tcW w:w="5240" w:type="dxa"/>
          </w:tcPr>
          <w:p w14:paraId="32D505B2" w14:textId="73DD8590"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t>F5: Boxsigmaimage_Glszm_Smallareaemphasis_AP</w:t>
            </w:r>
          </w:p>
        </w:tc>
        <w:tc>
          <w:tcPr>
            <w:tcW w:w="1481" w:type="dxa"/>
          </w:tcPr>
          <w:p w14:paraId="31483C01" w14:textId="2C58A8B4" w:rsidR="003A126E" w:rsidRPr="00FE1315" w:rsidRDefault="003A126E">
            <w:pPr>
              <w:rPr>
                <w:rFonts w:ascii="Times New Roman" w:hAnsi="Times New Roman" w:cs="Times New Roman"/>
                <w:sz w:val="24"/>
              </w:rPr>
            </w:pPr>
            <w:r w:rsidRPr="00FE1315">
              <w:rPr>
                <w:rFonts w:ascii="Times New Roman" w:hAnsi="Times New Roman" w:cs="Times New Roman" w:hint="eastAsia"/>
                <w:sz w:val="24"/>
              </w:rPr>
              <w:t>0</w:t>
            </w:r>
            <w:r w:rsidRPr="00FE1315">
              <w:rPr>
                <w:rFonts w:ascii="Times New Roman" w:hAnsi="Times New Roman" w:cs="Times New Roman"/>
                <w:sz w:val="24"/>
              </w:rPr>
              <w:t>.215</w:t>
            </w:r>
          </w:p>
        </w:tc>
      </w:tr>
      <w:tr w:rsidR="003A126E" w:rsidRPr="00FE1315" w14:paraId="3FA3E598" w14:textId="4072E937" w:rsidTr="003A126E">
        <w:tc>
          <w:tcPr>
            <w:tcW w:w="5240" w:type="dxa"/>
          </w:tcPr>
          <w:p w14:paraId="2788B04A" w14:textId="10104E1C"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t>F6: Wavelet_Glrlm_Wavelet-lhl-LongRunHighGrayLevelEmphasis_PVP</w:t>
            </w:r>
          </w:p>
        </w:tc>
        <w:tc>
          <w:tcPr>
            <w:tcW w:w="1481" w:type="dxa"/>
          </w:tcPr>
          <w:p w14:paraId="41DFBEB4" w14:textId="7AA0D05C" w:rsidR="003A126E" w:rsidRPr="00FE1315" w:rsidRDefault="003A126E">
            <w:pPr>
              <w:rPr>
                <w:rFonts w:ascii="Times New Roman" w:hAnsi="Times New Roman" w:cs="Times New Roman"/>
                <w:sz w:val="24"/>
              </w:rPr>
            </w:pPr>
            <w:r w:rsidRPr="00FE1315">
              <w:rPr>
                <w:rFonts w:ascii="Times New Roman" w:hAnsi="Times New Roman" w:cs="Times New Roman" w:hint="eastAsia"/>
                <w:sz w:val="24"/>
              </w:rPr>
              <w:t>0</w:t>
            </w:r>
            <w:r w:rsidRPr="00FE1315">
              <w:rPr>
                <w:rFonts w:ascii="Times New Roman" w:hAnsi="Times New Roman" w:cs="Times New Roman"/>
                <w:sz w:val="24"/>
              </w:rPr>
              <w:t>.275</w:t>
            </w:r>
          </w:p>
        </w:tc>
      </w:tr>
      <w:tr w:rsidR="003A126E" w:rsidRPr="00FE1315" w14:paraId="05E74336" w14:textId="5E58BD0B" w:rsidTr="003A126E">
        <w:tc>
          <w:tcPr>
            <w:tcW w:w="5240" w:type="dxa"/>
          </w:tcPr>
          <w:p w14:paraId="0DABC8C5" w14:textId="2AC268B3"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t>F7: Wavelet_Glszm_Wavelet-lhh-GrayLevelVariance_PVP</w:t>
            </w:r>
          </w:p>
        </w:tc>
        <w:tc>
          <w:tcPr>
            <w:tcW w:w="1481" w:type="dxa"/>
          </w:tcPr>
          <w:p w14:paraId="1241EB29" w14:textId="55627FCD" w:rsidR="003A126E" w:rsidRPr="00FE1315" w:rsidRDefault="003A126E">
            <w:pPr>
              <w:rPr>
                <w:rFonts w:ascii="Times New Roman" w:hAnsi="Times New Roman" w:cs="Times New Roman"/>
                <w:sz w:val="24"/>
              </w:rPr>
            </w:pPr>
            <w:r w:rsidRPr="00FE1315">
              <w:rPr>
                <w:rFonts w:ascii="Times New Roman" w:hAnsi="Times New Roman" w:cs="Times New Roman" w:hint="eastAsia"/>
                <w:sz w:val="24"/>
              </w:rPr>
              <w:t>-</w:t>
            </w:r>
            <w:r w:rsidRPr="00FE1315">
              <w:rPr>
                <w:rFonts w:ascii="Times New Roman" w:hAnsi="Times New Roman" w:cs="Times New Roman"/>
                <w:sz w:val="24"/>
              </w:rPr>
              <w:t>0.105</w:t>
            </w:r>
          </w:p>
        </w:tc>
      </w:tr>
      <w:tr w:rsidR="003A126E" w:rsidRPr="00FE1315" w14:paraId="375A087E" w14:textId="68905058" w:rsidTr="003A126E">
        <w:tc>
          <w:tcPr>
            <w:tcW w:w="5240" w:type="dxa"/>
          </w:tcPr>
          <w:p w14:paraId="140A34C1" w14:textId="3F2A349C" w:rsidR="003A126E" w:rsidRPr="00FE1315" w:rsidRDefault="003A126E" w:rsidP="003A126E">
            <w:pPr>
              <w:jc w:val="left"/>
              <w:rPr>
                <w:rFonts w:ascii="Times New Roman" w:hAnsi="Times New Roman" w:cs="Times New Roman"/>
                <w:sz w:val="24"/>
              </w:rPr>
            </w:pPr>
            <w:r w:rsidRPr="00FE1315">
              <w:rPr>
                <w:rFonts w:ascii="Times New Roman" w:hAnsi="Times New Roman" w:cs="Times New Roman"/>
                <w:sz w:val="24"/>
              </w:rPr>
              <w:t>F8: Wavelet_FirstOrder_Wavelet-hhl-Kurtosis_</w:t>
            </w:r>
            <w:r w:rsidR="00355B30">
              <w:rPr>
                <w:rFonts w:ascii="Times New Roman" w:hAnsi="Times New Roman" w:cs="Times New Roman"/>
                <w:sz w:val="24"/>
              </w:rPr>
              <w:t>DP</w:t>
            </w:r>
          </w:p>
        </w:tc>
        <w:tc>
          <w:tcPr>
            <w:tcW w:w="1481" w:type="dxa"/>
          </w:tcPr>
          <w:p w14:paraId="66968430" w14:textId="72F09B4D" w:rsidR="003A126E" w:rsidRPr="00FE1315" w:rsidRDefault="003A126E">
            <w:pPr>
              <w:rPr>
                <w:rFonts w:ascii="Times New Roman" w:hAnsi="Times New Roman" w:cs="Times New Roman"/>
                <w:sz w:val="24"/>
              </w:rPr>
            </w:pPr>
            <w:r w:rsidRPr="00FE1315">
              <w:rPr>
                <w:rFonts w:ascii="Times New Roman" w:hAnsi="Times New Roman" w:cs="Times New Roman" w:hint="eastAsia"/>
                <w:sz w:val="24"/>
              </w:rPr>
              <w:t>0</w:t>
            </w:r>
            <w:r w:rsidRPr="00FE1315">
              <w:rPr>
                <w:rFonts w:ascii="Times New Roman" w:hAnsi="Times New Roman" w:cs="Times New Roman"/>
                <w:sz w:val="24"/>
              </w:rPr>
              <w:t>.103</w:t>
            </w:r>
          </w:p>
        </w:tc>
      </w:tr>
    </w:tbl>
    <w:p w14:paraId="2F621A46" w14:textId="0FB78C1C" w:rsidR="0072735F" w:rsidRPr="00FE1315" w:rsidRDefault="00835A33">
      <w:pPr>
        <w:rPr>
          <w:rFonts w:ascii="Times New Roman" w:hAnsi="Times New Roman" w:cs="Times New Roman"/>
          <w:b/>
          <w:bCs/>
          <w:sz w:val="24"/>
        </w:rPr>
      </w:pPr>
      <w:r w:rsidRPr="00FE1315">
        <w:rPr>
          <w:rFonts w:ascii="Times New Roman" w:hAnsi="Times New Roman" w:cs="Times New Roman" w:hint="eastAsia"/>
          <w:b/>
          <w:bCs/>
          <w:sz w:val="24"/>
        </w:rPr>
        <w:t>N</w:t>
      </w:r>
      <w:r w:rsidRPr="00FE1315">
        <w:rPr>
          <w:rFonts w:ascii="Times New Roman" w:hAnsi="Times New Roman" w:cs="Times New Roman"/>
          <w:b/>
          <w:bCs/>
          <w:sz w:val="24"/>
        </w:rPr>
        <w:t>ote.-AP = arterial phase, PVP = portal venous phase</w:t>
      </w:r>
      <w:r w:rsidR="00355B30">
        <w:rPr>
          <w:rFonts w:ascii="Times New Roman" w:hAnsi="Times New Roman" w:cs="Times New Roman"/>
          <w:b/>
          <w:bCs/>
          <w:sz w:val="24"/>
        </w:rPr>
        <w:t>, DP = delayed phase</w:t>
      </w:r>
    </w:p>
    <w:sectPr w:rsidR="0072735F" w:rsidRPr="00FE1315" w:rsidSect="00FA278A">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68288" w14:textId="77777777" w:rsidR="00EF28D5" w:rsidRDefault="00EF28D5" w:rsidP="00130EEF">
      <w:r>
        <w:separator/>
      </w:r>
    </w:p>
  </w:endnote>
  <w:endnote w:type="continuationSeparator" w:id="0">
    <w:p w14:paraId="3C6B3FE2" w14:textId="77777777" w:rsidR="00EF28D5" w:rsidRDefault="00EF28D5" w:rsidP="00130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01861" w14:textId="77777777" w:rsidR="00EF28D5" w:rsidRDefault="00EF28D5" w:rsidP="00130EEF">
      <w:r>
        <w:separator/>
      </w:r>
    </w:p>
  </w:footnote>
  <w:footnote w:type="continuationSeparator" w:id="0">
    <w:p w14:paraId="05209EDA" w14:textId="77777777" w:rsidR="00EF28D5" w:rsidRDefault="00EF28D5" w:rsidP="00130E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37C"/>
    <w:rsid w:val="00036D73"/>
    <w:rsid w:val="0006037C"/>
    <w:rsid w:val="00130EEF"/>
    <w:rsid w:val="001D75ED"/>
    <w:rsid w:val="002607F5"/>
    <w:rsid w:val="0026261C"/>
    <w:rsid w:val="003219C9"/>
    <w:rsid w:val="00355B30"/>
    <w:rsid w:val="003A126E"/>
    <w:rsid w:val="00400EDC"/>
    <w:rsid w:val="005A5079"/>
    <w:rsid w:val="006B3AB7"/>
    <w:rsid w:val="006C0E90"/>
    <w:rsid w:val="006D4DA9"/>
    <w:rsid w:val="0072735F"/>
    <w:rsid w:val="00746194"/>
    <w:rsid w:val="00760CD1"/>
    <w:rsid w:val="00765B34"/>
    <w:rsid w:val="00794A04"/>
    <w:rsid w:val="007C47D1"/>
    <w:rsid w:val="007F0CF1"/>
    <w:rsid w:val="00827679"/>
    <w:rsid w:val="00835A33"/>
    <w:rsid w:val="008523EA"/>
    <w:rsid w:val="00874B89"/>
    <w:rsid w:val="008F5F4C"/>
    <w:rsid w:val="00903BE4"/>
    <w:rsid w:val="00910438"/>
    <w:rsid w:val="00961E63"/>
    <w:rsid w:val="00982CF6"/>
    <w:rsid w:val="009D7638"/>
    <w:rsid w:val="00A13F46"/>
    <w:rsid w:val="00A6202F"/>
    <w:rsid w:val="00AD0BE7"/>
    <w:rsid w:val="00BD01B2"/>
    <w:rsid w:val="00DC270F"/>
    <w:rsid w:val="00DC50C5"/>
    <w:rsid w:val="00E13C6E"/>
    <w:rsid w:val="00E415B0"/>
    <w:rsid w:val="00EC065A"/>
    <w:rsid w:val="00EF28D5"/>
    <w:rsid w:val="00F63A55"/>
    <w:rsid w:val="00F64D72"/>
    <w:rsid w:val="00FA278A"/>
    <w:rsid w:val="00FE13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0030BB"/>
  <w15:chartTrackingRefBased/>
  <w15:docId w15:val="{C2FA9B08-3D13-9E4C-8C82-96495782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
    <w:name w:val="EndNote Bibliography"/>
    <w:basedOn w:val="a"/>
    <w:link w:val="EndNoteBibliography0"/>
    <w:rsid w:val="0006037C"/>
    <w:rPr>
      <w:rFonts w:ascii="等线" w:eastAsia="等线" w:hAnsi="等线"/>
      <w:sz w:val="20"/>
    </w:rPr>
  </w:style>
  <w:style w:type="character" w:customStyle="1" w:styleId="EndNoteBibliography0">
    <w:name w:val="EndNote Bibliography 字符"/>
    <w:basedOn w:val="a0"/>
    <w:link w:val="EndNoteBibliography"/>
    <w:rsid w:val="0006037C"/>
    <w:rPr>
      <w:rFonts w:ascii="等线" w:eastAsia="等线" w:hAnsi="等线"/>
      <w:sz w:val="20"/>
    </w:rPr>
  </w:style>
  <w:style w:type="table" w:styleId="a3">
    <w:name w:val="Table Grid"/>
    <w:basedOn w:val="a1"/>
    <w:uiPriority w:val="39"/>
    <w:rsid w:val="00835A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30EE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130EEF"/>
    <w:rPr>
      <w:sz w:val="18"/>
      <w:szCs w:val="18"/>
    </w:rPr>
  </w:style>
  <w:style w:type="paragraph" w:styleId="a6">
    <w:name w:val="footer"/>
    <w:basedOn w:val="a"/>
    <w:link w:val="a7"/>
    <w:uiPriority w:val="99"/>
    <w:unhideWhenUsed/>
    <w:rsid w:val="00130EEF"/>
    <w:pPr>
      <w:tabs>
        <w:tab w:val="center" w:pos="4153"/>
        <w:tab w:val="right" w:pos="8306"/>
      </w:tabs>
      <w:snapToGrid w:val="0"/>
      <w:jc w:val="left"/>
    </w:pPr>
    <w:rPr>
      <w:sz w:val="18"/>
      <w:szCs w:val="18"/>
    </w:rPr>
  </w:style>
  <w:style w:type="character" w:customStyle="1" w:styleId="a7">
    <w:name w:val="页脚 字符"/>
    <w:basedOn w:val="a0"/>
    <w:link w:val="a6"/>
    <w:uiPriority w:val="99"/>
    <w:rsid w:val="00130EE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85470">
      <w:bodyDiv w:val="1"/>
      <w:marLeft w:val="0"/>
      <w:marRight w:val="0"/>
      <w:marTop w:val="0"/>
      <w:marBottom w:val="0"/>
      <w:divBdr>
        <w:top w:val="none" w:sz="0" w:space="0" w:color="auto"/>
        <w:left w:val="none" w:sz="0" w:space="0" w:color="auto"/>
        <w:bottom w:val="none" w:sz="0" w:space="0" w:color="auto"/>
        <w:right w:val="none" w:sz="0" w:space="0" w:color="auto"/>
      </w:divBdr>
    </w:div>
    <w:div w:id="1028867915">
      <w:bodyDiv w:val="1"/>
      <w:marLeft w:val="0"/>
      <w:marRight w:val="0"/>
      <w:marTop w:val="0"/>
      <w:marBottom w:val="0"/>
      <w:divBdr>
        <w:top w:val="none" w:sz="0" w:space="0" w:color="auto"/>
        <w:left w:val="none" w:sz="0" w:space="0" w:color="auto"/>
        <w:bottom w:val="none" w:sz="0" w:space="0" w:color="auto"/>
        <w:right w:val="none" w:sz="0" w:space="0" w:color="auto"/>
      </w:divBdr>
    </w:div>
    <w:div w:id="1523741026">
      <w:bodyDiv w:val="1"/>
      <w:marLeft w:val="0"/>
      <w:marRight w:val="0"/>
      <w:marTop w:val="0"/>
      <w:marBottom w:val="0"/>
      <w:divBdr>
        <w:top w:val="none" w:sz="0" w:space="0" w:color="auto"/>
        <w:left w:val="none" w:sz="0" w:space="0" w:color="auto"/>
        <w:bottom w:val="none" w:sz="0" w:space="0" w:color="auto"/>
        <w:right w:val="none" w:sz="0" w:space="0" w:color="auto"/>
      </w:divBdr>
    </w:div>
    <w:div w:id="160565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628</Words>
  <Characters>3586</Characters>
  <Application>Microsoft Office Word</Application>
  <DocSecurity>0</DocSecurity>
  <Lines>29</Lines>
  <Paragraphs>8</Paragraphs>
  <ScaleCrop>false</ScaleCrop>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924486911@qq.com</dc:creator>
  <cp:keywords/>
  <dc:description/>
  <cp:lastModifiedBy>Lenovo</cp:lastModifiedBy>
  <cp:revision>8</cp:revision>
  <dcterms:created xsi:type="dcterms:W3CDTF">2023-05-25T08:37:00Z</dcterms:created>
  <dcterms:modified xsi:type="dcterms:W3CDTF">2026-03-27T10:50:00Z</dcterms:modified>
</cp:coreProperties>
</file>