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FCB8E5A">
      <w:pPr>
        <w:spacing w:after="200"/>
        <w:jc w:val="center"/>
        <w:rPr>
          <w:sz w:val="20"/>
          <w:szCs w:val="20"/>
        </w:rPr>
      </w:pPr>
      <w:r>
        <w:rPr>
          <w:rFonts w:ascii="Times New Roman" w:hAnsi="Times New Roman" w:eastAsia="Times New Roman" w:cs="Times New Roman"/>
          <w:b/>
          <w:bCs/>
          <w:sz w:val="20"/>
          <w:szCs w:val="20"/>
        </w:rPr>
        <w:t>Supplementary Table S1.</w:t>
      </w:r>
      <w:r>
        <w:rPr>
          <w:rFonts w:ascii="Times New Roman" w:hAnsi="Times New Roman" w:eastAsia="Times New Roman" w:cs="Times New Roman"/>
          <w:sz w:val="20"/>
          <w:szCs w:val="20"/>
        </w:rPr>
        <w:t xml:space="preserve"> Multivariate logistic regression models for predicting ATO-induced leukocytosis in APL patients: detailed regression coefficients, standard errors, and model performance metrics</w:t>
      </w:r>
    </w:p>
    <w:tbl>
      <w:tblPr>
        <w:tblStyle w:val="10"/>
        <w:tblW w:w="13914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" w:type="dxa"/>
          <w:bottom w:w="0" w:type="dxa"/>
          <w:right w:w="10" w:type="dxa"/>
        </w:tblCellMar>
      </w:tblPr>
      <w:tblGrid>
        <w:gridCol w:w="5312"/>
        <w:gridCol w:w="1302"/>
        <w:gridCol w:w="1113"/>
        <w:gridCol w:w="1113"/>
        <w:gridCol w:w="1277"/>
        <w:gridCol w:w="2332"/>
        <w:gridCol w:w="1465"/>
      </w:tblGrid>
      <w:tr w14:paraId="69F2A4C5">
        <w:trPr>
          <w:trHeight w:val="0" w:hRule="atLeast"/>
          <w:tblHeader/>
          <w:jc w:val="center"/>
        </w:trPr>
        <w:tc>
          <w:tcPr>
            <w:tcW w:w="5312" w:type="dxa"/>
            <w:tcBorders>
              <w:top w:val="single" w:color="auto" w:sz="12" w:space="0"/>
              <w:left w:val="nil"/>
              <w:bottom w:val="single" w:color="auto" w:sz="12" w:space="0"/>
              <w:right w:val="nil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5565527E">
            <w:pPr>
              <w:snapToGrid w:val="0"/>
              <w:ind w:left="0" w:leftChars="0" w:right="0" w:rightChars="0" w:firstLine="0" w:firstLineChars="0"/>
              <w:jc w:val="center"/>
              <w:rPr>
                <w:b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sz w:val="20"/>
                <w:szCs w:val="20"/>
              </w:rPr>
              <w:t>Variable</w:t>
            </w:r>
          </w:p>
        </w:tc>
        <w:tc>
          <w:tcPr>
            <w:tcW w:w="1302" w:type="dxa"/>
            <w:tcBorders>
              <w:top w:val="single" w:color="auto" w:sz="12" w:space="0"/>
              <w:left w:val="nil"/>
              <w:bottom w:val="single" w:color="auto" w:sz="12" w:space="0"/>
              <w:right w:val="nil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5522623">
            <w:pPr>
              <w:snapToGrid w:val="0"/>
              <w:ind w:left="0" w:leftChars="0" w:right="0" w:rightChars="0" w:firstLine="0" w:firstLineChars="0"/>
              <w:jc w:val="center"/>
              <w:rPr>
                <w:b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sz w:val="20"/>
                <w:szCs w:val="20"/>
              </w:rPr>
              <w:t>β</w:t>
            </w:r>
          </w:p>
        </w:tc>
        <w:tc>
          <w:tcPr>
            <w:tcW w:w="1113" w:type="dxa"/>
            <w:tcBorders>
              <w:top w:val="single" w:color="auto" w:sz="12" w:space="0"/>
              <w:left w:val="nil"/>
              <w:bottom w:val="single" w:color="auto" w:sz="12" w:space="0"/>
              <w:right w:val="nil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7A246EBB">
            <w:pPr>
              <w:snapToGrid w:val="0"/>
              <w:ind w:left="0" w:leftChars="0" w:right="0" w:rightChars="0" w:firstLine="0" w:firstLineChars="0"/>
              <w:jc w:val="center"/>
              <w:rPr>
                <w:b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sz w:val="20"/>
                <w:szCs w:val="20"/>
              </w:rPr>
              <w:t>SE</w:t>
            </w:r>
          </w:p>
        </w:tc>
        <w:tc>
          <w:tcPr>
            <w:tcW w:w="1113" w:type="dxa"/>
            <w:tcBorders>
              <w:top w:val="single" w:color="auto" w:sz="12" w:space="0"/>
              <w:left w:val="nil"/>
              <w:bottom w:val="single" w:color="auto" w:sz="12" w:space="0"/>
              <w:right w:val="nil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BB3662E">
            <w:pPr>
              <w:snapToGrid w:val="0"/>
              <w:ind w:left="0" w:leftChars="0" w:right="0" w:rightChars="0" w:firstLine="0" w:firstLineChars="0"/>
              <w:jc w:val="center"/>
              <w:rPr>
                <w:b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sz w:val="20"/>
                <w:szCs w:val="20"/>
              </w:rPr>
              <w:t>Wald</w:t>
            </w:r>
          </w:p>
        </w:tc>
        <w:tc>
          <w:tcPr>
            <w:tcW w:w="1277" w:type="dxa"/>
            <w:tcBorders>
              <w:top w:val="single" w:color="auto" w:sz="12" w:space="0"/>
              <w:left w:val="nil"/>
              <w:bottom w:val="single" w:color="auto" w:sz="12" w:space="0"/>
              <w:right w:val="nil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7392072B">
            <w:pPr>
              <w:snapToGrid w:val="0"/>
              <w:ind w:left="0" w:leftChars="0" w:right="0" w:rightChars="0" w:firstLine="0" w:firstLineChars="0"/>
              <w:jc w:val="center"/>
              <w:rPr>
                <w:b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sz w:val="20"/>
                <w:szCs w:val="20"/>
              </w:rPr>
              <w:t>OR</w:t>
            </w:r>
          </w:p>
        </w:tc>
        <w:tc>
          <w:tcPr>
            <w:tcW w:w="2332" w:type="dxa"/>
            <w:tcBorders>
              <w:top w:val="single" w:color="auto" w:sz="12" w:space="0"/>
              <w:left w:val="nil"/>
              <w:bottom w:val="single" w:color="auto" w:sz="12" w:space="0"/>
              <w:right w:val="nil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7CB21201">
            <w:pPr>
              <w:snapToGrid w:val="0"/>
              <w:ind w:left="0" w:leftChars="0" w:right="0" w:rightChars="0" w:firstLine="0" w:firstLineChars="0"/>
              <w:jc w:val="center"/>
              <w:rPr>
                <w:b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sz w:val="20"/>
                <w:szCs w:val="20"/>
              </w:rPr>
              <w:t>95% CI</w:t>
            </w:r>
          </w:p>
        </w:tc>
        <w:tc>
          <w:tcPr>
            <w:tcW w:w="1465" w:type="dxa"/>
            <w:tcBorders>
              <w:top w:val="single" w:color="auto" w:sz="12" w:space="0"/>
              <w:left w:val="nil"/>
              <w:bottom w:val="single" w:color="auto" w:sz="12" w:space="0"/>
              <w:right w:val="nil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1B51702">
            <w:pPr>
              <w:snapToGrid w:val="0"/>
              <w:ind w:left="0" w:leftChars="0" w:right="0" w:rightChars="0" w:firstLine="0" w:firstLineChars="0"/>
              <w:jc w:val="center"/>
              <w:rPr>
                <w:b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P</w:t>
            </w: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sz w:val="20"/>
                <w:szCs w:val="20"/>
              </w:rPr>
              <w:t xml:space="preserve"> value</w:t>
            </w:r>
          </w:p>
        </w:tc>
      </w:tr>
      <w:tr w14:paraId="4EDED641">
        <w:trPr>
          <w:trHeight w:val="0" w:hRule="atLeast"/>
          <w:jc w:val="center"/>
        </w:trPr>
        <w:tc>
          <w:tcPr>
            <w:tcW w:w="13914" w:type="dxa"/>
            <w:gridSpan w:val="7"/>
            <w:tcBorders>
              <w:top w:val="single" w:color="auto" w:sz="12" w:space="0"/>
              <w:left w:val="nil"/>
              <w:bottom w:val="nil"/>
              <w:right w:val="nil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A3D3C89">
            <w:pPr>
              <w:snapToGrid w:val="0"/>
              <w:ind w:left="0" w:leftChars="0" w:right="0" w:rightChars="0" w:firstLine="0" w:firstLineChars="0"/>
              <w:jc w:val="center"/>
              <w:rPr>
                <w:b w:val="0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b w:val="0"/>
                <w:bCs/>
                <w:color w:val="000000"/>
                <w:sz w:val="20"/>
                <w:szCs w:val="20"/>
              </w:rPr>
              <w:t>Model A: All APL patients (n = 100)</w:t>
            </w:r>
            <w:r>
              <w:rPr>
                <w:rFonts w:ascii="Times New Roman" w:hAnsi="Times New Roman" w:eastAsia="Times New Roman" w:cs="Times New Roman"/>
                <w:b w:val="0"/>
                <w:i/>
                <w:iCs/>
                <w:color w:val="000000"/>
                <w:sz w:val="18"/>
                <w:szCs w:val="18"/>
              </w:rPr>
              <w:t xml:space="preserve">  |  AUC = 0.835 (95% CI 0.700–0.971)  |  Hosmer–Lemeshow: χ² = 14.016, df = 8, P = 0.081</w:t>
            </w:r>
          </w:p>
        </w:tc>
      </w:tr>
      <w:tr w14:paraId="68E3CFDD">
        <w:trPr>
          <w:trHeight w:val="0" w:hRule="atLeast"/>
          <w:jc w:val="center"/>
        </w:trPr>
        <w:tc>
          <w:tcPr>
            <w:tcW w:w="531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5E0C09EF">
            <w:pPr>
              <w:snapToGrid w:val="0"/>
              <w:ind w:left="0" w:leftChars="0" w:right="0" w:rightChars="0" w:firstLine="0" w:firstLineChars="0"/>
              <w:jc w:val="left"/>
              <w:rPr>
                <w:b w:val="0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color w:val="000000"/>
                <w:sz w:val="20"/>
                <w:szCs w:val="20"/>
              </w:rPr>
              <w:t>Age (≥50 years)</w:t>
            </w:r>
          </w:p>
        </w:tc>
        <w:tc>
          <w:tcPr>
            <w:tcW w:w="13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A7FC672">
            <w:pPr>
              <w:snapToGrid w:val="0"/>
              <w:ind w:left="0" w:leftChars="0" w:right="0" w:rightChars="0" w:firstLine="0" w:firstLineChars="0"/>
              <w:jc w:val="center"/>
              <w:rPr>
                <w:b w:val="0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color w:val="000000"/>
                <w:sz w:val="20"/>
                <w:szCs w:val="20"/>
              </w:rPr>
              <w:t>−0.285</w:t>
            </w:r>
          </w:p>
        </w:tc>
        <w:tc>
          <w:tcPr>
            <w:tcW w:w="111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59A19271">
            <w:pPr>
              <w:snapToGrid w:val="0"/>
              <w:ind w:left="0" w:leftChars="0" w:right="0" w:rightChars="0" w:firstLine="0" w:firstLineChars="0"/>
              <w:jc w:val="center"/>
              <w:rPr>
                <w:b w:val="0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b w:val="0"/>
                <w:color w:val="000000"/>
                <w:sz w:val="20"/>
                <w:szCs w:val="20"/>
              </w:rPr>
              <w:t>0.664</w:t>
            </w:r>
          </w:p>
        </w:tc>
        <w:tc>
          <w:tcPr>
            <w:tcW w:w="111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4AF308F9">
            <w:pPr>
              <w:snapToGrid w:val="0"/>
              <w:ind w:left="0" w:leftChars="0" w:right="0" w:rightChars="0" w:firstLine="0" w:firstLineChars="0"/>
              <w:jc w:val="center"/>
              <w:rPr>
                <w:b w:val="0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b w:val="0"/>
                <w:color w:val="000000"/>
                <w:sz w:val="20"/>
                <w:szCs w:val="20"/>
              </w:rPr>
              <w:t>0.185</w:t>
            </w:r>
          </w:p>
        </w:tc>
        <w:tc>
          <w:tcPr>
            <w:tcW w:w="127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09B1558">
            <w:pPr>
              <w:snapToGrid w:val="0"/>
              <w:ind w:left="0" w:leftChars="0" w:right="0" w:rightChars="0" w:firstLine="0" w:firstLineChars="0"/>
              <w:jc w:val="center"/>
              <w:rPr>
                <w:b w:val="0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color w:val="000000"/>
                <w:sz w:val="20"/>
                <w:szCs w:val="20"/>
              </w:rPr>
              <w:t>0.752</w:t>
            </w:r>
          </w:p>
        </w:tc>
        <w:tc>
          <w:tcPr>
            <w:tcW w:w="233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5DC38F6D">
            <w:pPr>
              <w:snapToGrid w:val="0"/>
              <w:ind w:left="0" w:leftChars="0" w:right="0" w:rightChars="0" w:firstLine="0" w:firstLineChars="0"/>
              <w:jc w:val="center"/>
              <w:rPr>
                <w:b w:val="0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b w:val="0"/>
                <w:color w:val="000000"/>
                <w:sz w:val="20"/>
                <w:szCs w:val="20"/>
              </w:rPr>
              <w:t>0.205–2.764</w:t>
            </w: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2000023">
            <w:pPr>
              <w:snapToGrid w:val="0"/>
              <w:ind w:left="0" w:leftChars="0" w:right="0" w:rightChars="0" w:firstLine="0" w:firstLineChars="0"/>
              <w:jc w:val="center"/>
              <w:rPr>
                <w:b w:val="0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color w:val="000000"/>
                <w:sz w:val="20"/>
                <w:szCs w:val="20"/>
              </w:rPr>
              <w:t>0.668</w:t>
            </w:r>
          </w:p>
        </w:tc>
      </w:tr>
      <w:tr w14:paraId="60C750F3">
        <w:trPr>
          <w:trHeight w:val="0" w:hRule="atLeast"/>
          <w:jc w:val="center"/>
        </w:trPr>
        <w:tc>
          <w:tcPr>
            <w:tcW w:w="531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40E462F">
            <w:pPr>
              <w:snapToGrid w:val="0"/>
              <w:ind w:left="0" w:leftChars="0" w:right="0" w:rightChars="0" w:firstLine="0" w:firstLineChars="0"/>
              <w:jc w:val="left"/>
              <w:rPr>
                <w:b w:val="0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color w:val="000000"/>
                <w:sz w:val="20"/>
                <w:szCs w:val="20"/>
              </w:rPr>
              <w:t>Induction therapy (ATO single-agent)</w:t>
            </w:r>
          </w:p>
        </w:tc>
        <w:tc>
          <w:tcPr>
            <w:tcW w:w="13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5EB9DB9">
            <w:pPr>
              <w:snapToGrid w:val="0"/>
              <w:ind w:left="0" w:leftChars="0" w:right="0" w:rightChars="0" w:firstLine="0" w:firstLineChars="0"/>
              <w:jc w:val="center"/>
              <w:rPr>
                <w:b w:val="0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color w:val="000000"/>
                <w:sz w:val="20"/>
                <w:szCs w:val="20"/>
              </w:rPr>
              <w:t>−0.844</w:t>
            </w:r>
          </w:p>
        </w:tc>
        <w:tc>
          <w:tcPr>
            <w:tcW w:w="111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3A89AF1">
            <w:pPr>
              <w:snapToGrid w:val="0"/>
              <w:ind w:left="0" w:leftChars="0" w:right="0" w:rightChars="0" w:firstLine="0" w:firstLineChars="0"/>
              <w:jc w:val="center"/>
              <w:rPr>
                <w:b w:val="0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b w:val="0"/>
                <w:color w:val="000000"/>
                <w:sz w:val="20"/>
                <w:szCs w:val="20"/>
              </w:rPr>
              <w:t>0.775</w:t>
            </w:r>
          </w:p>
        </w:tc>
        <w:tc>
          <w:tcPr>
            <w:tcW w:w="111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72DAB692">
            <w:pPr>
              <w:snapToGrid w:val="0"/>
              <w:ind w:left="0" w:leftChars="0" w:right="0" w:rightChars="0" w:firstLine="0" w:firstLineChars="0"/>
              <w:jc w:val="center"/>
              <w:rPr>
                <w:b w:val="0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b w:val="0"/>
                <w:color w:val="000000"/>
                <w:sz w:val="20"/>
                <w:szCs w:val="20"/>
              </w:rPr>
              <w:t>1.185</w:t>
            </w:r>
          </w:p>
        </w:tc>
        <w:tc>
          <w:tcPr>
            <w:tcW w:w="127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53A16970">
            <w:pPr>
              <w:snapToGrid w:val="0"/>
              <w:ind w:left="0" w:leftChars="0" w:right="0" w:rightChars="0" w:firstLine="0" w:firstLineChars="0"/>
              <w:jc w:val="center"/>
              <w:rPr>
                <w:b w:val="0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color w:val="000000"/>
                <w:sz w:val="20"/>
                <w:szCs w:val="20"/>
              </w:rPr>
              <w:t>0.430</w:t>
            </w:r>
          </w:p>
        </w:tc>
        <w:tc>
          <w:tcPr>
            <w:tcW w:w="233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771550EC">
            <w:pPr>
              <w:snapToGrid w:val="0"/>
              <w:ind w:left="0" w:leftChars="0" w:right="0" w:rightChars="0" w:firstLine="0" w:firstLineChars="0"/>
              <w:jc w:val="center"/>
              <w:rPr>
                <w:b w:val="0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b w:val="0"/>
                <w:color w:val="000000"/>
                <w:sz w:val="20"/>
                <w:szCs w:val="20"/>
              </w:rPr>
              <w:t>0.094–1.964</w:t>
            </w: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53716FCB">
            <w:pPr>
              <w:snapToGrid w:val="0"/>
              <w:ind w:left="0" w:leftChars="0" w:right="0" w:rightChars="0" w:firstLine="0" w:firstLineChars="0"/>
              <w:jc w:val="center"/>
              <w:rPr>
                <w:b w:val="0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color w:val="000000"/>
                <w:sz w:val="20"/>
                <w:szCs w:val="20"/>
              </w:rPr>
              <w:t>0.276</w:t>
            </w:r>
          </w:p>
        </w:tc>
      </w:tr>
      <w:tr w14:paraId="1D9B4541">
        <w:trPr>
          <w:trHeight w:val="0" w:hRule="atLeast"/>
          <w:jc w:val="center"/>
        </w:trPr>
        <w:tc>
          <w:tcPr>
            <w:tcW w:w="531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E37C61E">
            <w:pPr>
              <w:snapToGrid w:val="0"/>
              <w:ind w:left="0" w:leftChars="0" w:right="0" w:rightChars="0" w:firstLine="0" w:firstLineChars="0"/>
              <w:jc w:val="left"/>
              <w:rPr>
                <w:b w:val="0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b w:val="0"/>
                <w:bCs/>
                <w:color w:val="000000"/>
                <w:sz w:val="20"/>
                <w:szCs w:val="20"/>
              </w:rPr>
              <w:t>Time to double WBC (≤7th day)</w:t>
            </w:r>
          </w:p>
        </w:tc>
        <w:tc>
          <w:tcPr>
            <w:tcW w:w="13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71DE651C">
            <w:pPr>
              <w:snapToGrid w:val="0"/>
              <w:ind w:left="0" w:leftChars="0" w:right="0" w:rightChars="0" w:firstLine="0" w:firstLineChars="0"/>
              <w:jc w:val="center"/>
              <w:rPr>
                <w:b w:val="0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b w:val="0"/>
                <w:bCs/>
                <w:color w:val="000000"/>
                <w:sz w:val="20"/>
                <w:szCs w:val="20"/>
              </w:rPr>
              <w:t>+2.439</w:t>
            </w:r>
          </w:p>
        </w:tc>
        <w:tc>
          <w:tcPr>
            <w:tcW w:w="111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2D8ECD56">
            <w:pPr>
              <w:snapToGrid w:val="0"/>
              <w:ind w:left="0" w:leftChars="0" w:right="0" w:rightChars="0" w:firstLine="0" w:firstLineChars="0"/>
              <w:jc w:val="center"/>
              <w:rPr>
                <w:b w:val="0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b w:val="0"/>
                <w:color w:val="000000"/>
                <w:sz w:val="20"/>
                <w:szCs w:val="20"/>
              </w:rPr>
              <w:t>0.861</w:t>
            </w:r>
          </w:p>
        </w:tc>
        <w:tc>
          <w:tcPr>
            <w:tcW w:w="111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C0E2088">
            <w:pPr>
              <w:snapToGrid w:val="0"/>
              <w:ind w:left="0" w:leftChars="0" w:right="0" w:rightChars="0" w:firstLine="0" w:firstLineChars="0"/>
              <w:jc w:val="center"/>
              <w:rPr>
                <w:b w:val="0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b w:val="0"/>
                <w:color w:val="000000"/>
                <w:sz w:val="20"/>
                <w:szCs w:val="20"/>
              </w:rPr>
              <w:t>8.030</w:t>
            </w:r>
          </w:p>
        </w:tc>
        <w:tc>
          <w:tcPr>
            <w:tcW w:w="127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0C4E822D">
            <w:pPr>
              <w:snapToGrid w:val="0"/>
              <w:ind w:left="0" w:leftChars="0" w:right="0" w:rightChars="0" w:firstLine="0" w:firstLineChars="0"/>
              <w:jc w:val="center"/>
              <w:rPr>
                <w:b w:val="0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b w:val="0"/>
                <w:bCs/>
                <w:color w:val="000000"/>
                <w:sz w:val="20"/>
                <w:szCs w:val="20"/>
              </w:rPr>
              <w:t>11.459</w:t>
            </w:r>
          </w:p>
        </w:tc>
        <w:tc>
          <w:tcPr>
            <w:tcW w:w="233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0B590957">
            <w:pPr>
              <w:snapToGrid w:val="0"/>
              <w:ind w:left="0" w:leftChars="0" w:right="0" w:rightChars="0" w:firstLine="0" w:firstLineChars="0"/>
              <w:jc w:val="center"/>
              <w:rPr>
                <w:b w:val="0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b w:val="0"/>
                <w:color w:val="000000"/>
                <w:sz w:val="20"/>
                <w:szCs w:val="20"/>
              </w:rPr>
              <w:t>2.121–61.897</w:t>
            </w: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0F25F67B">
            <w:pPr>
              <w:snapToGrid w:val="0"/>
              <w:ind w:left="0" w:leftChars="0" w:right="0" w:rightChars="0" w:firstLine="0" w:firstLineChars="0"/>
              <w:jc w:val="center"/>
              <w:rPr>
                <w:b w:val="0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b w:val="0"/>
                <w:bCs/>
                <w:color w:val="000000"/>
                <w:sz w:val="20"/>
                <w:szCs w:val="20"/>
              </w:rPr>
              <w:t>0.005**</w:t>
            </w:r>
          </w:p>
        </w:tc>
      </w:tr>
      <w:tr w14:paraId="1D8F1B07">
        <w:trPr>
          <w:trHeight w:val="0" w:hRule="atLeast"/>
          <w:jc w:val="center"/>
        </w:trPr>
        <w:tc>
          <w:tcPr>
            <w:tcW w:w="531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51A539E4">
            <w:pPr>
              <w:snapToGrid w:val="0"/>
              <w:ind w:left="0" w:leftChars="0" w:right="0" w:rightChars="0" w:firstLine="0" w:firstLineChars="0"/>
              <w:jc w:val="left"/>
              <w:rPr>
                <w:b w:val="0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color w:val="000000"/>
                <w:sz w:val="20"/>
                <w:szCs w:val="20"/>
              </w:rPr>
              <w:t>Initial platelet count (≤30×10⁹/L)</w:t>
            </w:r>
          </w:p>
        </w:tc>
        <w:tc>
          <w:tcPr>
            <w:tcW w:w="13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77615E5D">
            <w:pPr>
              <w:snapToGrid w:val="0"/>
              <w:ind w:left="0" w:leftChars="0" w:right="0" w:rightChars="0" w:firstLine="0" w:firstLineChars="0"/>
              <w:jc w:val="center"/>
              <w:rPr>
                <w:b w:val="0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color w:val="000000"/>
                <w:sz w:val="20"/>
                <w:szCs w:val="20"/>
              </w:rPr>
              <w:t>−1.214</w:t>
            </w:r>
          </w:p>
        </w:tc>
        <w:tc>
          <w:tcPr>
            <w:tcW w:w="111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437D19B">
            <w:pPr>
              <w:snapToGrid w:val="0"/>
              <w:ind w:left="0" w:leftChars="0" w:right="0" w:rightChars="0" w:firstLine="0" w:firstLineChars="0"/>
              <w:jc w:val="center"/>
              <w:rPr>
                <w:b w:val="0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b w:val="0"/>
                <w:color w:val="000000"/>
                <w:sz w:val="20"/>
                <w:szCs w:val="20"/>
              </w:rPr>
              <w:t>0.678</w:t>
            </w:r>
          </w:p>
        </w:tc>
        <w:tc>
          <w:tcPr>
            <w:tcW w:w="111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424C7617">
            <w:pPr>
              <w:snapToGrid w:val="0"/>
              <w:ind w:left="0" w:leftChars="0" w:right="0" w:rightChars="0" w:firstLine="0" w:firstLineChars="0"/>
              <w:jc w:val="center"/>
              <w:rPr>
                <w:b w:val="0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b w:val="0"/>
                <w:color w:val="000000"/>
                <w:sz w:val="20"/>
                <w:szCs w:val="20"/>
              </w:rPr>
              <w:t>3.210</w:t>
            </w:r>
          </w:p>
        </w:tc>
        <w:tc>
          <w:tcPr>
            <w:tcW w:w="127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549A836">
            <w:pPr>
              <w:snapToGrid w:val="0"/>
              <w:ind w:left="0" w:leftChars="0" w:right="0" w:rightChars="0" w:firstLine="0" w:firstLineChars="0"/>
              <w:jc w:val="center"/>
              <w:rPr>
                <w:b w:val="0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color w:val="000000"/>
                <w:sz w:val="20"/>
                <w:szCs w:val="20"/>
              </w:rPr>
              <w:t>0.297</w:t>
            </w:r>
          </w:p>
        </w:tc>
        <w:tc>
          <w:tcPr>
            <w:tcW w:w="233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70E235D9">
            <w:pPr>
              <w:snapToGrid w:val="0"/>
              <w:ind w:left="0" w:leftChars="0" w:right="0" w:rightChars="0" w:firstLine="0" w:firstLineChars="0"/>
              <w:jc w:val="center"/>
              <w:rPr>
                <w:b w:val="0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b w:val="0"/>
                <w:color w:val="000000"/>
                <w:sz w:val="20"/>
                <w:szCs w:val="20"/>
              </w:rPr>
              <w:t>0.079–1.125</w:t>
            </w: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5275F196">
            <w:pPr>
              <w:snapToGrid w:val="0"/>
              <w:ind w:left="0" w:leftChars="0" w:right="0" w:rightChars="0" w:firstLine="0" w:firstLineChars="0"/>
              <w:jc w:val="center"/>
              <w:rPr>
                <w:b w:val="0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color w:val="000000"/>
                <w:sz w:val="20"/>
                <w:szCs w:val="20"/>
              </w:rPr>
              <w:t>0.074</w:t>
            </w:r>
          </w:p>
        </w:tc>
      </w:tr>
      <w:tr w14:paraId="2AB1BBE2">
        <w:trPr>
          <w:trHeight w:val="0" w:hRule="atLeast"/>
          <w:jc w:val="center"/>
        </w:trPr>
        <w:tc>
          <w:tcPr>
            <w:tcW w:w="531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42E5AE08">
            <w:pPr>
              <w:snapToGrid w:val="0"/>
              <w:ind w:left="0" w:leftChars="0" w:right="0" w:rightChars="0" w:firstLine="0" w:firstLineChars="0"/>
              <w:jc w:val="left"/>
              <w:rPr>
                <w:b w:val="0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color w:val="000000"/>
                <w:sz w:val="20"/>
                <w:szCs w:val="20"/>
              </w:rPr>
              <w:t>Initial GGT (abnormal)</w:t>
            </w:r>
          </w:p>
        </w:tc>
        <w:tc>
          <w:tcPr>
            <w:tcW w:w="13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BB35FF7">
            <w:pPr>
              <w:snapToGrid w:val="0"/>
              <w:ind w:left="0" w:leftChars="0" w:right="0" w:rightChars="0" w:firstLine="0" w:firstLineChars="0"/>
              <w:jc w:val="center"/>
              <w:rPr>
                <w:b w:val="0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color w:val="000000"/>
                <w:sz w:val="20"/>
                <w:szCs w:val="20"/>
              </w:rPr>
              <w:t>+1.356</w:t>
            </w:r>
          </w:p>
        </w:tc>
        <w:tc>
          <w:tcPr>
            <w:tcW w:w="111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0BACB92D">
            <w:pPr>
              <w:snapToGrid w:val="0"/>
              <w:ind w:left="0" w:leftChars="0" w:right="0" w:rightChars="0" w:firstLine="0" w:firstLineChars="0"/>
              <w:jc w:val="center"/>
              <w:rPr>
                <w:b w:val="0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b w:val="0"/>
                <w:color w:val="000000"/>
                <w:sz w:val="20"/>
                <w:szCs w:val="20"/>
              </w:rPr>
              <w:t>0.819</w:t>
            </w:r>
          </w:p>
        </w:tc>
        <w:tc>
          <w:tcPr>
            <w:tcW w:w="111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029A4CF">
            <w:pPr>
              <w:snapToGrid w:val="0"/>
              <w:ind w:left="0" w:leftChars="0" w:right="0" w:rightChars="0" w:firstLine="0" w:firstLineChars="0"/>
              <w:jc w:val="center"/>
              <w:rPr>
                <w:b w:val="0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b w:val="0"/>
                <w:color w:val="000000"/>
                <w:sz w:val="20"/>
                <w:szCs w:val="20"/>
              </w:rPr>
              <w:t>2.740</w:t>
            </w:r>
          </w:p>
        </w:tc>
        <w:tc>
          <w:tcPr>
            <w:tcW w:w="127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7A5FD4D4">
            <w:pPr>
              <w:snapToGrid w:val="0"/>
              <w:ind w:left="0" w:leftChars="0" w:right="0" w:rightChars="0" w:firstLine="0" w:firstLineChars="0"/>
              <w:jc w:val="center"/>
              <w:rPr>
                <w:b w:val="0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color w:val="000000"/>
                <w:sz w:val="20"/>
                <w:szCs w:val="20"/>
              </w:rPr>
              <w:t>3.881</w:t>
            </w:r>
          </w:p>
        </w:tc>
        <w:tc>
          <w:tcPr>
            <w:tcW w:w="233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DFCBBF9">
            <w:pPr>
              <w:snapToGrid w:val="0"/>
              <w:ind w:left="0" w:leftChars="0" w:right="0" w:rightChars="0" w:firstLine="0" w:firstLineChars="0"/>
              <w:jc w:val="center"/>
              <w:rPr>
                <w:b w:val="0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b w:val="0"/>
                <w:color w:val="000000"/>
                <w:sz w:val="20"/>
                <w:szCs w:val="20"/>
              </w:rPr>
              <w:t>0.780–19.354</w:t>
            </w: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494E4D57">
            <w:pPr>
              <w:snapToGrid w:val="0"/>
              <w:ind w:left="0" w:leftChars="0" w:right="0" w:rightChars="0" w:firstLine="0" w:firstLineChars="0"/>
              <w:jc w:val="center"/>
              <w:rPr>
                <w:b w:val="0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color w:val="000000"/>
                <w:sz w:val="20"/>
                <w:szCs w:val="20"/>
              </w:rPr>
              <w:t>0.098</w:t>
            </w:r>
          </w:p>
        </w:tc>
      </w:tr>
      <w:tr w14:paraId="4A619990">
        <w:trPr>
          <w:trHeight w:val="0" w:hRule="atLeast"/>
          <w:jc w:val="center"/>
        </w:trPr>
        <w:tc>
          <w:tcPr>
            <w:tcW w:w="13914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FD35EA7">
            <w:pPr>
              <w:snapToGrid w:val="0"/>
              <w:ind w:left="0" w:leftChars="0" w:right="0" w:rightChars="0" w:firstLine="0" w:firstLineChars="0"/>
              <w:jc w:val="center"/>
              <w:rPr>
                <w:b w:val="0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b w:val="0"/>
                <w:bCs/>
                <w:color w:val="000000"/>
                <w:sz w:val="20"/>
                <w:szCs w:val="20"/>
              </w:rPr>
              <w:t>Model B: ATO single-agent patients (n = 51)</w:t>
            </w:r>
            <w:r>
              <w:rPr>
                <w:rFonts w:ascii="Times New Roman" w:hAnsi="Times New Roman" w:eastAsia="Times New Roman" w:cs="Times New Roman"/>
                <w:b w:val="0"/>
                <w:i/>
                <w:iCs/>
                <w:color w:val="000000"/>
                <w:sz w:val="18"/>
                <w:szCs w:val="18"/>
              </w:rPr>
              <w:t xml:space="preserve">  |  AUC = 0.822 (95% CI 0.675–0.969)  |  Hosmer–Lemeshow: χ² = 11.527, df = 7, P = 0.117</w:t>
            </w:r>
          </w:p>
        </w:tc>
      </w:tr>
      <w:tr w14:paraId="4B1EE35F">
        <w:trPr>
          <w:trHeight w:val="0" w:hRule="atLeast"/>
          <w:jc w:val="center"/>
        </w:trPr>
        <w:tc>
          <w:tcPr>
            <w:tcW w:w="531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FAA4E92">
            <w:pPr>
              <w:snapToGrid w:val="0"/>
              <w:ind w:left="0" w:leftChars="0" w:right="0" w:rightChars="0" w:firstLine="0" w:firstLineChars="0"/>
              <w:jc w:val="left"/>
              <w:rPr>
                <w:b w:val="0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color w:val="000000"/>
                <w:sz w:val="20"/>
                <w:szCs w:val="20"/>
              </w:rPr>
              <w:t>Age (≥50 years)</w:t>
            </w:r>
          </w:p>
        </w:tc>
        <w:tc>
          <w:tcPr>
            <w:tcW w:w="13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5839BDFF">
            <w:pPr>
              <w:snapToGrid w:val="0"/>
              <w:ind w:left="0" w:leftChars="0" w:right="0" w:rightChars="0" w:firstLine="0" w:firstLineChars="0"/>
              <w:jc w:val="center"/>
              <w:rPr>
                <w:b w:val="0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color w:val="000000"/>
                <w:sz w:val="20"/>
                <w:szCs w:val="20"/>
              </w:rPr>
              <w:t>−0.185</w:t>
            </w:r>
          </w:p>
        </w:tc>
        <w:tc>
          <w:tcPr>
            <w:tcW w:w="111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DCE5C91">
            <w:pPr>
              <w:snapToGrid w:val="0"/>
              <w:ind w:left="0" w:leftChars="0" w:right="0" w:rightChars="0" w:firstLine="0" w:firstLineChars="0"/>
              <w:jc w:val="center"/>
              <w:rPr>
                <w:b w:val="0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b w:val="0"/>
                <w:color w:val="000000"/>
                <w:sz w:val="20"/>
                <w:szCs w:val="20"/>
              </w:rPr>
              <w:t>0.757</w:t>
            </w:r>
          </w:p>
        </w:tc>
        <w:tc>
          <w:tcPr>
            <w:tcW w:w="111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7D77A83C">
            <w:pPr>
              <w:snapToGrid w:val="0"/>
              <w:ind w:left="0" w:leftChars="0" w:right="0" w:rightChars="0" w:firstLine="0" w:firstLineChars="0"/>
              <w:jc w:val="center"/>
              <w:rPr>
                <w:b w:val="0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b w:val="0"/>
                <w:color w:val="000000"/>
                <w:sz w:val="20"/>
                <w:szCs w:val="20"/>
              </w:rPr>
              <w:t>0.060</w:t>
            </w:r>
          </w:p>
        </w:tc>
        <w:tc>
          <w:tcPr>
            <w:tcW w:w="127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650E3EC">
            <w:pPr>
              <w:snapToGrid w:val="0"/>
              <w:ind w:left="0" w:leftChars="0" w:right="0" w:rightChars="0" w:firstLine="0" w:firstLineChars="0"/>
              <w:jc w:val="center"/>
              <w:rPr>
                <w:b w:val="0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color w:val="000000"/>
                <w:sz w:val="20"/>
                <w:szCs w:val="20"/>
              </w:rPr>
              <w:t>0.831</w:t>
            </w:r>
          </w:p>
        </w:tc>
        <w:tc>
          <w:tcPr>
            <w:tcW w:w="233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0841625">
            <w:pPr>
              <w:snapToGrid w:val="0"/>
              <w:ind w:left="0" w:leftChars="0" w:right="0" w:rightChars="0" w:firstLine="0" w:firstLineChars="0"/>
              <w:jc w:val="center"/>
              <w:rPr>
                <w:b w:val="0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b w:val="0"/>
                <w:color w:val="000000"/>
                <w:sz w:val="20"/>
                <w:szCs w:val="20"/>
              </w:rPr>
              <w:t>0.188–3.661</w:t>
            </w: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54F5066B">
            <w:pPr>
              <w:snapToGrid w:val="0"/>
              <w:ind w:left="0" w:leftChars="0" w:right="0" w:rightChars="0" w:firstLine="0" w:firstLineChars="0"/>
              <w:jc w:val="center"/>
              <w:rPr>
                <w:b w:val="0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color w:val="000000"/>
                <w:sz w:val="20"/>
                <w:szCs w:val="20"/>
              </w:rPr>
              <w:t>0.806</w:t>
            </w:r>
          </w:p>
        </w:tc>
      </w:tr>
      <w:tr w14:paraId="2591CFF0">
        <w:trPr>
          <w:trHeight w:val="0" w:hRule="atLeast"/>
          <w:jc w:val="center"/>
        </w:trPr>
        <w:tc>
          <w:tcPr>
            <w:tcW w:w="531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73CC9F10">
            <w:pPr>
              <w:snapToGrid w:val="0"/>
              <w:ind w:left="0" w:leftChars="0" w:right="0" w:rightChars="0" w:firstLine="0" w:firstLineChars="0"/>
              <w:jc w:val="left"/>
              <w:rPr>
                <w:b w:val="0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b w:val="0"/>
                <w:bCs/>
                <w:color w:val="000000"/>
                <w:sz w:val="20"/>
                <w:szCs w:val="20"/>
              </w:rPr>
              <w:t>Time to double WBC (≤7th day)</w:t>
            </w:r>
          </w:p>
        </w:tc>
        <w:tc>
          <w:tcPr>
            <w:tcW w:w="13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2F5DAE4A">
            <w:pPr>
              <w:snapToGrid w:val="0"/>
              <w:ind w:left="0" w:leftChars="0" w:right="0" w:rightChars="0" w:firstLine="0" w:firstLineChars="0"/>
              <w:jc w:val="center"/>
              <w:rPr>
                <w:b w:val="0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b w:val="0"/>
                <w:bCs/>
                <w:color w:val="000000"/>
                <w:sz w:val="20"/>
                <w:szCs w:val="20"/>
              </w:rPr>
              <w:t>+2.810</w:t>
            </w:r>
          </w:p>
        </w:tc>
        <w:tc>
          <w:tcPr>
            <w:tcW w:w="111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2BE7626C">
            <w:pPr>
              <w:snapToGrid w:val="0"/>
              <w:ind w:left="0" w:leftChars="0" w:right="0" w:rightChars="0" w:firstLine="0" w:firstLineChars="0"/>
              <w:jc w:val="center"/>
              <w:rPr>
                <w:b w:val="0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b w:val="0"/>
                <w:color w:val="000000"/>
                <w:sz w:val="20"/>
                <w:szCs w:val="20"/>
              </w:rPr>
              <w:t>1.183</w:t>
            </w:r>
          </w:p>
        </w:tc>
        <w:tc>
          <w:tcPr>
            <w:tcW w:w="111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4B0B039">
            <w:pPr>
              <w:snapToGrid w:val="0"/>
              <w:ind w:left="0" w:leftChars="0" w:right="0" w:rightChars="0" w:firstLine="0" w:firstLineChars="0"/>
              <w:jc w:val="center"/>
              <w:rPr>
                <w:b w:val="0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b w:val="0"/>
                <w:color w:val="000000"/>
                <w:sz w:val="20"/>
                <w:szCs w:val="20"/>
              </w:rPr>
              <w:t>5.644</w:t>
            </w:r>
          </w:p>
        </w:tc>
        <w:tc>
          <w:tcPr>
            <w:tcW w:w="127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3353792">
            <w:pPr>
              <w:snapToGrid w:val="0"/>
              <w:ind w:left="0" w:leftChars="0" w:right="0" w:rightChars="0" w:firstLine="0" w:firstLineChars="0"/>
              <w:jc w:val="center"/>
              <w:rPr>
                <w:b w:val="0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b w:val="0"/>
                <w:bCs/>
                <w:color w:val="000000"/>
                <w:sz w:val="20"/>
                <w:szCs w:val="20"/>
              </w:rPr>
              <w:t>16.603</w:t>
            </w:r>
          </w:p>
        </w:tc>
        <w:tc>
          <w:tcPr>
            <w:tcW w:w="233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22186DBB">
            <w:pPr>
              <w:snapToGrid w:val="0"/>
              <w:ind w:left="0" w:leftChars="0" w:right="0" w:rightChars="0" w:firstLine="0" w:firstLineChars="0"/>
              <w:jc w:val="center"/>
              <w:rPr>
                <w:b w:val="0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b w:val="0"/>
                <w:color w:val="000000"/>
                <w:sz w:val="20"/>
                <w:szCs w:val="20"/>
              </w:rPr>
              <w:t>1.635–168.635</w:t>
            </w: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050A8797">
            <w:pPr>
              <w:snapToGrid w:val="0"/>
              <w:ind w:left="0" w:leftChars="0" w:right="0" w:rightChars="0" w:firstLine="0" w:firstLineChars="0"/>
              <w:jc w:val="center"/>
              <w:rPr>
                <w:b w:val="0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b w:val="0"/>
                <w:bCs/>
                <w:color w:val="000000"/>
                <w:sz w:val="20"/>
                <w:szCs w:val="20"/>
              </w:rPr>
              <w:t>0.018*</w:t>
            </w:r>
          </w:p>
        </w:tc>
      </w:tr>
      <w:tr w14:paraId="164130CF">
        <w:trPr>
          <w:trHeight w:val="0" w:hRule="atLeast"/>
          <w:jc w:val="center"/>
        </w:trPr>
        <w:tc>
          <w:tcPr>
            <w:tcW w:w="531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59B0A803">
            <w:pPr>
              <w:snapToGrid w:val="0"/>
              <w:ind w:left="0" w:leftChars="0" w:right="0" w:rightChars="0" w:firstLine="0" w:firstLineChars="0"/>
              <w:jc w:val="left"/>
              <w:rPr>
                <w:b w:val="0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color w:val="000000"/>
                <w:sz w:val="20"/>
                <w:szCs w:val="20"/>
              </w:rPr>
              <w:t>Initial platelet count (≤30×10⁹/L)</w:t>
            </w:r>
          </w:p>
        </w:tc>
        <w:tc>
          <w:tcPr>
            <w:tcW w:w="13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A5B396A">
            <w:pPr>
              <w:snapToGrid w:val="0"/>
              <w:ind w:left="0" w:leftChars="0" w:right="0" w:rightChars="0" w:firstLine="0" w:firstLineChars="0"/>
              <w:jc w:val="center"/>
              <w:rPr>
                <w:b w:val="0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color w:val="000000"/>
                <w:sz w:val="20"/>
                <w:szCs w:val="20"/>
              </w:rPr>
              <w:t>−1.149</w:t>
            </w:r>
          </w:p>
        </w:tc>
        <w:tc>
          <w:tcPr>
            <w:tcW w:w="111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7AEB2132">
            <w:pPr>
              <w:snapToGrid w:val="0"/>
              <w:ind w:left="0" w:leftChars="0" w:right="0" w:rightChars="0" w:firstLine="0" w:firstLineChars="0"/>
              <w:jc w:val="center"/>
              <w:rPr>
                <w:b w:val="0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b w:val="0"/>
                <w:color w:val="000000"/>
                <w:sz w:val="20"/>
                <w:szCs w:val="20"/>
              </w:rPr>
              <w:t>0.757</w:t>
            </w:r>
          </w:p>
        </w:tc>
        <w:tc>
          <w:tcPr>
            <w:tcW w:w="111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2217981A">
            <w:pPr>
              <w:snapToGrid w:val="0"/>
              <w:ind w:left="0" w:leftChars="0" w:right="0" w:rightChars="0" w:firstLine="0" w:firstLineChars="0"/>
              <w:jc w:val="center"/>
              <w:rPr>
                <w:b w:val="0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b w:val="0"/>
                <w:color w:val="000000"/>
                <w:sz w:val="20"/>
                <w:szCs w:val="20"/>
              </w:rPr>
              <w:t>2.303</w:t>
            </w:r>
          </w:p>
        </w:tc>
        <w:tc>
          <w:tcPr>
            <w:tcW w:w="127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73772C99">
            <w:pPr>
              <w:snapToGrid w:val="0"/>
              <w:ind w:left="0" w:leftChars="0" w:right="0" w:rightChars="0" w:firstLine="0" w:firstLineChars="0"/>
              <w:jc w:val="center"/>
              <w:rPr>
                <w:b w:val="0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color w:val="000000"/>
                <w:sz w:val="20"/>
                <w:szCs w:val="20"/>
              </w:rPr>
              <w:t>0.317</w:t>
            </w:r>
          </w:p>
        </w:tc>
        <w:tc>
          <w:tcPr>
            <w:tcW w:w="233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5D96BBE">
            <w:pPr>
              <w:snapToGrid w:val="0"/>
              <w:ind w:left="0" w:leftChars="0" w:right="0" w:rightChars="0" w:firstLine="0" w:firstLineChars="0"/>
              <w:jc w:val="center"/>
              <w:rPr>
                <w:b w:val="0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b w:val="0"/>
                <w:color w:val="000000"/>
                <w:sz w:val="20"/>
                <w:szCs w:val="20"/>
              </w:rPr>
              <w:t>0.072–1.400</w:t>
            </w: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5FCF6100">
            <w:pPr>
              <w:snapToGrid w:val="0"/>
              <w:ind w:left="0" w:leftChars="0" w:right="0" w:rightChars="0" w:firstLine="0" w:firstLineChars="0"/>
              <w:jc w:val="center"/>
              <w:rPr>
                <w:b w:val="0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color w:val="000000"/>
                <w:sz w:val="20"/>
                <w:szCs w:val="20"/>
              </w:rPr>
              <w:t>0.129</w:t>
            </w:r>
          </w:p>
        </w:tc>
      </w:tr>
      <w:tr w14:paraId="4AAFB017">
        <w:trPr>
          <w:trHeight w:val="0" w:hRule="atLeast"/>
          <w:jc w:val="center"/>
        </w:trPr>
        <w:tc>
          <w:tcPr>
            <w:tcW w:w="531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088634C1">
            <w:pPr>
              <w:snapToGrid w:val="0"/>
              <w:ind w:left="0" w:leftChars="0" w:right="0" w:rightChars="0" w:firstLine="0" w:firstLineChars="0"/>
              <w:jc w:val="left"/>
              <w:rPr>
                <w:b w:val="0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color w:val="000000"/>
                <w:sz w:val="20"/>
                <w:szCs w:val="20"/>
              </w:rPr>
              <w:t>Initial GGT (abnormal)</w:t>
            </w:r>
          </w:p>
        </w:tc>
        <w:tc>
          <w:tcPr>
            <w:tcW w:w="13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0E31223F">
            <w:pPr>
              <w:snapToGrid w:val="0"/>
              <w:ind w:left="0" w:leftChars="0" w:right="0" w:rightChars="0" w:firstLine="0" w:firstLineChars="0"/>
              <w:jc w:val="center"/>
              <w:rPr>
                <w:b w:val="0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color w:val="000000"/>
                <w:sz w:val="20"/>
                <w:szCs w:val="20"/>
              </w:rPr>
              <w:t>+1.184</w:t>
            </w:r>
          </w:p>
        </w:tc>
        <w:tc>
          <w:tcPr>
            <w:tcW w:w="111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2BCB91D8">
            <w:pPr>
              <w:snapToGrid w:val="0"/>
              <w:ind w:left="0" w:leftChars="0" w:right="0" w:rightChars="0" w:firstLine="0" w:firstLineChars="0"/>
              <w:jc w:val="center"/>
              <w:rPr>
                <w:b w:val="0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b w:val="0"/>
                <w:color w:val="000000"/>
                <w:sz w:val="20"/>
                <w:szCs w:val="20"/>
              </w:rPr>
              <w:t>1.008</w:t>
            </w:r>
          </w:p>
        </w:tc>
        <w:tc>
          <w:tcPr>
            <w:tcW w:w="111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7C5F6F7">
            <w:pPr>
              <w:snapToGrid w:val="0"/>
              <w:ind w:left="0" w:leftChars="0" w:right="0" w:rightChars="0" w:firstLine="0" w:firstLineChars="0"/>
              <w:jc w:val="center"/>
              <w:rPr>
                <w:b w:val="0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b w:val="0"/>
                <w:color w:val="000000"/>
                <w:sz w:val="20"/>
                <w:szCs w:val="20"/>
              </w:rPr>
              <w:t>1.379</w:t>
            </w:r>
          </w:p>
        </w:tc>
        <w:tc>
          <w:tcPr>
            <w:tcW w:w="127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F9E012E">
            <w:pPr>
              <w:snapToGrid w:val="0"/>
              <w:ind w:left="0" w:leftChars="0" w:right="0" w:rightChars="0" w:firstLine="0" w:firstLineChars="0"/>
              <w:jc w:val="center"/>
              <w:rPr>
                <w:b w:val="0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color w:val="000000"/>
                <w:sz w:val="20"/>
                <w:szCs w:val="20"/>
              </w:rPr>
              <w:t>3.267</w:t>
            </w:r>
          </w:p>
        </w:tc>
        <w:tc>
          <w:tcPr>
            <w:tcW w:w="233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39212F3">
            <w:pPr>
              <w:snapToGrid w:val="0"/>
              <w:ind w:left="0" w:leftChars="0" w:right="0" w:rightChars="0" w:firstLine="0" w:firstLineChars="0"/>
              <w:jc w:val="center"/>
              <w:rPr>
                <w:b w:val="0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b w:val="0"/>
                <w:color w:val="000000"/>
                <w:sz w:val="20"/>
                <w:szCs w:val="20"/>
              </w:rPr>
              <w:t>0.453–23.570</w:t>
            </w: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A2685F7">
            <w:pPr>
              <w:snapToGrid w:val="0"/>
              <w:ind w:left="0" w:leftChars="0" w:right="0" w:rightChars="0" w:firstLine="0" w:firstLineChars="0"/>
              <w:jc w:val="center"/>
              <w:rPr>
                <w:b w:val="0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color w:val="000000"/>
                <w:sz w:val="20"/>
                <w:szCs w:val="20"/>
              </w:rPr>
              <w:t>0.240</w:t>
            </w:r>
          </w:p>
        </w:tc>
      </w:tr>
      <w:tr w14:paraId="468BE6DA">
        <w:trPr>
          <w:trHeight w:val="0" w:hRule="atLeast"/>
          <w:jc w:val="center"/>
        </w:trPr>
        <w:tc>
          <w:tcPr>
            <w:tcW w:w="13914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4E33B1E7">
            <w:pPr>
              <w:snapToGrid w:val="0"/>
              <w:ind w:left="0" w:leftChars="0" w:right="0" w:rightChars="0" w:firstLine="0" w:firstLineChars="0"/>
              <w:jc w:val="center"/>
              <w:rPr>
                <w:b w:val="0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b w:val="0"/>
                <w:bCs/>
                <w:color w:val="000000"/>
                <w:sz w:val="20"/>
                <w:szCs w:val="20"/>
              </w:rPr>
              <w:t>Model C: ATO-chemotherapy patients (n = 49)</w:t>
            </w:r>
            <w:r>
              <w:rPr>
                <w:rFonts w:ascii="Times New Roman" w:hAnsi="Times New Roman" w:eastAsia="Times New Roman" w:cs="Times New Roman"/>
                <w:b w:val="0"/>
                <w:i/>
                <w:iCs/>
                <w:color w:val="000000"/>
                <w:sz w:val="18"/>
                <w:szCs w:val="18"/>
              </w:rPr>
              <w:t xml:space="preserve">  |  AUC = Not reported separately  |  Hosmer–Lemeshow: —</w:t>
            </w:r>
          </w:p>
        </w:tc>
      </w:tr>
      <w:tr w14:paraId="41DADCE9">
        <w:trPr>
          <w:trHeight w:val="0" w:hRule="atLeast"/>
          <w:jc w:val="center"/>
        </w:trPr>
        <w:tc>
          <w:tcPr>
            <w:tcW w:w="531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487CBA80">
            <w:pPr>
              <w:snapToGrid w:val="0"/>
              <w:ind w:left="0" w:leftChars="0" w:right="0" w:rightChars="0" w:firstLine="0" w:firstLineChars="0"/>
              <w:jc w:val="left"/>
              <w:rPr>
                <w:b w:val="0"/>
                <w:color w:val="000000"/>
              </w:rPr>
            </w:pPr>
            <w:bookmarkStart w:id="0" w:name="_GoBack" w:colFirst="1" w:colLast="3"/>
            <w:r>
              <w:rPr>
                <w:rFonts w:ascii="Times New Roman" w:hAnsi="Times New Roman" w:eastAsia="Times New Roman" w:cs="Times New Roman"/>
                <w:b w:val="0"/>
                <w:bCs w:val="0"/>
                <w:color w:val="000000"/>
                <w:sz w:val="20"/>
                <w:szCs w:val="20"/>
              </w:rPr>
              <w:t>Age (≥50 years)</w:t>
            </w:r>
          </w:p>
        </w:tc>
        <w:tc>
          <w:tcPr>
            <w:tcW w:w="13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569B263C">
            <w:pPr>
              <w:snapToGrid w:val="0"/>
              <w:ind w:left="0" w:leftChars="0" w:right="0" w:rightChars="0" w:firstLine="0" w:firstLineChars="0"/>
              <w:jc w:val="center"/>
              <w:rPr>
                <w:b w:val="0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color w:val="000000"/>
                <w:sz w:val="20"/>
                <w:szCs w:val="20"/>
              </w:rPr>
              <w:t>−0.602</w:t>
            </w:r>
          </w:p>
        </w:tc>
        <w:tc>
          <w:tcPr>
            <w:tcW w:w="111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7478978">
            <w:pPr>
              <w:snapToGrid w:val="0"/>
              <w:ind w:left="0" w:leftChars="0" w:right="0" w:rightChars="0" w:firstLine="0" w:firstLineChars="0"/>
              <w:jc w:val="center"/>
              <w:rPr>
                <w:b w:val="0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b w:val="0"/>
                <w:color w:val="000000"/>
                <w:sz w:val="20"/>
                <w:szCs w:val="20"/>
              </w:rPr>
              <w:t>1.432</w:t>
            </w:r>
          </w:p>
        </w:tc>
        <w:tc>
          <w:tcPr>
            <w:tcW w:w="111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0495B972">
            <w:pPr>
              <w:snapToGrid w:val="0"/>
              <w:ind w:left="0" w:leftChars="0" w:right="0" w:rightChars="0" w:firstLine="0" w:firstLineChars="0"/>
              <w:jc w:val="center"/>
              <w:rPr>
                <w:b w:val="0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b w:val="0"/>
                <w:color w:val="000000"/>
                <w:sz w:val="20"/>
                <w:szCs w:val="20"/>
              </w:rPr>
              <w:t>0.176</w:t>
            </w:r>
          </w:p>
        </w:tc>
        <w:tc>
          <w:tcPr>
            <w:tcW w:w="127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727D9BE2">
            <w:pPr>
              <w:snapToGrid w:val="0"/>
              <w:ind w:left="0" w:leftChars="0" w:right="0" w:rightChars="0" w:firstLine="0" w:firstLineChars="0"/>
              <w:jc w:val="center"/>
              <w:rPr>
                <w:b w:val="0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color w:val="000000"/>
                <w:sz w:val="20"/>
                <w:szCs w:val="20"/>
              </w:rPr>
              <w:t>0.548</w:t>
            </w:r>
          </w:p>
        </w:tc>
        <w:tc>
          <w:tcPr>
            <w:tcW w:w="233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59B7DE5B">
            <w:pPr>
              <w:snapToGrid w:val="0"/>
              <w:ind w:left="0" w:leftChars="0" w:right="0" w:rightChars="0" w:firstLine="0" w:firstLineChars="0"/>
              <w:jc w:val="center"/>
              <w:rPr>
                <w:b w:val="0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b w:val="0"/>
                <w:color w:val="000000"/>
                <w:sz w:val="20"/>
                <w:szCs w:val="20"/>
              </w:rPr>
              <w:t>0.033–9.047</w:t>
            </w: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4E09AA0E">
            <w:pPr>
              <w:snapToGrid w:val="0"/>
              <w:ind w:left="0" w:leftChars="0" w:right="0" w:rightChars="0" w:firstLine="0" w:firstLineChars="0"/>
              <w:jc w:val="center"/>
              <w:rPr>
                <w:b w:val="0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color w:val="000000"/>
                <w:sz w:val="20"/>
                <w:szCs w:val="20"/>
              </w:rPr>
              <w:t>0.674</w:t>
            </w:r>
          </w:p>
        </w:tc>
      </w:tr>
      <w:bookmarkEnd w:id="0"/>
      <w:tr w14:paraId="73184D59">
        <w:trPr>
          <w:trHeight w:val="0" w:hRule="atLeast"/>
          <w:jc w:val="center"/>
        </w:trPr>
        <w:tc>
          <w:tcPr>
            <w:tcW w:w="531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7605834">
            <w:pPr>
              <w:snapToGrid w:val="0"/>
              <w:ind w:left="0" w:leftChars="0" w:right="0" w:rightChars="0" w:firstLine="0" w:firstLineChars="0"/>
              <w:jc w:val="left"/>
              <w:rPr>
                <w:b w:val="0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color w:val="000000"/>
                <w:sz w:val="20"/>
                <w:szCs w:val="20"/>
              </w:rPr>
              <w:t>Time to double WBC (≤7th day)</w:t>
            </w:r>
          </w:p>
        </w:tc>
        <w:tc>
          <w:tcPr>
            <w:tcW w:w="13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7958CC9">
            <w:pPr>
              <w:snapToGrid w:val="0"/>
              <w:ind w:left="0" w:leftChars="0" w:right="0" w:rightChars="0" w:firstLine="0" w:firstLineChars="0"/>
              <w:jc w:val="center"/>
              <w:rPr>
                <w:b w:val="0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color w:val="000000"/>
                <w:sz w:val="20"/>
                <w:szCs w:val="20"/>
              </w:rPr>
              <w:t>+1.671</w:t>
            </w:r>
          </w:p>
        </w:tc>
        <w:tc>
          <w:tcPr>
            <w:tcW w:w="111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4B6DB1EF">
            <w:pPr>
              <w:snapToGrid w:val="0"/>
              <w:ind w:left="0" w:leftChars="0" w:right="0" w:rightChars="0" w:firstLine="0" w:firstLineChars="0"/>
              <w:jc w:val="center"/>
              <w:rPr>
                <w:b w:val="0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b w:val="0"/>
                <w:color w:val="000000"/>
                <w:sz w:val="20"/>
                <w:szCs w:val="20"/>
              </w:rPr>
              <w:t>1.426</w:t>
            </w:r>
          </w:p>
        </w:tc>
        <w:tc>
          <w:tcPr>
            <w:tcW w:w="111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54BBC15E">
            <w:pPr>
              <w:snapToGrid w:val="0"/>
              <w:ind w:left="0" w:leftChars="0" w:right="0" w:rightChars="0" w:firstLine="0" w:firstLineChars="0"/>
              <w:jc w:val="center"/>
              <w:rPr>
                <w:b w:val="0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b w:val="0"/>
                <w:color w:val="000000"/>
                <w:sz w:val="20"/>
                <w:szCs w:val="20"/>
              </w:rPr>
              <w:t>1.374</w:t>
            </w:r>
          </w:p>
        </w:tc>
        <w:tc>
          <w:tcPr>
            <w:tcW w:w="127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F81EF98">
            <w:pPr>
              <w:snapToGrid w:val="0"/>
              <w:ind w:left="0" w:leftChars="0" w:right="0" w:rightChars="0" w:firstLine="0" w:firstLineChars="0"/>
              <w:jc w:val="center"/>
              <w:rPr>
                <w:b w:val="0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color w:val="000000"/>
                <w:sz w:val="20"/>
                <w:szCs w:val="20"/>
              </w:rPr>
              <w:t>5.316</w:t>
            </w:r>
          </w:p>
        </w:tc>
        <w:tc>
          <w:tcPr>
            <w:tcW w:w="233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7A0E6307">
            <w:pPr>
              <w:snapToGrid w:val="0"/>
              <w:ind w:left="0" w:leftChars="0" w:right="0" w:rightChars="0" w:firstLine="0" w:firstLineChars="0"/>
              <w:jc w:val="center"/>
              <w:rPr>
                <w:b w:val="0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b w:val="0"/>
                <w:color w:val="000000"/>
                <w:sz w:val="20"/>
                <w:szCs w:val="20"/>
              </w:rPr>
              <w:t>0.325–86.842</w:t>
            </w: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73ACFF3A">
            <w:pPr>
              <w:snapToGrid w:val="0"/>
              <w:ind w:left="0" w:leftChars="0" w:right="0" w:rightChars="0" w:firstLine="0" w:firstLineChars="0"/>
              <w:jc w:val="center"/>
              <w:rPr>
                <w:b w:val="0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color w:val="000000"/>
                <w:sz w:val="20"/>
                <w:szCs w:val="20"/>
              </w:rPr>
              <w:t>0.241</w:t>
            </w:r>
          </w:p>
        </w:tc>
      </w:tr>
      <w:tr w14:paraId="4AF53D6E">
        <w:trPr>
          <w:trHeight w:val="0" w:hRule="atLeast"/>
          <w:jc w:val="center"/>
        </w:trPr>
        <w:tc>
          <w:tcPr>
            <w:tcW w:w="531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0F3B7A90">
            <w:pPr>
              <w:snapToGrid w:val="0"/>
              <w:ind w:left="0" w:leftChars="0" w:right="0" w:rightChars="0" w:firstLine="0" w:firstLineChars="0"/>
              <w:jc w:val="left"/>
              <w:rPr>
                <w:b w:val="0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color w:val="000000"/>
                <w:sz w:val="20"/>
                <w:szCs w:val="20"/>
              </w:rPr>
              <w:t>Initial platelet count (≤30×10⁹/L)</w:t>
            </w:r>
          </w:p>
        </w:tc>
        <w:tc>
          <w:tcPr>
            <w:tcW w:w="13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25371D88">
            <w:pPr>
              <w:snapToGrid w:val="0"/>
              <w:ind w:left="0" w:leftChars="0" w:right="0" w:rightChars="0" w:firstLine="0" w:firstLineChars="0"/>
              <w:jc w:val="center"/>
              <w:rPr>
                <w:b w:val="0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color w:val="000000"/>
                <w:sz w:val="20"/>
                <w:szCs w:val="20"/>
              </w:rPr>
              <w:t>−1.528</w:t>
            </w:r>
          </w:p>
        </w:tc>
        <w:tc>
          <w:tcPr>
            <w:tcW w:w="111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289E3B97">
            <w:pPr>
              <w:snapToGrid w:val="0"/>
              <w:ind w:left="0" w:leftChars="0" w:right="0" w:rightChars="0" w:firstLine="0" w:firstLineChars="0"/>
              <w:jc w:val="center"/>
              <w:rPr>
                <w:b w:val="0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b w:val="0"/>
                <w:color w:val="000000"/>
                <w:sz w:val="20"/>
                <w:szCs w:val="20"/>
              </w:rPr>
              <w:t>1.618</w:t>
            </w:r>
          </w:p>
        </w:tc>
        <w:tc>
          <w:tcPr>
            <w:tcW w:w="111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28504C04">
            <w:pPr>
              <w:snapToGrid w:val="0"/>
              <w:ind w:left="0" w:leftChars="0" w:right="0" w:rightChars="0" w:firstLine="0" w:firstLineChars="0"/>
              <w:jc w:val="center"/>
              <w:rPr>
                <w:b w:val="0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b w:val="0"/>
                <w:color w:val="000000"/>
                <w:sz w:val="20"/>
                <w:szCs w:val="20"/>
              </w:rPr>
              <w:t>0.892</w:t>
            </w:r>
          </w:p>
        </w:tc>
        <w:tc>
          <w:tcPr>
            <w:tcW w:w="127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0D4F3113">
            <w:pPr>
              <w:snapToGrid w:val="0"/>
              <w:ind w:left="0" w:leftChars="0" w:right="0" w:rightChars="0" w:firstLine="0" w:firstLineChars="0"/>
              <w:jc w:val="center"/>
              <w:rPr>
                <w:b w:val="0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color w:val="000000"/>
                <w:sz w:val="20"/>
                <w:szCs w:val="20"/>
              </w:rPr>
              <w:t>0.217</w:t>
            </w:r>
          </w:p>
        </w:tc>
        <w:tc>
          <w:tcPr>
            <w:tcW w:w="233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CC75C31">
            <w:pPr>
              <w:snapToGrid w:val="0"/>
              <w:ind w:left="0" w:leftChars="0" w:right="0" w:rightChars="0" w:firstLine="0" w:firstLineChars="0"/>
              <w:jc w:val="center"/>
              <w:rPr>
                <w:b w:val="0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b w:val="0"/>
                <w:color w:val="000000"/>
                <w:sz w:val="20"/>
                <w:szCs w:val="20"/>
              </w:rPr>
              <w:t>0.009–5.114</w:t>
            </w: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1A103B2">
            <w:pPr>
              <w:snapToGrid w:val="0"/>
              <w:ind w:left="0" w:leftChars="0" w:right="0" w:rightChars="0" w:firstLine="0" w:firstLineChars="0"/>
              <w:jc w:val="center"/>
              <w:rPr>
                <w:b w:val="0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color w:val="000000"/>
                <w:sz w:val="20"/>
                <w:szCs w:val="20"/>
              </w:rPr>
              <w:t>0.343</w:t>
            </w:r>
          </w:p>
        </w:tc>
      </w:tr>
      <w:tr w14:paraId="1E33318E">
        <w:trPr>
          <w:trHeight w:val="0" w:hRule="atLeast"/>
          <w:jc w:val="center"/>
        </w:trPr>
        <w:tc>
          <w:tcPr>
            <w:tcW w:w="5312" w:type="dxa"/>
            <w:tcBorders>
              <w:top w:val="nil"/>
              <w:left w:val="nil"/>
              <w:bottom w:val="single" w:color="000000" w:sz="12" w:space="0"/>
              <w:right w:val="nil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415D9249">
            <w:pPr>
              <w:snapToGrid w:val="0"/>
              <w:ind w:left="0" w:leftChars="0" w:right="0" w:rightChars="0" w:firstLine="0" w:firstLineChars="0"/>
              <w:jc w:val="left"/>
              <w:rPr>
                <w:b w:val="0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b w:val="0"/>
                <w:color w:val="000000"/>
                <w:sz w:val="20"/>
                <w:szCs w:val="20"/>
              </w:rPr>
              <w:t>Initial GGT (abnormal)</w:t>
            </w:r>
          </w:p>
        </w:tc>
        <w:tc>
          <w:tcPr>
            <w:tcW w:w="1302" w:type="dxa"/>
            <w:tcBorders>
              <w:top w:val="nil"/>
              <w:left w:val="nil"/>
              <w:bottom w:val="single" w:color="000000" w:sz="12" w:space="0"/>
              <w:right w:val="nil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49B193A">
            <w:pPr>
              <w:snapToGrid w:val="0"/>
              <w:ind w:left="0" w:leftChars="0" w:right="0" w:rightChars="0" w:firstLine="0" w:firstLineChars="0"/>
              <w:jc w:val="center"/>
              <w:rPr>
                <w:b w:val="0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b w:val="0"/>
                <w:color w:val="000000"/>
                <w:sz w:val="20"/>
                <w:szCs w:val="20"/>
              </w:rPr>
              <w:t>+2.257</w:t>
            </w:r>
          </w:p>
        </w:tc>
        <w:tc>
          <w:tcPr>
            <w:tcW w:w="1113" w:type="dxa"/>
            <w:tcBorders>
              <w:top w:val="nil"/>
              <w:left w:val="nil"/>
              <w:bottom w:val="single" w:color="000000" w:sz="12" w:space="0"/>
              <w:right w:val="nil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4E49BFDF">
            <w:pPr>
              <w:snapToGrid w:val="0"/>
              <w:ind w:left="0" w:leftChars="0" w:right="0" w:rightChars="0" w:firstLine="0" w:firstLineChars="0"/>
              <w:jc w:val="center"/>
              <w:rPr>
                <w:b w:val="0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b w:val="0"/>
                <w:color w:val="000000"/>
                <w:sz w:val="20"/>
                <w:szCs w:val="20"/>
              </w:rPr>
              <w:t>1.624</w:t>
            </w:r>
          </w:p>
        </w:tc>
        <w:tc>
          <w:tcPr>
            <w:tcW w:w="1113" w:type="dxa"/>
            <w:tcBorders>
              <w:top w:val="nil"/>
              <w:left w:val="nil"/>
              <w:bottom w:val="single" w:color="000000" w:sz="12" w:space="0"/>
              <w:right w:val="nil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0A0EADB1">
            <w:pPr>
              <w:snapToGrid w:val="0"/>
              <w:ind w:left="0" w:leftChars="0" w:right="0" w:rightChars="0" w:firstLine="0" w:firstLineChars="0"/>
              <w:jc w:val="center"/>
              <w:rPr>
                <w:b w:val="0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b w:val="0"/>
                <w:color w:val="000000"/>
                <w:sz w:val="20"/>
                <w:szCs w:val="20"/>
              </w:rPr>
              <w:t>1.932</w:t>
            </w:r>
          </w:p>
        </w:tc>
        <w:tc>
          <w:tcPr>
            <w:tcW w:w="1277" w:type="dxa"/>
            <w:tcBorders>
              <w:top w:val="nil"/>
              <w:left w:val="nil"/>
              <w:bottom w:val="single" w:color="000000" w:sz="12" w:space="0"/>
              <w:right w:val="nil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9AD0A17">
            <w:pPr>
              <w:snapToGrid w:val="0"/>
              <w:ind w:left="0" w:leftChars="0" w:right="0" w:rightChars="0" w:firstLine="0" w:firstLineChars="0"/>
              <w:jc w:val="center"/>
              <w:rPr>
                <w:b w:val="0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b w:val="0"/>
                <w:color w:val="000000"/>
                <w:sz w:val="20"/>
                <w:szCs w:val="20"/>
              </w:rPr>
              <w:t>9.553</w:t>
            </w:r>
          </w:p>
        </w:tc>
        <w:tc>
          <w:tcPr>
            <w:tcW w:w="2332" w:type="dxa"/>
            <w:tcBorders>
              <w:top w:val="nil"/>
              <w:left w:val="nil"/>
              <w:bottom w:val="single" w:color="000000" w:sz="12" w:space="0"/>
              <w:right w:val="nil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0F3E23B1">
            <w:pPr>
              <w:snapToGrid w:val="0"/>
              <w:ind w:left="0" w:leftChars="0" w:right="0" w:rightChars="0" w:firstLine="0" w:firstLineChars="0"/>
              <w:jc w:val="center"/>
              <w:rPr>
                <w:b w:val="0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b w:val="0"/>
                <w:color w:val="000000"/>
                <w:sz w:val="20"/>
                <w:szCs w:val="20"/>
              </w:rPr>
              <w:t>0.396–230.185</w:t>
            </w:r>
          </w:p>
        </w:tc>
        <w:tc>
          <w:tcPr>
            <w:tcW w:w="1465" w:type="dxa"/>
            <w:tcBorders>
              <w:top w:val="nil"/>
              <w:left w:val="nil"/>
              <w:bottom w:val="single" w:color="000000" w:sz="12" w:space="0"/>
              <w:right w:val="nil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7125E7C0">
            <w:pPr>
              <w:snapToGrid w:val="0"/>
              <w:ind w:left="0" w:leftChars="0" w:right="0" w:rightChars="0" w:firstLine="0" w:firstLineChars="0"/>
              <w:jc w:val="center"/>
              <w:rPr>
                <w:b w:val="0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b w:val="0"/>
                <w:color w:val="000000"/>
                <w:sz w:val="20"/>
                <w:szCs w:val="20"/>
              </w:rPr>
              <w:t>0.164</w:t>
            </w:r>
          </w:p>
        </w:tc>
      </w:tr>
    </w:tbl>
    <w:p w14:paraId="4C7AC0C1">
      <w:pPr>
        <w:spacing w:before="160"/>
      </w:pPr>
      <w:r>
        <w:rPr>
          <w:rFonts w:ascii="Times New Roman" w:hAnsi="Times New Roman" w:eastAsia="Times New Roman" w:cs="Times New Roman"/>
          <w:b/>
          <w:bCs/>
          <w:sz w:val="18"/>
          <w:szCs w:val="18"/>
        </w:rPr>
        <w:t xml:space="preserve">Abbreviations: </w:t>
      </w:r>
      <w:r>
        <w:rPr>
          <w:rFonts w:hint="default" w:ascii="Times New Roman Italic" w:hAnsi="Times New Roman Italic" w:eastAsia="Times New Roman" w:cs="Times New Roman Italic"/>
          <w:i/>
          <w:iCs/>
          <w:sz w:val="18"/>
          <w:szCs w:val="18"/>
        </w:rPr>
        <w:t>β</w:t>
      </w:r>
      <w:r>
        <w:rPr>
          <w:rFonts w:ascii="Times New Roman" w:hAnsi="Times New Roman" w:eastAsia="Times New Roman" w:cs="Times New Roman"/>
          <w:sz w:val="18"/>
          <w:szCs w:val="18"/>
        </w:rPr>
        <w:t xml:space="preserve">, logistic regression coefficient; </w:t>
      </w:r>
      <w:r>
        <w:rPr>
          <w:rFonts w:hint="default" w:ascii="Times New Roman Italic" w:hAnsi="Times New Roman Italic" w:eastAsia="Times New Roman" w:cs="Times New Roman Italic"/>
          <w:i/>
          <w:iCs/>
          <w:sz w:val="18"/>
          <w:szCs w:val="18"/>
        </w:rPr>
        <w:t>SE</w:t>
      </w:r>
      <w:r>
        <w:rPr>
          <w:rFonts w:ascii="Times New Roman" w:hAnsi="Times New Roman" w:eastAsia="Times New Roman" w:cs="Times New Roman"/>
          <w:sz w:val="18"/>
          <w:szCs w:val="18"/>
        </w:rPr>
        <w:t xml:space="preserve">, standard error; </w:t>
      </w:r>
      <w:r>
        <w:rPr>
          <w:rFonts w:hint="default" w:ascii="Times New Roman Italic" w:hAnsi="Times New Roman Italic" w:eastAsia="Times New Roman" w:cs="Times New Roman Italic"/>
          <w:i/>
          <w:iCs/>
          <w:sz w:val="18"/>
          <w:szCs w:val="18"/>
        </w:rPr>
        <w:t>Wald</w:t>
      </w:r>
      <w:r>
        <w:rPr>
          <w:rFonts w:ascii="Times New Roman" w:hAnsi="Times New Roman" w:eastAsia="Times New Roman" w:cs="Times New Roman"/>
          <w:sz w:val="18"/>
          <w:szCs w:val="18"/>
        </w:rPr>
        <w:t xml:space="preserve">, Wald chi-square statistic; </w:t>
      </w:r>
      <w:r>
        <w:rPr>
          <w:rFonts w:hint="default" w:ascii="Times New Roman Italic" w:hAnsi="Times New Roman Italic" w:eastAsia="Times New Roman" w:cs="Times New Roman Italic"/>
          <w:i/>
          <w:iCs/>
          <w:sz w:val="18"/>
          <w:szCs w:val="18"/>
        </w:rPr>
        <w:t>OR</w:t>
      </w:r>
      <w:r>
        <w:rPr>
          <w:rFonts w:ascii="Times New Roman" w:hAnsi="Times New Roman" w:eastAsia="Times New Roman" w:cs="Times New Roman"/>
          <w:sz w:val="18"/>
          <w:szCs w:val="18"/>
        </w:rPr>
        <w:t xml:space="preserve">, odds ratio; </w:t>
      </w:r>
      <w:r>
        <w:rPr>
          <w:rFonts w:hint="default" w:ascii="Times New Roman Italic" w:hAnsi="Times New Roman Italic" w:eastAsia="Times New Roman" w:cs="Times New Roman Italic"/>
          <w:i/>
          <w:iCs/>
          <w:sz w:val="18"/>
          <w:szCs w:val="18"/>
        </w:rPr>
        <w:t>CI</w:t>
      </w:r>
      <w:r>
        <w:rPr>
          <w:rFonts w:ascii="Times New Roman" w:hAnsi="Times New Roman" w:eastAsia="Times New Roman" w:cs="Times New Roman"/>
          <w:sz w:val="18"/>
          <w:szCs w:val="18"/>
        </w:rPr>
        <w:t xml:space="preserve">, confidence interval; </w:t>
      </w:r>
      <w:r>
        <w:rPr>
          <w:rFonts w:hint="default" w:ascii="Times New Roman Italic" w:hAnsi="Times New Roman Italic" w:eastAsia="Times New Roman" w:cs="Times New Roman Italic"/>
          <w:i/>
          <w:iCs/>
          <w:sz w:val="18"/>
          <w:szCs w:val="18"/>
        </w:rPr>
        <w:t>AUC</w:t>
      </w:r>
      <w:r>
        <w:rPr>
          <w:rFonts w:ascii="Times New Roman" w:hAnsi="Times New Roman" w:eastAsia="Times New Roman" w:cs="Times New Roman"/>
          <w:sz w:val="18"/>
          <w:szCs w:val="18"/>
        </w:rPr>
        <w:t xml:space="preserve">, area under the receiver operating characteristic curve; </w:t>
      </w:r>
      <w:r>
        <w:rPr>
          <w:rFonts w:hint="default" w:ascii="Times New Roman Italic" w:hAnsi="Times New Roman Italic" w:eastAsia="Times New Roman" w:cs="Times New Roman Italic"/>
          <w:i/>
          <w:iCs/>
          <w:sz w:val="18"/>
          <w:szCs w:val="18"/>
        </w:rPr>
        <w:t>ATO</w:t>
      </w:r>
      <w:r>
        <w:rPr>
          <w:rFonts w:ascii="Times New Roman" w:hAnsi="Times New Roman" w:eastAsia="Times New Roman" w:cs="Times New Roman"/>
          <w:sz w:val="18"/>
          <w:szCs w:val="18"/>
        </w:rPr>
        <w:t xml:space="preserve">, arsenic trioxide; </w:t>
      </w:r>
      <w:r>
        <w:rPr>
          <w:rFonts w:hint="default" w:ascii="Times New Roman Italic" w:hAnsi="Times New Roman Italic" w:eastAsia="Times New Roman" w:cs="Times New Roman Italic"/>
          <w:i/>
          <w:iCs/>
          <w:sz w:val="18"/>
          <w:szCs w:val="18"/>
        </w:rPr>
        <w:t>APL</w:t>
      </w:r>
      <w:r>
        <w:rPr>
          <w:rFonts w:ascii="Times New Roman" w:hAnsi="Times New Roman" w:eastAsia="Times New Roman" w:cs="Times New Roman"/>
          <w:sz w:val="18"/>
          <w:szCs w:val="18"/>
        </w:rPr>
        <w:t xml:space="preserve">, acute promyelocytic leukemia; </w:t>
      </w:r>
      <w:r>
        <w:rPr>
          <w:rFonts w:hint="default" w:ascii="Times New Roman Italic" w:hAnsi="Times New Roman Italic" w:eastAsia="Times New Roman" w:cs="Times New Roman Italic"/>
          <w:i/>
          <w:iCs/>
          <w:sz w:val="18"/>
          <w:szCs w:val="18"/>
        </w:rPr>
        <w:t>WBC</w:t>
      </w:r>
      <w:r>
        <w:rPr>
          <w:rFonts w:ascii="Times New Roman" w:hAnsi="Times New Roman" w:eastAsia="Times New Roman" w:cs="Times New Roman"/>
          <w:sz w:val="18"/>
          <w:szCs w:val="18"/>
        </w:rPr>
        <w:t xml:space="preserve">, white blood cell count; </w:t>
      </w:r>
      <w:r>
        <w:rPr>
          <w:rFonts w:hint="default" w:ascii="Times New Roman Italic" w:hAnsi="Times New Roman Italic" w:eastAsia="Times New Roman" w:cs="Times New Roman Italic"/>
          <w:i/>
          <w:iCs/>
          <w:sz w:val="18"/>
          <w:szCs w:val="18"/>
        </w:rPr>
        <w:t>GGT</w:t>
      </w:r>
      <w:r>
        <w:rPr>
          <w:rFonts w:ascii="Times New Roman" w:hAnsi="Times New Roman" w:eastAsia="Times New Roman" w:cs="Times New Roman"/>
          <w:sz w:val="18"/>
          <w:szCs w:val="18"/>
        </w:rPr>
        <w:t>, gamma-glutamyltransferase.</w:t>
      </w:r>
    </w:p>
    <w:p w14:paraId="274FCF82">
      <w:pPr>
        <w:spacing w:before="80"/>
      </w:pPr>
      <w:r>
        <w:rPr>
          <w:rFonts w:ascii="Times New Roman" w:hAnsi="Times New Roman" w:eastAsia="Times New Roman" w:cs="Times New Roman"/>
          <w:b/>
          <w:bCs/>
          <w:sz w:val="18"/>
          <w:szCs w:val="18"/>
        </w:rPr>
        <w:t xml:space="preserve">Statistical significance: </w:t>
      </w:r>
      <w:r>
        <w:rPr>
          <w:rFonts w:ascii="Times New Roman" w:hAnsi="Times New Roman" w:eastAsia="Times New Roman" w:cs="Times New Roman"/>
          <w:sz w:val="18"/>
          <w:szCs w:val="18"/>
        </w:rPr>
        <w:t>* P &lt; 0.05; ** P &lt; 0.01. Highlighted rows (yellow) indicate statistically significant independent predictors.</w:t>
      </w:r>
    </w:p>
    <w:p w14:paraId="4E04DFFA">
      <w:pPr>
        <w:spacing w:before="80"/>
      </w:pPr>
      <w:r>
        <w:rPr>
          <w:rFonts w:ascii="Times New Roman" w:hAnsi="Times New Roman" w:eastAsia="Times New Roman" w:cs="Times New Roman"/>
          <w:b/>
          <w:bCs/>
          <w:sz w:val="18"/>
          <w:szCs w:val="18"/>
        </w:rPr>
        <w:t xml:space="preserve">Method note: </w:t>
      </w:r>
      <w:r>
        <w:rPr>
          <w:rFonts w:ascii="Times New Roman" w:hAnsi="Times New Roman" w:eastAsia="Times New Roman" w:cs="Times New Roman"/>
          <w:sz w:val="18"/>
          <w:szCs w:val="18"/>
        </w:rPr>
        <w:t>β coefficients and standard errors (SE) were derived from the multivariate logistic regression output using the relationships β = ln(OR) and SE = [ln(CI</w:t>
      </w:r>
      <w:r>
        <w:rPr>
          <w:rFonts w:ascii="Times New Roman" w:hAnsi="Times New Roman" w:eastAsia="Times New Roman" w:cs="Times New Roman"/>
          <w:sz w:val="16"/>
          <w:szCs w:val="16"/>
          <w:vertAlign w:val="subscript"/>
        </w:rPr>
        <w:t>upper</w:t>
      </w:r>
      <w:r>
        <w:rPr>
          <w:rFonts w:ascii="Times New Roman" w:hAnsi="Times New Roman" w:eastAsia="Times New Roman" w:cs="Times New Roman"/>
          <w:sz w:val="18"/>
          <w:szCs w:val="18"/>
        </w:rPr>
        <w:t>) − ln(CI</w:t>
      </w:r>
      <w:r>
        <w:rPr>
          <w:rFonts w:ascii="Times New Roman" w:hAnsi="Times New Roman" w:eastAsia="Times New Roman" w:cs="Times New Roman"/>
          <w:sz w:val="16"/>
          <w:szCs w:val="16"/>
          <w:vertAlign w:val="subscript"/>
        </w:rPr>
        <w:t>lower</w:t>
      </w:r>
      <w:r>
        <w:rPr>
          <w:rFonts w:ascii="Times New Roman" w:hAnsi="Times New Roman" w:eastAsia="Times New Roman" w:cs="Times New Roman"/>
          <w:sz w:val="18"/>
          <w:szCs w:val="18"/>
        </w:rPr>
        <w:t>)] ÷ 3.92, which are mathematically equivalent to direct SPSS output values. Wald = (β/SE)². The combined ROC models were constructed using logistic regression-derived predicted probabilities, which were imported into GraphPad Prism 9 for ROC curve analysis. Model goodness-of-fit was assessed using the Hosmer–Lemeshow test.</w:t>
      </w:r>
    </w:p>
    <w:p w14:paraId="178B2539">
      <w:pPr>
        <w:spacing w:before="80"/>
      </w:pPr>
      <w:r>
        <w:rPr>
          <w:rFonts w:ascii="Times New Roman" w:hAnsi="Times New Roman" w:eastAsia="Times New Roman" w:cs="Times New Roman"/>
          <w:b/>
          <w:bCs/>
          <w:sz w:val="18"/>
          <w:szCs w:val="18"/>
        </w:rPr>
        <w:t xml:space="preserve">Variable coding: </w:t>
      </w:r>
      <w:r>
        <w:rPr>
          <w:rFonts w:ascii="Times New Roman" w:hAnsi="Times New Roman" w:eastAsia="Times New Roman" w:cs="Times New Roman"/>
          <w:sz w:val="18"/>
          <w:szCs w:val="18"/>
        </w:rPr>
        <w:t>Age: 0 = &lt; 50 years, 1 = ≥ 50 years; Induction therapy: 0 = ATO-chemotherapy, 1 = ATO single-agent; Time to double WBC: 0 = &gt; 7th day, 1 = ≤ 7th day; Initial platelet: 0 = &gt; 30×10⁹/L, 1 = ≤ 30×10⁹/L; Initial GGT: 0 = normal, 1 = abnormal.</w:t>
      </w:r>
    </w:p>
    <w:sectPr>
      <w:pgSz w:w="15840" w:h="12240"/>
      <w:pgMar w:top="1080" w:right="1080" w:bottom="1080" w:left="1080" w:header="708" w:footer="708" w:gutter="0"/>
      <w:pgBorders>
        <w:top w:val="none" w:sz="0" w:space="0"/>
        <w:left w:val="none" w:sz="0" w:space="0"/>
        <w:bottom w:val="none" w:sz="0" w:space="0"/>
        <w:right w:val="none" w:sz="0" w:space="0"/>
      </w:pgBorders>
      <w:cols w:space="720" w:num="1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503050405090304"/>
    <w:charset w:val="86"/>
    <w:family w:val="auto"/>
    <w:pitch w:val="default"/>
    <w:sig w:usb0="E0000AFF" w:usb1="00007843" w:usb2="00000001" w:usb3="00000000" w:csb0="400001BF" w:csb1="DFF70000"/>
  </w:font>
  <w:font w:name="宋体">
    <w:altName w:val="汉仪书宋二KW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90204"/>
    <w:charset w:val="01"/>
    <w:family w:val="swiss"/>
    <w:pitch w:val="default"/>
    <w:sig w:usb0="E0000AFF" w:usb1="00007843" w:usb2="00000001" w:usb3="00000000" w:csb0="400001BF" w:csb1="DFF70000"/>
  </w:font>
  <w:font w:name="黑体">
    <w:altName w:val="汉仪中黑KW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409020205090404"/>
    <w:charset w:val="01"/>
    <w:family w:val="modern"/>
    <w:pitch w:val="default"/>
    <w:sig w:usb0="E0000AFF" w:usb1="40007843" w:usb2="00000001" w:usb3="00000000" w:csb0="400001BF" w:csb1="DFF70000"/>
  </w:font>
  <w:font w:name="Symbol">
    <w:altName w:val="Kingsoft Sign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Helvetica Neue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宋体-简">
    <w:panose1 w:val="02010800040101010101"/>
    <w:charset w:val="86"/>
    <w:family w:val="auto"/>
    <w:pitch w:val="default"/>
    <w:sig w:usb0="00000001" w:usb1="080F0000" w:usb2="00000000" w:usb3="00000000" w:csb0="00040000" w:csb1="00000000"/>
  </w:font>
  <w:font w:name="汉仪书宋二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汉仪中黑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Kingsoft Sign">
    <w:panose1 w:val="05050102010706020507"/>
    <w:charset w:val="00"/>
    <w:family w:val="auto"/>
    <w:pitch w:val="default"/>
    <w:sig w:usb0="00000000" w:usb1="10000000" w:usb2="00000000" w:usb3="00000000" w:csb0="00000001" w:csb1="00000000"/>
  </w:font>
  <w:font w:name="Helvetica Neue">
    <w:panose1 w:val="02000503000000020004"/>
    <w:charset w:val="00"/>
    <w:family w:val="auto"/>
    <w:pitch w:val="default"/>
    <w:sig w:usb0="E50002FF" w:usb1="500079DB" w:usb2="00000010" w:usb3="00000000" w:csb0="00000000" w:csb1="00000000"/>
  </w:font>
  <w:font w:name="Times New Roman Italic">
    <w:panose1 w:val="02020503050405090304"/>
    <w:charset w:val="00"/>
    <w:family w:val="auto"/>
    <w:pitch w:val="default"/>
    <w:sig w:usb0="E0000AFF" w:usb1="00007843" w:usb2="00000001" w:usb3="00000000" w:csb0="400001BF" w:csb1="DFF7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9"/>
  <w:displayBackgroundShape w:val="1"/>
  <w:documentProtection w:enforcement="0"/>
  <w:compat>
    <w:useFELayout/>
    <w:compatSetting w:name="compatibilityMode" w:uri="http://schemas.microsoft.com/office/word" w:val="15"/>
  </w:compat>
  <w:rsids>
    <w:rsidRoot w:val="00000000"/>
    <w:rsid w:val="02714395"/>
    <w:rsid w:val="03451AAA"/>
    <w:rsid w:val="036068E4"/>
    <w:rsid w:val="0A2C6E3E"/>
    <w:rsid w:val="298F1421"/>
    <w:rsid w:val="2FBBF1DA"/>
    <w:rsid w:val="32CC41E5"/>
    <w:rsid w:val="33B10912"/>
    <w:rsid w:val="45352A25"/>
    <w:rsid w:val="4EEC684A"/>
    <w:rsid w:val="5A9A53AC"/>
    <w:rsid w:val="5C871CD9"/>
    <w:rsid w:val="6DAC56CB"/>
    <w:rsid w:val="787A05B6"/>
    <w:rsid w:val="7EFE644E"/>
    <w:rsid w:val="BF7FB388"/>
    <w:rsid w:val="D3FD8565"/>
    <w:rsid w:val="DFED92E3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Times New Roman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nhideWhenUsed="0" w:uiPriority="0" w:semiHidden="0" w:name="heading 3"/>
    <w:lsdException w:qFormat="1" w:unhideWhenUsed="0" w:uiPriority="0" w:semiHidden="0" w:name="heading 4"/>
    <w:lsdException w:qFormat="1" w:unhideWhenUsed="0" w:uiPriority="0" w:semiHidden="0" w:name="heading 5"/>
    <w:lsdException w:qFormat="1" w:unhideWhenUsed="0" w:uiPriority="0" w:semiHidden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iPriority="99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qFormat="1" w:uiPriority="99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0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Times New Roman" w:cs="Times New Roman"/>
      <w:sz w:val="20"/>
      <w:szCs w:val="20"/>
    </w:rPr>
  </w:style>
  <w:style w:type="paragraph" w:styleId="2">
    <w:name w:val="heading 1"/>
    <w:next w:val="1"/>
    <w:qFormat/>
    <w:uiPriority w:val="0"/>
    <w:rPr>
      <w:rFonts w:ascii="Times New Roman" w:hAnsi="Times New Roman" w:eastAsia="Times New Roman" w:cs="Times New Roman"/>
      <w:color w:val="2E74B5"/>
      <w:sz w:val="32"/>
      <w:szCs w:val="32"/>
    </w:rPr>
  </w:style>
  <w:style w:type="paragraph" w:styleId="3">
    <w:name w:val="heading 2"/>
    <w:next w:val="1"/>
    <w:qFormat/>
    <w:uiPriority w:val="0"/>
    <w:rPr>
      <w:rFonts w:ascii="Times New Roman" w:hAnsi="Times New Roman" w:eastAsia="Times New Roman" w:cs="Times New Roman"/>
      <w:color w:val="2E74B5"/>
      <w:sz w:val="26"/>
      <w:szCs w:val="26"/>
    </w:rPr>
  </w:style>
  <w:style w:type="paragraph" w:styleId="4">
    <w:name w:val="heading 3"/>
    <w:next w:val="1"/>
    <w:qFormat/>
    <w:uiPriority w:val="0"/>
    <w:rPr>
      <w:rFonts w:ascii="Times New Roman" w:hAnsi="Times New Roman" w:eastAsia="Times New Roman" w:cs="Times New Roman"/>
      <w:color w:val="1F4D78"/>
      <w:sz w:val="24"/>
      <w:szCs w:val="24"/>
    </w:rPr>
  </w:style>
  <w:style w:type="paragraph" w:styleId="5">
    <w:name w:val="heading 4"/>
    <w:next w:val="1"/>
    <w:qFormat/>
    <w:uiPriority w:val="0"/>
    <w:rPr>
      <w:rFonts w:ascii="Times New Roman" w:hAnsi="Times New Roman" w:eastAsia="Times New Roman" w:cs="Times New Roman"/>
      <w:i/>
      <w:iCs/>
      <w:color w:val="2E74B5"/>
      <w:sz w:val="20"/>
      <w:szCs w:val="20"/>
    </w:rPr>
  </w:style>
  <w:style w:type="paragraph" w:styleId="6">
    <w:name w:val="heading 5"/>
    <w:next w:val="1"/>
    <w:qFormat/>
    <w:uiPriority w:val="0"/>
    <w:rPr>
      <w:rFonts w:ascii="Times New Roman" w:hAnsi="Times New Roman" w:eastAsia="Times New Roman" w:cs="Times New Roman"/>
      <w:color w:val="2E74B5"/>
      <w:sz w:val="20"/>
      <w:szCs w:val="20"/>
    </w:rPr>
  </w:style>
  <w:style w:type="paragraph" w:styleId="7">
    <w:name w:val="heading 6"/>
    <w:next w:val="1"/>
    <w:qFormat/>
    <w:uiPriority w:val="0"/>
    <w:rPr>
      <w:rFonts w:ascii="Times New Roman" w:hAnsi="Times New Roman" w:eastAsia="Times New Roman" w:cs="Times New Roman"/>
      <w:color w:val="1F4D78"/>
      <w:sz w:val="20"/>
      <w:szCs w:val="20"/>
    </w:rPr>
  </w:style>
  <w:style w:type="character" w:default="1" w:styleId="11">
    <w:name w:val="Default Paragraph Font"/>
    <w:semiHidden/>
    <w:uiPriority w:val="0"/>
  </w:style>
  <w:style w:type="table" w:default="1" w:styleId="10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8">
    <w:name w:val="footnote text"/>
    <w:link w:val="15"/>
    <w:semiHidden/>
    <w:unhideWhenUsed/>
    <w:uiPriority w:val="99"/>
    <w:pPr>
      <w:spacing w:after="0" w:line="240" w:lineRule="auto"/>
    </w:pPr>
    <w:rPr>
      <w:rFonts w:ascii="Times New Roman" w:hAnsi="Times New Roman" w:eastAsia="Times New Roman" w:cs="Times New Roman"/>
      <w:sz w:val="20"/>
      <w:szCs w:val="20"/>
    </w:rPr>
  </w:style>
  <w:style w:type="paragraph" w:styleId="9">
    <w:name w:val="Title"/>
    <w:qFormat/>
    <w:uiPriority w:val="0"/>
    <w:rPr>
      <w:rFonts w:ascii="Times New Roman" w:hAnsi="Times New Roman" w:eastAsia="Times New Roman" w:cs="Times New Roman"/>
      <w:sz w:val="56"/>
      <w:szCs w:val="56"/>
    </w:rPr>
  </w:style>
  <w:style w:type="character" w:styleId="12">
    <w:name w:val="Hyperlink"/>
    <w:unhideWhenUsed/>
    <w:uiPriority w:val="99"/>
    <w:rPr>
      <w:color w:val="0563C1"/>
      <w:u w:val="single"/>
    </w:rPr>
  </w:style>
  <w:style w:type="character" w:styleId="13">
    <w:name w:val="footnote reference"/>
    <w:semiHidden/>
    <w:unhideWhenUsed/>
    <w:qFormat/>
    <w:uiPriority w:val="99"/>
    <w:rPr>
      <w:vertAlign w:val="superscript"/>
    </w:rPr>
  </w:style>
  <w:style w:type="paragraph" w:styleId="14">
    <w:name w:val="List Paragraph"/>
    <w:qFormat/>
    <w:uiPriority w:val="0"/>
    <w:rPr>
      <w:rFonts w:ascii="Times New Roman" w:hAnsi="Times New Roman" w:eastAsia="Times New Roman" w:cs="Times New Roman"/>
      <w:sz w:val="20"/>
      <w:szCs w:val="20"/>
    </w:rPr>
  </w:style>
  <w:style w:type="character" w:customStyle="1" w:styleId="15">
    <w:name w:val="Footnote Text Char"/>
    <w:link w:val="8"/>
    <w:semiHidden/>
    <w:unhideWhenUsed/>
    <w:qFormat/>
    <w:uiPriority w:val="99"/>
    <w:rPr>
      <w:sz w:val="20"/>
      <w:szCs w:val="20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Pages>1</Pages>
  <Words>414</Words>
  <Characters>2320</Characters>
  <TotalTime>2</TotalTime>
  <ScaleCrop>false</ScaleCrop>
  <LinksUpToDate>false</LinksUpToDate>
  <CharactersWithSpaces>2640</CharactersWithSpaces>
  <Application>WPS Office_12.1.25205.25205_F1E327BC-269C-435d-A152-05C5408002CA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2026-03-31T14:35:00Z</dcterms:created>
  <dc:creator>Un-named</dc:creator>
  <cp:lastModifiedBy>Agaumenti</cp:lastModifiedBy>
  <dcterms:modified xsi:type="dcterms:W3CDTF">2026-04-01T09:36:10Z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2052-12.1.25205.25205</vt:lpwstr>
  </property>
  <property fmtid="{D5CDD505-2E9C-101B-9397-08002B2CF9AE}" pid="3" name="ICV">
    <vt:lpwstr>6660C321E709053FE5EDCB69048D33DC_43</vt:lpwstr>
  </property>
  <property fmtid="{D5CDD505-2E9C-101B-9397-08002B2CF9AE}" pid="4" name="KSOTemplateDocerSaveRecord">
    <vt:lpwstr>eyJoZGlkIjoiYmE3YThlOTc4MjRmMWM4NGQwNWQ2ZjY5YTBjMGRkNTYiLCJ1c2VySWQiOiI0NjMxMzA0MDAifQ==</vt:lpwstr>
  </property>
</Properties>
</file>