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5215F">
      <w:pPr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Table S3. Comparison of m6A-related studies in co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</w:rPr>
        <w:t>lorectal cancer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</w:p>
    <w:tbl>
      <w:tblPr>
        <w:tblStyle w:val="5"/>
        <w:tblW w:w="9905" w:type="dxa"/>
        <w:tblInd w:w="-9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1662"/>
        <w:gridCol w:w="1394"/>
        <w:gridCol w:w="1419"/>
        <w:gridCol w:w="1268"/>
        <w:gridCol w:w="2077"/>
      </w:tblGrid>
      <w:tr w14:paraId="1736B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1DC82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Items</w:t>
            </w:r>
          </w:p>
        </w:tc>
        <w:tc>
          <w:tcPr>
            <w:tcW w:w="1662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E5E5A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Chong et al., Theranostics, 2021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vertAlign w:val="superscript"/>
                <w:lang w:val="en-US" w:eastAsia="zh-CN" w:bidi="ar"/>
              </w:rPr>
              <w:t>22</w:t>
            </w:r>
          </w:p>
        </w:tc>
        <w:tc>
          <w:tcPr>
            <w:tcW w:w="1394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BCB31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Li et al., BMC Med Genomics, 2023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vertAlign w:val="superscript"/>
                <w:lang w:val="en-US" w:eastAsia="zh-CN" w:bidi="ar"/>
              </w:rPr>
              <w:t>26</w:t>
            </w:r>
          </w:p>
        </w:tc>
        <w:tc>
          <w:tcPr>
            <w:tcW w:w="141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B5D4A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Xu et al., Front Cell Dev Biol, 2020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vertAlign w:val="superscript"/>
                <w:lang w:val="en-US" w:eastAsia="zh-CN" w:bidi="ar"/>
              </w:rPr>
              <w:t>33</w:t>
            </w:r>
          </w:p>
        </w:tc>
        <w:tc>
          <w:tcPr>
            <w:tcW w:w="1268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31EFE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Sheng et al., Sci Rep, 2023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vertAlign w:val="superscript"/>
                <w:lang w:val="en-US" w:eastAsia="zh-CN" w:bidi="ar"/>
              </w:rPr>
              <w:t>34</w:t>
            </w:r>
          </w:p>
        </w:tc>
        <w:tc>
          <w:tcPr>
            <w:tcW w:w="207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6F7C1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This study</w:t>
            </w:r>
          </w:p>
        </w:tc>
      </w:tr>
      <w:tr w14:paraId="7B36F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67E26A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Number of m6A regulators</w:t>
            </w:r>
          </w:p>
        </w:tc>
        <w:tc>
          <w:tcPr>
            <w:tcW w:w="1662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5B129E9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23</w:t>
            </w:r>
          </w:p>
        </w:tc>
        <w:tc>
          <w:tcPr>
            <w:tcW w:w="1394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2B0B87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25</w:t>
            </w:r>
          </w:p>
        </w:tc>
        <w:tc>
          <w:tcPr>
            <w:tcW w:w="1419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2448972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1268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10C605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23</w:t>
            </w:r>
          </w:p>
        </w:tc>
        <w:tc>
          <w:tcPr>
            <w:tcW w:w="2077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279D2B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27 (7 writers, 3 erasers, 17 readers)</w:t>
            </w:r>
          </w:p>
        </w:tc>
      </w:tr>
      <w:tr w14:paraId="56CA8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1ACEA6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Total sample size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6DB624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1,400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40AE61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1,200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0D9D1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70120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1,100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49FC4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2,405 (TCGA + 12 GEO cohorts)</w:t>
            </w:r>
          </w:p>
        </w:tc>
      </w:tr>
      <w:tr w14:paraId="0CE3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51484B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m6A modification clusters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E9691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 clusters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4E7198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 clusters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27C04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 clusters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D1555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 clusters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7B1BE3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3 stable clusters</w:t>
            </w:r>
          </w:p>
        </w:tc>
      </w:tr>
      <w:tr w14:paraId="75DDF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469FBC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TME immune phenotypes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0CAEE14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Immune infiltration only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05D41B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Not defined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2C77B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Immune score only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35B9A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Simple infiltration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7D11D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Immune</w:t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noBreakHyphen/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excluded / Inflamed / Desert</w:t>
            </w:r>
          </w:p>
        </w:tc>
      </w:tr>
      <w:tr w14:paraId="19404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7374C1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Genomic stratification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5E1866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None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412B3F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None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B4E5BE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None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B43F0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None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852E6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m6A</w:t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noBreakHyphen/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related genomic subtypes</w:t>
            </w:r>
          </w:p>
        </w:tc>
      </w:tr>
      <w:tr w14:paraId="2E5F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64A79D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Core framework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01CC44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Pattern,TME ,prognosis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3E2E4A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Mutation,prognosis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AECF6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Expression,immune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42F7F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Pattern,prognosis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3215B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Modification</w:t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noBreakHyphen/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genomic phenotype</w:t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noBreakHyphen/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therapy axis</w:t>
            </w:r>
          </w:p>
        </w:tc>
      </w:tr>
      <w:tr w14:paraId="4BFA6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03EA05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Immunotherapy prediction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478099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PD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1/PD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L1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6A2060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Not done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73A9BB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IPS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1D0AD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Checkpoints only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45F6E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IPS + MSI + TMB + PD</w:t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noBreakHyphen/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L1/CTLA4</w:t>
            </w:r>
          </w:p>
        </w:tc>
      </w:tr>
      <w:tr w14:paraId="26B08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4D65CD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MDSC mechanism</w:t>
            </w:r>
          </w:p>
        </w:tc>
        <w:tc>
          <w:tcPr>
            <w:tcW w:w="1662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34826B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Not explained</w:t>
            </w:r>
          </w:p>
        </w:tc>
        <w:tc>
          <w:tcPr>
            <w:tcW w:w="1394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5DC66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Not explained</w:t>
            </w:r>
          </w:p>
        </w:tc>
        <w:tc>
          <w:tcPr>
            <w:tcW w:w="1419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5D8A9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Not involved</w:t>
            </w:r>
          </w:p>
        </w:tc>
        <w:tc>
          <w:tcPr>
            <w:tcW w:w="1268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49DED6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Not involved</w:t>
            </w:r>
          </w:p>
        </w:tc>
        <w:tc>
          <w:tcPr>
            <w:tcW w:w="207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2E1358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CXCL1 / ARG1 mechanism clarified</w:t>
            </w:r>
          </w:p>
        </w:tc>
      </w:tr>
    </w:tbl>
    <w:p w14:paraId="12F8B0A1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3FCE82B7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5AD57189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0C87785F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4CB6BF78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748C9E9B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B37161"/>
    <w:rsid w:val="35492DCC"/>
    <w:rsid w:val="44130A8B"/>
    <w:rsid w:val="56815ACA"/>
    <w:rsid w:val="59B74EE0"/>
    <w:rsid w:val="78F7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841</Characters>
  <Lines>0</Lines>
  <Paragraphs>0</Paragraphs>
  <TotalTime>9</TotalTime>
  <ScaleCrop>false</ScaleCrop>
  <LinksUpToDate>false</LinksUpToDate>
  <CharactersWithSpaces>933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2026-04-13T01:10:00Z</dcterms:created>
  <dc:creator>45293</dc:creator>
  <cp:lastModifiedBy>程炜</cp:lastModifiedBy>
  <dcterms:modified xsi:type="dcterms:W3CDTF">2026-04-13T07:53:46Z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eyJoZGlkIjoiOTc3M2Y5NzIzMDFlZjAyY2Q4Njk5ODkyYjFjNzBiNTQiLCJ1c2VySWQiOiI2MTYzNDQyMTUifQ==</vt:lpwstr>
  </property>
  <property fmtid="{D5CDD505-2E9C-101B-9397-08002B2CF9AE}" pid="4" name="ICV">
    <vt:lpwstr>9B9F684D2AF24AE492BB92A980A42B02_12</vt:lpwstr>
  </property>
</Properties>
</file>