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25D3F">
      <w:pPr>
        <w:pStyle w:val="23"/>
        <w:rPr>
          <w:rFonts w:hint="default" w:ascii="Times New Roman" w:hAnsi="Times New Roman" w:cs="Times New Roman"/>
          <w:sz w:val="24"/>
          <w:szCs w:val="24"/>
        </w:rPr>
      </w:pPr>
      <w:r>
        <w:rPr>
          <w:rFonts w:hint="default" w:ascii="Times New Roman" w:hAnsi="Times New Roman" w:cs="Times New Roman"/>
          <w:b/>
          <w:bCs/>
          <w:sz w:val="24"/>
          <w:szCs w:val="24"/>
        </w:rPr>
        <w:t>Supplementary Table</w:t>
      </w:r>
      <w:r>
        <w:rPr>
          <w:rFonts w:hint="eastAsia" w:ascii="Times New Roman" w:hAnsi="Times New Roman" w:eastAsia="宋体" w:cs="Times New Roman"/>
          <w:b/>
          <w:bCs/>
          <w:sz w:val="24"/>
          <w:szCs w:val="24"/>
          <w:lang w:val="en-US" w:eastAsia="zh-CN"/>
        </w:rPr>
        <w:t>1</w:t>
      </w:r>
      <w:r>
        <w:rPr>
          <w:rFonts w:hint="default" w:ascii="Times New Roman" w:hAnsi="Times New Roman" w:cs="Times New Roman"/>
          <w:b/>
          <w:bCs/>
          <w:sz w:val="24"/>
          <w:szCs w:val="24"/>
        </w:rPr>
        <w:t xml:space="preserve">: </w:t>
      </w:r>
      <w:r>
        <w:rPr>
          <w:rFonts w:hint="default" w:ascii="Times New Roman" w:hAnsi="Times New Roman" w:cs="Times New Roman"/>
          <w:sz w:val="24"/>
          <w:szCs w:val="24"/>
        </w:rPr>
        <w:t>Literature Search Strategies</w:t>
      </w:r>
    </w:p>
    <w:tbl>
      <w:tblPr>
        <w:tblStyle w:val="41"/>
        <w:tblW w:w="10603" w:type="dxa"/>
        <w:jc w:val="center"/>
        <w:tblLayout w:type="autofit"/>
        <w:tblCellMar>
          <w:top w:w="0" w:type="dxa"/>
          <w:left w:w="108" w:type="dxa"/>
          <w:bottom w:w="0" w:type="dxa"/>
          <w:right w:w="108" w:type="dxa"/>
        </w:tblCellMar>
      </w:tblPr>
      <w:tblGrid>
        <w:gridCol w:w="1250"/>
        <w:gridCol w:w="2894"/>
        <w:gridCol w:w="3216"/>
        <w:gridCol w:w="1242"/>
        <w:gridCol w:w="2001"/>
      </w:tblGrid>
      <w:tr w14:paraId="18807F65">
        <w:tblPrEx>
          <w:tblCellMar>
            <w:top w:w="0" w:type="dxa"/>
            <w:left w:w="108" w:type="dxa"/>
            <w:bottom w:w="0" w:type="dxa"/>
            <w:right w:w="108" w:type="dxa"/>
          </w:tblCellMar>
        </w:tblPrEx>
        <w:trPr>
          <w:trHeight w:val="0" w:hRule="atLeast"/>
          <w:tblHeader/>
          <w:jc w:val="center"/>
        </w:trPr>
        <w:tc>
          <w:tcPr>
            <w:tcW w:w="0" w:type="auto"/>
            <w:vAlign w:val="center"/>
          </w:tcPr>
          <w:p w14:paraId="21395440">
            <w:pPr>
              <w:pStyle w:val="24"/>
              <w:snapToGrid w:val="0"/>
              <w:ind w:left="0" w:leftChars="0" w:right="0" w:rightChars="0" w:firstLine="0" w:firstLineChars="0"/>
              <w:jc w:val="center"/>
              <w:rPr>
                <w:rFonts w:hint="default" w:ascii="Times New Roman" w:hAnsi="Times New Roman" w:cs="Times New Roman"/>
                <w:b/>
                <w:sz w:val="24"/>
                <w:szCs w:val="24"/>
              </w:rPr>
            </w:pPr>
            <w:r>
              <w:rPr>
                <w:rFonts w:hint="default" w:ascii="Times New Roman" w:hAnsi="Times New Roman" w:cs="Times New Roman"/>
                <w:b/>
                <w:sz w:val="24"/>
                <w:szCs w:val="24"/>
              </w:rPr>
              <w:t>Database</w:t>
            </w:r>
          </w:p>
        </w:tc>
        <w:tc>
          <w:tcPr>
            <w:tcW w:w="0" w:type="auto"/>
            <w:vAlign w:val="center"/>
          </w:tcPr>
          <w:p w14:paraId="12191F73">
            <w:pPr>
              <w:pStyle w:val="24"/>
              <w:snapToGrid w:val="0"/>
              <w:ind w:left="0" w:leftChars="0" w:right="0" w:rightChars="0" w:firstLine="0" w:firstLineChars="0"/>
              <w:jc w:val="center"/>
              <w:rPr>
                <w:rFonts w:hint="default" w:ascii="Times New Roman" w:hAnsi="Times New Roman" w:cs="Times New Roman"/>
                <w:b/>
                <w:sz w:val="24"/>
                <w:szCs w:val="24"/>
              </w:rPr>
            </w:pPr>
            <w:r>
              <w:rPr>
                <w:rFonts w:hint="default" w:ascii="Times New Roman" w:hAnsi="Times New Roman" w:cs="Times New Roman"/>
                <w:b/>
                <w:sz w:val="24"/>
                <w:szCs w:val="24"/>
              </w:rPr>
              <w:t>Search Strategy</w:t>
            </w:r>
          </w:p>
        </w:tc>
        <w:tc>
          <w:tcPr>
            <w:tcW w:w="3216" w:type="dxa"/>
            <w:vAlign w:val="center"/>
          </w:tcPr>
          <w:p w14:paraId="3451B94F">
            <w:pPr>
              <w:pStyle w:val="24"/>
              <w:snapToGrid w:val="0"/>
              <w:ind w:left="0" w:leftChars="0" w:right="0" w:rightChars="0" w:firstLine="0" w:firstLineChars="0"/>
              <w:jc w:val="center"/>
              <w:rPr>
                <w:rFonts w:hint="default" w:ascii="Times New Roman" w:hAnsi="Times New Roman" w:cs="Times New Roman"/>
                <w:b/>
                <w:sz w:val="24"/>
                <w:szCs w:val="24"/>
              </w:rPr>
            </w:pPr>
            <w:r>
              <w:rPr>
                <w:rFonts w:hint="default" w:ascii="Times New Roman" w:hAnsi="Times New Roman" w:cs="Times New Roman"/>
                <w:b/>
                <w:sz w:val="24"/>
                <w:szCs w:val="24"/>
              </w:rPr>
              <w:t>Time Frame</w:t>
            </w:r>
          </w:p>
        </w:tc>
        <w:tc>
          <w:tcPr>
            <w:tcW w:w="0" w:type="auto"/>
            <w:vAlign w:val="center"/>
          </w:tcPr>
          <w:p w14:paraId="5AB68BD3">
            <w:pPr>
              <w:pStyle w:val="24"/>
              <w:snapToGrid w:val="0"/>
              <w:ind w:left="0" w:leftChars="0" w:right="0" w:rightChars="0" w:firstLine="0" w:firstLineChars="0"/>
              <w:jc w:val="center"/>
              <w:rPr>
                <w:rFonts w:hint="default" w:ascii="Times New Roman" w:hAnsi="Times New Roman" w:cs="Times New Roman"/>
                <w:b/>
                <w:sz w:val="24"/>
                <w:szCs w:val="24"/>
              </w:rPr>
            </w:pPr>
            <w:r>
              <w:rPr>
                <w:rFonts w:hint="default" w:ascii="Times New Roman" w:hAnsi="Times New Roman" w:cs="Times New Roman"/>
                <w:b/>
                <w:sz w:val="24"/>
                <w:szCs w:val="24"/>
              </w:rPr>
              <w:t>Language</w:t>
            </w:r>
          </w:p>
        </w:tc>
        <w:tc>
          <w:tcPr>
            <w:tcW w:w="2001" w:type="dxa"/>
            <w:vAlign w:val="center"/>
          </w:tcPr>
          <w:p w14:paraId="0A33A81D">
            <w:pPr>
              <w:pStyle w:val="24"/>
              <w:snapToGrid w:val="0"/>
              <w:ind w:left="0" w:leftChars="0" w:right="0" w:rightChars="0" w:firstLine="0" w:firstLineChars="0"/>
              <w:jc w:val="center"/>
              <w:rPr>
                <w:rFonts w:hint="default" w:ascii="Times New Roman" w:hAnsi="Times New Roman" w:cs="Times New Roman"/>
                <w:b/>
                <w:sz w:val="24"/>
                <w:szCs w:val="24"/>
              </w:rPr>
            </w:pPr>
            <w:r>
              <w:rPr>
                <w:rFonts w:hint="default" w:ascii="Times New Roman" w:hAnsi="Times New Roman" w:cs="Times New Roman"/>
                <w:b/>
                <w:sz w:val="24"/>
                <w:szCs w:val="24"/>
              </w:rPr>
              <w:t>Notes</w:t>
            </w:r>
          </w:p>
        </w:tc>
      </w:tr>
      <w:tr w14:paraId="4B0D1EEB">
        <w:tblPrEx>
          <w:tblCellMar>
            <w:top w:w="0" w:type="dxa"/>
            <w:left w:w="108" w:type="dxa"/>
            <w:bottom w:w="0" w:type="dxa"/>
            <w:right w:w="108" w:type="dxa"/>
          </w:tblCellMar>
        </w:tblPrEx>
        <w:trPr>
          <w:trHeight w:val="0" w:hRule="atLeast"/>
          <w:jc w:val="center"/>
        </w:trPr>
        <w:tc>
          <w:tcPr>
            <w:tcW w:w="0" w:type="auto"/>
            <w:vAlign w:val="center"/>
          </w:tcPr>
          <w:p w14:paraId="5B85CA80">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PubMed</w:t>
            </w:r>
          </w:p>
        </w:tc>
        <w:tc>
          <w:tcPr>
            <w:tcW w:w="0" w:type="auto"/>
            <w:vAlign w:val="center"/>
          </w:tcPr>
          <w:p w14:paraId="51A27BFB">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“inflammation-immunity-nutrition score”[Title/Abstract]</w:t>
            </w:r>
          </w:p>
        </w:tc>
        <w:tc>
          <w:tcPr>
            <w:tcW w:w="3216" w:type="dxa"/>
            <w:vAlign w:val="center"/>
          </w:tcPr>
          <w:p w14:paraId="13AAB16D">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From inception to March 15, 2026</w:t>
            </w:r>
          </w:p>
        </w:tc>
        <w:tc>
          <w:tcPr>
            <w:tcW w:w="0" w:type="auto"/>
            <w:vAlign w:val="center"/>
          </w:tcPr>
          <w:p w14:paraId="38C7B564">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No restriction</w:t>
            </w:r>
          </w:p>
        </w:tc>
        <w:tc>
          <w:tcPr>
            <w:tcW w:w="2001" w:type="dxa"/>
            <w:vAlign w:val="center"/>
          </w:tcPr>
          <w:p w14:paraId="264734E7">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Titles and abstracts screened; no MeSH applied</w:t>
            </w:r>
          </w:p>
        </w:tc>
      </w:tr>
      <w:tr w14:paraId="6FBFA8B7">
        <w:tblPrEx>
          <w:tblCellMar>
            <w:top w:w="0" w:type="dxa"/>
            <w:left w:w="108" w:type="dxa"/>
            <w:bottom w:w="0" w:type="dxa"/>
            <w:right w:w="108" w:type="dxa"/>
          </w:tblCellMar>
        </w:tblPrEx>
        <w:trPr>
          <w:trHeight w:val="0" w:hRule="atLeast"/>
          <w:jc w:val="center"/>
        </w:trPr>
        <w:tc>
          <w:tcPr>
            <w:tcW w:w="0" w:type="auto"/>
            <w:vAlign w:val="center"/>
          </w:tcPr>
          <w:p w14:paraId="44600CE2">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Embase</w:t>
            </w:r>
          </w:p>
        </w:tc>
        <w:tc>
          <w:tcPr>
            <w:tcW w:w="0" w:type="auto"/>
            <w:vAlign w:val="center"/>
          </w:tcPr>
          <w:p w14:paraId="54AA59B1">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‘inflammation-immunity-nutrition score’:ti,ab</w:t>
            </w:r>
          </w:p>
        </w:tc>
        <w:tc>
          <w:tcPr>
            <w:tcW w:w="3216" w:type="dxa"/>
            <w:vAlign w:val="center"/>
          </w:tcPr>
          <w:p w14:paraId="581BBC0D">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From inception to March 15, 2026</w:t>
            </w:r>
          </w:p>
        </w:tc>
        <w:tc>
          <w:tcPr>
            <w:tcW w:w="0" w:type="auto"/>
            <w:vAlign w:val="center"/>
          </w:tcPr>
          <w:p w14:paraId="44B43D68">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No restriction</w:t>
            </w:r>
          </w:p>
        </w:tc>
        <w:tc>
          <w:tcPr>
            <w:tcW w:w="2001" w:type="dxa"/>
            <w:vAlign w:val="center"/>
          </w:tcPr>
          <w:p w14:paraId="4A1034FC">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Emtree terms not applied</w:t>
            </w:r>
          </w:p>
        </w:tc>
      </w:tr>
      <w:tr w14:paraId="0021B375">
        <w:tblPrEx>
          <w:tblCellMar>
            <w:top w:w="0" w:type="dxa"/>
            <w:left w:w="108" w:type="dxa"/>
            <w:bottom w:w="0" w:type="dxa"/>
            <w:right w:w="108" w:type="dxa"/>
          </w:tblCellMar>
        </w:tblPrEx>
        <w:trPr>
          <w:trHeight w:val="0" w:hRule="atLeast"/>
          <w:jc w:val="center"/>
        </w:trPr>
        <w:tc>
          <w:tcPr>
            <w:tcW w:w="0" w:type="auto"/>
            <w:vAlign w:val="center"/>
          </w:tcPr>
          <w:p w14:paraId="23163B76">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Web of Science</w:t>
            </w:r>
          </w:p>
        </w:tc>
        <w:tc>
          <w:tcPr>
            <w:tcW w:w="0" w:type="auto"/>
            <w:vAlign w:val="center"/>
          </w:tcPr>
          <w:p w14:paraId="0BE8CE17">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TS=(“inflammation-immunity-nutrition score”)</w:t>
            </w:r>
          </w:p>
        </w:tc>
        <w:tc>
          <w:tcPr>
            <w:tcW w:w="3216" w:type="dxa"/>
            <w:vAlign w:val="center"/>
          </w:tcPr>
          <w:p w14:paraId="3897B8D7">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From inception to March 15, 2026</w:t>
            </w:r>
          </w:p>
        </w:tc>
        <w:tc>
          <w:tcPr>
            <w:tcW w:w="0" w:type="auto"/>
            <w:vAlign w:val="center"/>
          </w:tcPr>
          <w:p w14:paraId="2EE6B291">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No restriction</w:t>
            </w:r>
          </w:p>
        </w:tc>
        <w:tc>
          <w:tcPr>
            <w:tcW w:w="2001" w:type="dxa"/>
            <w:vAlign w:val="center"/>
          </w:tcPr>
          <w:p w14:paraId="3C5F8D19">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SCI-EXPANDED index searched</w:t>
            </w:r>
          </w:p>
        </w:tc>
      </w:tr>
      <w:tr w14:paraId="2B40E380">
        <w:tblPrEx>
          <w:tblCellMar>
            <w:top w:w="0" w:type="dxa"/>
            <w:left w:w="108" w:type="dxa"/>
            <w:bottom w:w="0" w:type="dxa"/>
            <w:right w:w="108" w:type="dxa"/>
          </w:tblCellMar>
        </w:tblPrEx>
        <w:trPr>
          <w:trHeight w:val="0" w:hRule="atLeast"/>
          <w:jc w:val="center"/>
        </w:trPr>
        <w:tc>
          <w:tcPr>
            <w:tcW w:w="0" w:type="auto"/>
            <w:vAlign w:val="center"/>
          </w:tcPr>
          <w:p w14:paraId="52186166">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Scopus</w:t>
            </w:r>
          </w:p>
        </w:tc>
        <w:tc>
          <w:tcPr>
            <w:tcW w:w="0" w:type="auto"/>
            <w:vAlign w:val="center"/>
          </w:tcPr>
          <w:p w14:paraId="73BC8254">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TITLE-ABS-KEY(“inflammation-immunity-nutrition score”)</w:t>
            </w:r>
          </w:p>
        </w:tc>
        <w:tc>
          <w:tcPr>
            <w:tcW w:w="3216" w:type="dxa"/>
            <w:vAlign w:val="center"/>
          </w:tcPr>
          <w:p w14:paraId="715D0DEE">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From inception to March 15, 2026</w:t>
            </w:r>
          </w:p>
        </w:tc>
        <w:tc>
          <w:tcPr>
            <w:tcW w:w="0" w:type="auto"/>
            <w:vAlign w:val="center"/>
          </w:tcPr>
          <w:p w14:paraId="531C9F15">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No restriction</w:t>
            </w:r>
          </w:p>
        </w:tc>
        <w:tc>
          <w:tcPr>
            <w:tcW w:w="2001" w:type="dxa"/>
            <w:vAlign w:val="center"/>
          </w:tcPr>
          <w:p w14:paraId="3303E846">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Abstract and title screened</w:t>
            </w:r>
          </w:p>
        </w:tc>
      </w:tr>
      <w:tr w14:paraId="265C22C7">
        <w:tblPrEx>
          <w:tblCellMar>
            <w:top w:w="0" w:type="dxa"/>
            <w:left w:w="108" w:type="dxa"/>
            <w:bottom w:w="0" w:type="dxa"/>
            <w:right w:w="108" w:type="dxa"/>
          </w:tblCellMar>
        </w:tblPrEx>
        <w:trPr>
          <w:trHeight w:val="0" w:hRule="atLeast"/>
          <w:jc w:val="center"/>
        </w:trPr>
        <w:tc>
          <w:tcPr>
            <w:tcW w:w="1250" w:type="dxa"/>
            <w:vAlign w:val="center"/>
          </w:tcPr>
          <w:p w14:paraId="4B15E6CF">
            <w:pPr>
              <w:pStyle w:val="24"/>
              <w:snapToGrid w:val="0"/>
              <w:ind w:left="0" w:leftChars="0" w:right="0" w:rightChars="0" w:firstLine="0" w:firstLineChars="0"/>
              <w:jc w:val="center"/>
              <w:rPr>
                <w:rFonts w:hint="default" w:ascii="Times New Roman" w:hAnsi="Times New Roman" w:cs="Times New Roman"/>
                <w:sz w:val="24"/>
                <w:szCs w:val="24"/>
              </w:rPr>
            </w:pPr>
            <w:bookmarkStart w:id="0" w:name="_GoBack"/>
            <w:r>
              <w:rPr>
                <w:rFonts w:hint="default" w:ascii="Times New Roman" w:hAnsi="Times New Roman" w:cs="Times New Roman"/>
                <w:sz w:val="24"/>
                <w:szCs w:val="24"/>
              </w:rPr>
              <w:t>Google Scholar</w:t>
            </w:r>
            <w:bookmarkEnd w:id="0"/>
          </w:p>
        </w:tc>
        <w:tc>
          <w:tcPr>
            <w:tcW w:w="2894" w:type="dxa"/>
            <w:vAlign w:val="center"/>
          </w:tcPr>
          <w:p w14:paraId="5E47D02E">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“inflammation-immunity-nutrition score”</w:t>
            </w:r>
          </w:p>
        </w:tc>
        <w:tc>
          <w:tcPr>
            <w:tcW w:w="3216" w:type="dxa"/>
            <w:vAlign w:val="center"/>
          </w:tcPr>
          <w:p w14:paraId="47D6FBC8">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From inception to March 15, 2026</w:t>
            </w:r>
          </w:p>
        </w:tc>
        <w:tc>
          <w:tcPr>
            <w:tcW w:w="1242" w:type="dxa"/>
            <w:vAlign w:val="center"/>
          </w:tcPr>
          <w:p w14:paraId="63E3277E">
            <w:pPr>
              <w:pStyle w:val="24"/>
              <w:snapToGrid w:val="0"/>
              <w:ind w:left="0" w:leftChars="0" w:right="0" w:rightChars="0" w:firstLine="0" w:firstLineChars="0"/>
              <w:jc w:val="left"/>
              <w:rPr>
                <w:rFonts w:hint="default" w:ascii="Times New Roman" w:hAnsi="Times New Roman" w:cs="Times New Roman"/>
                <w:sz w:val="24"/>
                <w:szCs w:val="24"/>
              </w:rPr>
            </w:pPr>
            <w:r>
              <w:rPr>
                <w:rFonts w:hint="default" w:ascii="Times New Roman" w:hAnsi="Times New Roman" w:cs="Times New Roman"/>
                <w:sz w:val="24"/>
                <w:szCs w:val="24"/>
              </w:rPr>
              <w:t>No restriction</w:t>
            </w:r>
          </w:p>
        </w:tc>
        <w:tc>
          <w:tcPr>
            <w:tcW w:w="2001" w:type="dxa"/>
            <w:vAlign w:val="center"/>
          </w:tcPr>
          <w:p w14:paraId="0F38346D">
            <w:pPr>
              <w:pStyle w:val="24"/>
              <w:snapToGrid w:val="0"/>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cs="Times New Roman"/>
                <w:sz w:val="24"/>
                <w:szCs w:val="24"/>
              </w:rPr>
              <w:t>Screen first 200 results; used for grey literature</w:t>
            </w:r>
          </w:p>
        </w:tc>
      </w:tr>
    </w:tbl>
    <w:p w14:paraId="3727FE95">
      <w:pPr>
        <w:pStyle w:val="3"/>
        <w:rPr>
          <w:rFonts w:hint="default" w:ascii="Times New Roman" w:hAnsi="Times New Roman" w:cs="Times New Roman"/>
          <w:sz w:val="24"/>
          <w:szCs w:val="24"/>
        </w:rPr>
      </w:pPr>
      <w:r>
        <w:rPr>
          <w:rFonts w:hint="default" w:ascii="Times New Roman" w:hAnsi="Times New Roman" w:cs="Times New Roman"/>
          <w:sz w:val="24"/>
          <w:szCs w:val="24"/>
        </w:rPr>
        <w:t>Notes: 1. Only “inflammation-immunity-nutrition score” was used as the search term across all databases to ensure high specificity. 2. No language restrictions were applied. 3. Grey literature and non-indexed studies were captured via Google Scholar. 4. No MeSH or Emtree terms were used due to the novelty of the biomarker. 5. References from included studies were also screened to identify additional eligible studies.</w:t>
      </w:r>
    </w:p>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Aptos">
    <w:altName w:val="宋体"/>
    <w:panose1 w:val="00000000000000000000"/>
    <w:charset w:val="86"/>
    <w:family w:val="auto"/>
    <w:pitch w:val="default"/>
    <w:sig w:usb0="00000000" w:usb1="00000000" w:usb2="00000000" w:usb3="00000000" w:csb0="00000000" w:csb1="00000000"/>
  </w:font>
  <w:font w:name="Aptos">
    <w:altName w:val="ksdb"/>
    <w:panose1 w:val="00000000000000000000"/>
    <w:charset w:val="00"/>
    <w:family w:val="auto"/>
    <w:pitch w:val="default"/>
    <w:sig w:usb0="00000000" w:usb1="00000000" w:usb2="00000000" w:usb3="00000000" w:csb0="00000000" w:csb1="00000000"/>
  </w:font>
  <w:font w:name="Aptos Display">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ksdb">
    <w:panose1 w:val="02000500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449625EC"/>
    <w:rsid w:val="482433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2"/>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3"/>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4"/>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5"/>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6"/>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7"/>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38"/>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39"/>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9">
    <w:name w:val="Default Paragraph Font"/>
    <w:semiHidden/>
    <w:unhideWhenUsed/>
    <w:qFormat/>
    <w:uiPriority w:val="0"/>
  </w:style>
  <w:style w:type="table" w:default="1" w:styleId="18">
    <w:name w:val="Normal Table"/>
    <w:qFormat/>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Subtitle"/>
    <w:basedOn w:val="16"/>
    <w:next w:val="3"/>
    <w:link w:val="26"/>
    <w:qFormat/>
    <w:uiPriority w:val="11"/>
    <w:rPr>
      <w:rFonts w:eastAsiaTheme="majorEastAsia" w:cstheme="majorBidi"/>
      <w:spacing w:val="15"/>
      <w:sz w:val="28"/>
      <w:szCs w:val="28"/>
    </w:rPr>
  </w:style>
  <w:style w:type="paragraph" w:styleId="16">
    <w:name w:val="Title"/>
    <w:basedOn w:val="1"/>
    <w:next w:val="3"/>
    <w:link w:val="25"/>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7">
    <w:name w:val="footnote text"/>
    <w:basedOn w:val="1"/>
    <w:unhideWhenUsed/>
    <w:qFormat/>
    <w:uiPriority w:val="9"/>
  </w:style>
  <w:style w:type="character" w:styleId="20">
    <w:name w:val="Hyperlink"/>
    <w:basedOn w:val="21"/>
    <w:qFormat/>
    <w:uiPriority w:val="0"/>
    <w:rPr>
      <w:color w:val="156082" w:themeColor="accent1"/>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character" w:customStyle="1" w:styleId="25">
    <w:name w:val="Title Char"/>
    <w:basedOn w:val="19"/>
    <w:link w:val="16"/>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9"/>
    <w:link w:val="15"/>
    <w:uiPriority w:val="11"/>
    <w:rPr>
      <w:rFonts w:eastAsiaTheme="majorEastAsia" w:cstheme="majorBidi"/>
      <w:color w:val="585858" w:themeColor="text1" w:themeTint="A6"/>
      <w:spacing w:val="15"/>
      <w:sz w:val="28"/>
      <w:szCs w:val="28"/>
    </w:rPr>
  </w:style>
  <w:style w:type="paragraph" w:customStyle="1" w:styleId="27">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Heading 1 Char"/>
    <w:basedOn w:val="19"/>
    <w:link w:val="2"/>
    <w:qFormat/>
    <w:uiPriority w:val="9"/>
    <w:rPr>
      <w:rFonts w:asciiTheme="majorHAnsi" w:hAnsiTheme="majorHAnsi" w:eastAsiaTheme="majorEastAsia" w:cstheme="majorBidi"/>
      <w:color w:val="0F4761" w:themeColor="accent1" w:themeShade="BF"/>
      <w:sz w:val="40"/>
      <w:szCs w:val="40"/>
    </w:rPr>
  </w:style>
  <w:style w:type="character" w:customStyle="1" w:styleId="32">
    <w:name w:val="Heading 2 Char"/>
    <w:basedOn w:val="19"/>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3">
    <w:name w:val="Heading 3 Char"/>
    <w:basedOn w:val="19"/>
    <w:link w:val="5"/>
    <w:semiHidden/>
    <w:qFormat/>
    <w:uiPriority w:val="9"/>
    <w:rPr>
      <w:rFonts w:eastAsiaTheme="majorEastAsia" w:cstheme="majorBidi"/>
      <w:color w:val="0F4761" w:themeColor="accent1" w:themeShade="BF"/>
      <w:sz w:val="28"/>
      <w:szCs w:val="28"/>
    </w:rPr>
  </w:style>
  <w:style w:type="character" w:customStyle="1" w:styleId="34">
    <w:name w:val="Heading 4 Char"/>
    <w:basedOn w:val="19"/>
    <w:link w:val="6"/>
    <w:semiHidden/>
    <w:qFormat/>
    <w:uiPriority w:val="9"/>
    <w:rPr>
      <w:rFonts w:eastAsiaTheme="majorEastAsia" w:cstheme="majorBidi"/>
      <w:i/>
      <w:iCs/>
      <w:color w:val="0F4761" w:themeColor="accent1" w:themeShade="BF"/>
    </w:rPr>
  </w:style>
  <w:style w:type="character" w:customStyle="1" w:styleId="35">
    <w:name w:val="Heading 5 Char"/>
    <w:basedOn w:val="19"/>
    <w:link w:val="7"/>
    <w:semiHidden/>
    <w:qFormat/>
    <w:uiPriority w:val="9"/>
    <w:rPr>
      <w:rFonts w:eastAsiaTheme="majorEastAsia" w:cstheme="majorBidi"/>
      <w:color w:val="0F4761" w:themeColor="accent1" w:themeShade="BF"/>
    </w:rPr>
  </w:style>
  <w:style w:type="character" w:customStyle="1" w:styleId="36">
    <w:name w:val="Heading 6 Char"/>
    <w:basedOn w:val="19"/>
    <w:link w:val="8"/>
    <w:semiHidden/>
    <w:qFormat/>
    <w:uiPriority w:val="9"/>
    <w:rPr>
      <w:rFonts w:eastAsiaTheme="majorEastAsia" w:cstheme="majorBidi"/>
      <w:i/>
      <w:iCs/>
      <w:color w:val="585858" w:themeColor="text1" w:themeTint="A6"/>
    </w:rPr>
  </w:style>
  <w:style w:type="character" w:customStyle="1" w:styleId="37">
    <w:name w:val="Heading 7 Char"/>
    <w:basedOn w:val="19"/>
    <w:link w:val="9"/>
    <w:semiHidden/>
    <w:qFormat/>
    <w:uiPriority w:val="9"/>
    <w:rPr>
      <w:rFonts w:eastAsiaTheme="majorEastAsia" w:cstheme="majorBidi"/>
      <w:color w:val="585858" w:themeColor="text1" w:themeTint="A6"/>
    </w:rPr>
  </w:style>
  <w:style w:type="character" w:customStyle="1" w:styleId="38">
    <w:name w:val="Heading 8 Char"/>
    <w:basedOn w:val="19"/>
    <w:link w:val="10"/>
    <w:semiHidden/>
    <w:qFormat/>
    <w:uiPriority w:val="9"/>
    <w:rPr>
      <w:rFonts w:eastAsiaTheme="majorEastAsia" w:cstheme="majorBidi"/>
      <w:i/>
      <w:iCs/>
      <w:color w:val="262626" w:themeColor="text1" w:themeTint="D8"/>
    </w:rPr>
  </w:style>
  <w:style w:type="character" w:customStyle="1" w:styleId="39">
    <w:name w:val="Heading 9 Char"/>
    <w:basedOn w:val="19"/>
    <w:link w:val="11"/>
    <w:semiHidden/>
    <w:qFormat/>
    <w:uiPriority w:val="9"/>
    <w:rPr>
      <w:rFonts w:eastAsiaTheme="majorEastAsia" w:cstheme="majorBidi"/>
      <w:color w:val="262626" w:themeColor="text1" w:themeTint="D8"/>
    </w:rPr>
  </w:style>
  <w:style w:type="paragraph" w:customStyle="1" w:styleId="40">
    <w:name w:val="Footnote Block Text"/>
    <w:basedOn w:val="17"/>
    <w:next w:val="17"/>
    <w:unhideWhenUsed/>
    <w:qFormat/>
    <w:uiPriority w:val="9"/>
    <w:pPr>
      <w:spacing w:before="100" w:after="100"/>
      <w:ind w:left="480" w:right="480" w:firstLine="0"/>
    </w:pPr>
  </w:style>
  <w:style w:type="table" w:customStyle="1" w:styleId="41">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2">
    <w:name w:val="Definition Term"/>
    <w:basedOn w:val="1"/>
    <w:next w:val="43"/>
    <w:qFormat/>
    <w:uiPriority w:val="0"/>
    <w:pPr>
      <w:keepNext/>
      <w:keepLines/>
      <w:spacing w:after="0"/>
    </w:pPr>
    <w:rPr>
      <w:b/>
    </w:rPr>
  </w:style>
  <w:style w:type="paragraph" w:customStyle="1" w:styleId="43">
    <w:name w:val="Definition"/>
    <w:basedOn w:val="1"/>
    <w:qFormat/>
    <w:uiPriority w:val="0"/>
  </w:style>
  <w:style w:type="paragraph" w:customStyle="1" w:styleId="44">
    <w:name w:val="Table Caption"/>
    <w:basedOn w:val="12"/>
    <w:qFormat/>
    <w:uiPriority w:val="0"/>
    <w:pPr>
      <w:keepNext/>
    </w:pPr>
  </w:style>
  <w:style w:type="paragraph" w:customStyle="1" w:styleId="45">
    <w:name w:val="Image Caption"/>
    <w:basedOn w:val="12"/>
    <w:qFormat/>
    <w:uiPriority w:val="0"/>
  </w:style>
  <w:style w:type="paragraph" w:customStyle="1" w:styleId="46">
    <w:name w:val="Figure"/>
    <w:basedOn w:val="1"/>
    <w:qFormat/>
    <w:uiPriority w:val="0"/>
  </w:style>
  <w:style w:type="paragraph" w:customStyle="1" w:styleId="47">
    <w:name w:val="Captioned Figure"/>
    <w:basedOn w:val="46"/>
    <w:qFormat/>
    <w:uiPriority w:val="0"/>
    <w:pPr>
      <w:keepNext/>
    </w:pPr>
  </w:style>
  <w:style w:type="character" w:customStyle="1" w:styleId="48">
    <w:name w:val="Verbatim Char"/>
    <w:basedOn w:val="21"/>
    <w:link w:val="49"/>
    <w:qFormat/>
    <w:uiPriority w:val="0"/>
    <w:rPr>
      <w:rFonts w:ascii="Consolas" w:hAnsi="Consolas"/>
      <w:sz w:val="22"/>
    </w:rPr>
  </w:style>
  <w:style w:type="paragraph" w:customStyle="1" w:styleId="49">
    <w:name w:val="Source Code"/>
    <w:basedOn w:val="1"/>
    <w:link w:val="48"/>
    <w:qFormat/>
    <w:uiPriority w:val="0"/>
    <w:pPr>
      <w:wordWrap w:val="0"/>
    </w:pPr>
  </w:style>
  <w:style w:type="character" w:customStyle="1" w:styleId="50">
    <w:name w:val="Section Number"/>
    <w:basedOn w:val="21"/>
    <w:qFormat/>
    <w:uiPriority w:val="0"/>
  </w:style>
  <w:style w:type="paragraph" w:customStyle="1" w:styleId="51">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2">
    <w:name w:val="KeywordTok"/>
    <w:basedOn w:val="48"/>
    <w:qFormat/>
    <w:uiPriority w:val="0"/>
    <w:rPr>
      <w:b/>
      <w:color w:val="007020"/>
    </w:rPr>
  </w:style>
  <w:style w:type="character" w:customStyle="1" w:styleId="53">
    <w:name w:val="DataTypeTok"/>
    <w:basedOn w:val="48"/>
    <w:qFormat/>
    <w:uiPriority w:val="0"/>
    <w:rPr>
      <w:color w:val="902000"/>
    </w:rPr>
  </w:style>
  <w:style w:type="character" w:customStyle="1" w:styleId="54">
    <w:name w:val="DecValTok"/>
    <w:basedOn w:val="48"/>
    <w:qFormat/>
    <w:uiPriority w:val="0"/>
    <w:rPr>
      <w:color w:val="40A070"/>
    </w:rPr>
  </w:style>
  <w:style w:type="character" w:customStyle="1" w:styleId="55">
    <w:name w:val="BaseNTok"/>
    <w:basedOn w:val="48"/>
    <w:qFormat/>
    <w:uiPriority w:val="0"/>
    <w:rPr>
      <w:color w:val="40A070"/>
    </w:rPr>
  </w:style>
  <w:style w:type="character" w:customStyle="1" w:styleId="56">
    <w:name w:val="FloatTok"/>
    <w:basedOn w:val="48"/>
    <w:qFormat/>
    <w:uiPriority w:val="0"/>
    <w:rPr>
      <w:color w:val="40A070"/>
    </w:rPr>
  </w:style>
  <w:style w:type="character" w:customStyle="1" w:styleId="57">
    <w:name w:val="ConstantTok"/>
    <w:basedOn w:val="48"/>
    <w:qFormat/>
    <w:uiPriority w:val="0"/>
    <w:rPr>
      <w:color w:val="880000"/>
    </w:rPr>
  </w:style>
  <w:style w:type="character" w:customStyle="1" w:styleId="58">
    <w:name w:val="CharTok"/>
    <w:basedOn w:val="48"/>
    <w:qFormat/>
    <w:uiPriority w:val="0"/>
    <w:rPr>
      <w:color w:val="4070A0"/>
    </w:rPr>
  </w:style>
  <w:style w:type="character" w:customStyle="1" w:styleId="59">
    <w:name w:val="SpecialCharTok"/>
    <w:basedOn w:val="48"/>
    <w:qFormat/>
    <w:uiPriority w:val="0"/>
    <w:rPr>
      <w:color w:val="4070A0"/>
    </w:rPr>
  </w:style>
  <w:style w:type="character" w:customStyle="1" w:styleId="60">
    <w:name w:val="StringTok"/>
    <w:basedOn w:val="48"/>
    <w:qFormat/>
    <w:uiPriority w:val="0"/>
    <w:rPr>
      <w:color w:val="4070A0"/>
    </w:rPr>
  </w:style>
  <w:style w:type="character" w:customStyle="1" w:styleId="61">
    <w:name w:val="VerbatimStringTok"/>
    <w:basedOn w:val="48"/>
    <w:qFormat/>
    <w:uiPriority w:val="0"/>
    <w:rPr>
      <w:color w:val="4070A0"/>
    </w:rPr>
  </w:style>
  <w:style w:type="character" w:customStyle="1" w:styleId="62">
    <w:name w:val="SpecialStringTok"/>
    <w:basedOn w:val="48"/>
    <w:qFormat/>
    <w:uiPriority w:val="0"/>
    <w:rPr>
      <w:color w:val="BB6688"/>
    </w:rPr>
  </w:style>
  <w:style w:type="character" w:customStyle="1" w:styleId="63">
    <w:name w:val="ImportTok"/>
    <w:basedOn w:val="48"/>
    <w:qFormat/>
    <w:uiPriority w:val="0"/>
    <w:rPr>
      <w:b/>
      <w:color w:val="008000"/>
    </w:rPr>
  </w:style>
  <w:style w:type="character" w:customStyle="1" w:styleId="64">
    <w:name w:val="CommentTok"/>
    <w:basedOn w:val="48"/>
    <w:qFormat/>
    <w:uiPriority w:val="0"/>
    <w:rPr>
      <w:i/>
      <w:color w:val="60A0B0"/>
    </w:rPr>
  </w:style>
  <w:style w:type="character" w:customStyle="1" w:styleId="65">
    <w:name w:val="DocumentationTok"/>
    <w:basedOn w:val="48"/>
    <w:qFormat/>
    <w:uiPriority w:val="0"/>
    <w:rPr>
      <w:i/>
      <w:color w:val="BA2121"/>
    </w:rPr>
  </w:style>
  <w:style w:type="character" w:customStyle="1" w:styleId="66">
    <w:name w:val="AnnotationTok"/>
    <w:basedOn w:val="48"/>
    <w:qFormat/>
    <w:uiPriority w:val="0"/>
    <w:rPr>
      <w:b/>
      <w:i/>
      <w:color w:val="60A0B0"/>
    </w:rPr>
  </w:style>
  <w:style w:type="character" w:customStyle="1" w:styleId="67">
    <w:name w:val="CommentVarTok"/>
    <w:basedOn w:val="48"/>
    <w:qFormat/>
    <w:uiPriority w:val="0"/>
    <w:rPr>
      <w:b/>
      <w:i/>
      <w:color w:val="60A0B0"/>
    </w:rPr>
  </w:style>
  <w:style w:type="character" w:customStyle="1" w:styleId="68">
    <w:name w:val="OtherTok"/>
    <w:basedOn w:val="48"/>
    <w:qFormat/>
    <w:uiPriority w:val="0"/>
    <w:rPr>
      <w:color w:val="007020"/>
    </w:rPr>
  </w:style>
  <w:style w:type="character" w:customStyle="1" w:styleId="69">
    <w:name w:val="FunctionTok"/>
    <w:basedOn w:val="48"/>
    <w:qFormat/>
    <w:uiPriority w:val="0"/>
    <w:rPr>
      <w:color w:val="06287E"/>
    </w:rPr>
  </w:style>
  <w:style w:type="character" w:customStyle="1" w:styleId="70">
    <w:name w:val="VariableTok"/>
    <w:basedOn w:val="48"/>
    <w:qFormat/>
    <w:uiPriority w:val="0"/>
    <w:rPr>
      <w:color w:val="19177C"/>
    </w:rPr>
  </w:style>
  <w:style w:type="character" w:customStyle="1" w:styleId="71">
    <w:name w:val="ControlFlowTok"/>
    <w:basedOn w:val="48"/>
    <w:qFormat/>
    <w:uiPriority w:val="0"/>
    <w:rPr>
      <w:b/>
      <w:color w:val="007020"/>
    </w:rPr>
  </w:style>
  <w:style w:type="character" w:customStyle="1" w:styleId="72">
    <w:name w:val="OperatorTok"/>
    <w:basedOn w:val="48"/>
    <w:qFormat/>
    <w:uiPriority w:val="0"/>
    <w:rPr>
      <w:color w:val="666666"/>
    </w:rPr>
  </w:style>
  <w:style w:type="character" w:customStyle="1" w:styleId="73">
    <w:name w:val="BuiltInTok"/>
    <w:basedOn w:val="48"/>
    <w:qFormat/>
    <w:uiPriority w:val="0"/>
    <w:rPr>
      <w:color w:val="008000"/>
    </w:rPr>
  </w:style>
  <w:style w:type="character" w:customStyle="1" w:styleId="74">
    <w:name w:val="ExtensionTok"/>
    <w:basedOn w:val="48"/>
    <w:qFormat/>
    <w:uiPriority w:val="0"/>
  </w:style>
  <w:style w:type="character" w:customStyle="1" w:styleId="75">
    <w:name w:val="PreprocessorTok"/>
    <w:basedOn w:val="48"/>
    <w:qFormat/>
    <w:uiPriority w:val="0"/>
    <w:rPr>
      <w:color w:val="BC7A00"/>
    </w:rPr>
  </w:style>
  <w:style w:type="character" w:customStyle="1" w:styleId="76">
    <w:name w:val="AttributeTok"/>
    <w:basedOn w:val="48"/>
    <w:qFormat/>
    <w:uiPriority w:val="0"/>
    <w:rPr>
      <w:color w:val="7D9029"/>
    </w:rPr>
  </w:style>
  <w:style w:type="character" w:customStyle="1" w:styleId="77">
    <w:name w:val="RegionMarkerTok"/>
    <w:basedOn w:val="48"/>
    <w:qFormat/>
    <w:uiPriority w:val="0"/>
  </w:style>
  <w:style w:type="character" w:customStyle="1" w:styleId="78">
    <w:name w:val="InformationTok"/>
    <w:basedOn w:val="48"/>
    <w:qFormat/>
    <w:uiPriority w:val="0"/>
    <w:rPr>
      <w:b/>
      <w:i/>
      <w:color w:val="60A0B0"/>
    </w:rPr>
  </w:style>
  <w:style w:type="character" w:customStyle="1" w:styleId="79">
    <w:name w:val="WarningTok"/>
    <w:basedOn w:val="48"/>
    <w:qFormat/>
    <w:uiPriority w:val="0"/>
    <w:rPr>
      <w:b/>
      <w:i/>
      <w:color w:val="60A0B0"/>
    </w:rPr>
  </w:style>
  <w:style w:type="character" w:customStyle="1" w:styleId="80">
    <w:name w:val="AlertTok"/>
    <w:basedOn w:val="48"/>
    <w:qFormat/>
    <w:uiPriority w:val="0"/>
    <w:rPr>
      <w:b/>
      <w:color w:val="FF0000"/>
    </w:rPr>
  </w:style>
  <w:style w:type="character" w:customStyle="1" w:styleId="81">
    <w:name w:val="ErrorTok"/>
    <w:basedOn w:val="48"/>
    <w:qFormat/>
    <w:uiPriority w:val="0"/>
    <w:rPr>
      <w:b/>
      <w:color w:val="FF0000"/>
    </w:rPr>
  </w:style>
  <w:style w:type="character" w:customStyle="1" w:styleId="82">
    <w:name w:val="NormalTok"/>
    <w:basedOn w:val="48"/>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175</Words>
  <Characters>1193</Characters>
  <Lines>12</Lines>
  <Paragraphs>8</Paragraphs>
  <TotalTime>21</TotalTime>
  <ScaleCrop>false</ScaleCrop>
  <LinksUpToDate>false</LinksUpToDate>
  <CharactersWithSpaces>1331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2026-03-27T14:30:00Z</dcterms:created>
  <dc:creator>刘氓</dc:creator>
  <cp:lastModifiedBy>刘氓</cp:lastModifiedBy>
  <dcterms:modified xsi:type="dcterms:W3CDTF">2026-03-29T17:14:45Z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eyJoZGlkIjoiZDZiOTcyMjY3MWYxNDE4MzJmMjJhOGE1M2IxYmQ4NDgiLCJ1c2VySWQiOiIxOTM5ODY1NTQifQ==</vt:lpwstr>
  </property>
  <property fmtid="{D5CDD505-2E9C-101B-9397-08002B2CF9AE}" pid="3" name="KSOProductBuildVer">
    <vt:lpwstr>2052-12.1.0.25225</vt:lpwstr>
  </property>
  <property fmtid="{D5CDD505-2E9C-101B-9397-08002B2CF9AE}" pid="4" name="ICV">
    <vt:lpwstr>43AC34AAC8ED4209952A5818E0A88EBB_12</vt:lpwstr>
  </property>
</Properties>
</file>