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82BBCA">
      <w:pPr>
        <w:pStyle w:val="2"/>
        <w:spacing w:line="480" w:lineRule="auto"/>
        <w:jc w:val="both"/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</w:pPr>
      <w:bookmarkStart w:id="0" w:name="_GoBack"/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>Supplementary Figure 1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 w:bidi="ar"/>
        </w:rPr>
        <w:t>.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 xml:space="preserve"> GO functional enrichment analysis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​</w:t>
      </w:r>
    </w:p>
    <w:p w14:paraId="24AD2E83">
      <w:pPr>
        <w:pStyle w:val="2"/>
        <w:spacing w:line="480" w:lineRule="auto"/>
        <w:jc w:val="both"/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GO functional enrichment analysis results of 8 clusters (0-7).​</w:t>
      </w:r>
    </w:p>
    <w:p w14:paraId="4C666A36">
      <w:pPr>
        <w:pStyle w:val="2"/>
        <w:spacing w:line="480" w:lineRule="auto"/>
        <w:jc w:val="both"/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</w:pPr>
    </w:p>
    <w:p w14:paraId="093A578B">
      <w:pPr>
        <w:pStyle w:val="2"/>
        <w:spacing w:line="480" w:lineRule="auto"/>
        <w:jc w:val="both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>Supplementary Figure 2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 w:bidi="ar"/>
        </w:rPr>
        <w:t>.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 xml:space="preserve"> Validation of the risk model in the GEO cohort​</w:t>
      </w:r>
    </w:p>
    <w:p w14:paraId="49052A85">
      <w:pPr>
        <w:pStyle w:val="2"/>
        <w:numPr>
          <w:ilvl w:val="0"/>
          <w:numId w:val="1"/>
        </w:numPr>
        <w:spacing w:line="480" w:lineRule="auto"/>
        <w:jc w:val="both"/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Kaplan-Meier survival curves of the high-risk and low-risk groups in the GSE41613 cohort. (B) ROC curve evaluating the ability of the risk model to predict patient survival status. (C) ROC curves for 1-year, 3-year, and 5-year OS in the GSE41613 cohort.​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D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)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Kaplan-Meier survival curves of the high-risk and low-risk groups in the GSE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65858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cohort. (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E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) ROC curves for 1-year,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2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-year, and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3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-year OS in the GSE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val="en-US" w:eastAsia="zh-CN" w:bidi="ar"/>
        </w:rPr>
        <w:t>65858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 xml:space="preserve"> cohort.​</w:t>
      </w:r>
    </w:p>
    <w:p w14:paraId="1659B36E">
      <w:pPr>
        <w:pStyle w:val="2"/>
        <w:numPr>
          <w:ilvl w:val="0"/>
          <w:numId w:val="0"/>
        </w:numPr>
        <w:spacing w:line="480" w:lineRule="auto"/>
        <w:jc w:val="both"/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</w:pPr>
    </w:p>
    <w:p w14:paraId="2A84675B">
      <w:pPr>
        <w:pStyle w:val="2"/>
        <w:numPr>
          <w:ilvl w:val="0"/>
          <w:numId w:val="0"/>
        </w:numPr>
        <w:spacing w:line="480" w:lineRule="auto"/>
        <w:jc w:val="both"/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 xml:space="preserve">Supplementary Figure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 w:bidi="ar"/>
        </w:rPr>
        <w:t>3.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 xml:space="preserve"> Immune cell subpopulation analysis by MuSiC deconvolution</w:t>
      </w:r>
    </w:p>
    <w:p w14:paraId="5009E83F">
      <w:pPr>
        <w:pStyle w:val="2"/>
        <w:numPr>
          <w:ilvl w:val="0"/>
          <w:numId w:val="0"/>
        </w:numPr>
        <w:spacing w:line="480" w:lineRule="auto"/>
        <w:jc w:val="both"/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Differences in the estimated relative proportions of each immune cell subpopulation  in TCGA tumor samples between the high-risk and low-risk groups.</w:t>
      </w:r>
    </w:p>
    <w:p w14:paraId="695EE3CD">
      <w:pPr>
        <w:pStyle w:val="2"/>
        <w:numPr>
          <w:ilvl w:val="0"/>
          <w:numId w:val="0"/>
        </w:numPr>
        <w:spacing w:line="480" w:lineRule="auto"/>
        <w:jc w:val="both"/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</w:pPr>
    </w:p>
    <w:p w14:paraId="63DF3D87">
      <w:pPr>
        <w:pStyle w:val="2"/>
        <w:spacing w:line="480" w:lineRule="auto"/>
        <w:jc w:val="both"/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 xml:space="preserve">Supplementary Figure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val="en-US" w:eastAsia="zh-CN" w:bidi="ar"/>
        </w:rPr>
        <w:t>4.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highlight w:val="none"/>
          <w:lang w:bidi="ar"/>
        </w:rPr>
        <w:t xml:space="preserve"> Prognostic analysis of core genes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​</w:t>
      </w:r>
    </w:p>
    <w:p w14:paraId="0CD7CA55">
      <w:pPr>
        <w:pStyle w:val="2"/>
        <w:spacing w:line="480" w:lineRule="auto"/>
        <w:jc w:val="both"/>
        <w:rPr>
          <w:rFonts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highlight w:val="none"/>
          <w:lang w:bidi="ar"/>
        </w:rPr>
        <w:t>(A) 1-year, 3-year, and 5-year ROC survival curves for each core gene. (B) KM survival analysis showing differences in OS between the high-expression and low-expression groups of each core gene.</w:t>
      </w:r>
    </w:p>
    <w:bookmarkEnd w:id="0"/>
    <w:sectPr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372D6D"/>
    <w:multiLevelType w:val="singleLevel"/>
    <w:tmpl w:val="B0372D6D"/>
    <w:lvl w:ilvl="0" w:tentative="0">
      <w:start w:val="1"/>
      <w:numFmt w:val="upperLetter"/>
      <w:suff w:val="space"/>
      <w:lvlText w:val="(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267"/>
    <w:rsid w:val="00057E86"/>
    <w:rsid w:val="00140964"/>
    <w:rsid w:val="00140DDA"/>
    <w:rsid w:val="00150E2D"/>
    <w:rsid w:val="001E5F18"/>
    <w:rsid w:val="001F3FC5"/>
    <w:rsid w:val="00203E91"/>
    <w:rsid w:val="00235BB1"/>
    <w:rsid w:val="004076FE"/>
    <w:rsid w:val="00424D43"/>
    <w:rsid w:val="00430397"/>
    <w:rsid w:val="004A3C78"/>
    <w:rsid w:val="004C342E"/>
    <w:rsid w:val="005549D4"/>
    <w:rsid w:val="00595579"/>
    <w:rsid w:val="005C0558"/>
    <w:rsid w:val="006C2376"/>
    <w:rsid w:val="00742267"/>
    <w:rsid w:val="008A635E"/>
    <w:rsid w:val="008C16CA"/>
    <w:rsid w:val="00A82763"/>
    <w:rsid w:val="00B6533C"/>
    <w:rsid w:val="00B76606"/>
    <w:rsid w:val="00BC0EE7"/>
    <w:rsid w:val="00BC7523"/>
    <w:rsid w:val="00BE3F49"/>
    <w:rsid w:val="00C17199"/>
    <w:rsid w:val="00C52DD5"/>
    <w:rsid w:val="00C72A5A"/>
    <w:rsid w:val="00CA2530"/>
    <w:rsid w:val="00CB526C"/>
    <w:rsid w:val="00D06F9B"/>
    <w:rsid w:val="00D26F23"/>
    <w:rsid w:val="00D67CF8"/>
    <w:rsid w:val="00DE2426"/>
    <w:rsid w:val="220837CB"/>
    <w:rsid w:val="346474BE"/>
    <w:rsid w:val="3EAC3026"/>
    <w:rsid w:val="3EE31D8B"/>
    <w:rsid w:val="67112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  <w:rPr>
      <w:szCs w:val="24"/>
    </w:r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  <w:szCs w:val="22"/>
    </w:rPr>
  </w:style>
  <w:style w:type="character" w:styleId="9">
    <w:name w:val="line number"/>
    <w:basedOn w:val="8"/>
    <w:semiHidden/>
    <w:unhideWhenUsed/>
    <w:qFormat/>
    <w:uiPriority w:val="99"/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文字 字符"/>
    <w:basedOn w:val="8"/>
    <w:link w:val="2"/>
    <w:uiPriority w:val="0"/>
    <w:rPr>
      <w:szCs w:val="24"/>
    </w:rPr>
  </w:style>
  <w:style w:type="character" w:customStyle="1" w:styleId="14">
    <w:name w:val="批注主题 字符"/>
    <w:basedOn w:val="13"/>
    <w:link w:val="6"/>
    <w:semiHidden/>
    <w:qFormat/>
    <w:uiPriority w:val="99"/>
    <w:rPr>
      <w:b/>
      <w:bCs/>
      <w:szCs w:val="24"/>
    </w:rPr>
  </w:style>
  <w:style w:type="character" w:customStyle="1" w:styleId="15">
    <w:name w:val="批注框文本 字符"/>
    <w:basedOn w:val="8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164</Words>
  <Characters>938</Characters>
  <Lines>6</Lines>
  <Paragraphs>1</Paragraphs>
  <TotalTime>11</TotalTime>
  <ScaleCrop>false</ScaleCrop>
  <LinksUpToDate>false</LinksUpToDate>
  <CharactersWithSpaces>1095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2026-01-27T02:25:00Z</dcterms:created>
  <dc:creator>HUAWEI</dc:creator>
  <cp:lastModifiedBy>王雨晴</cp:lastModifiedBy>
  <dcterms:modified xsi:type="dcterms:W3CDTF">2026-04-17T11:51:21Z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eyJoZGlkIjoiZGU2MGQ3Mzc3NzkyMDc4YWY0MmQ0MjgxNjE4MjkyNDkiLCJ1c2VySWQiOiIxNzQ3OTk1MzQ1In0=</vt:lpwstr>
  </property>
  <property fmtid="{D5CDD505-2E9C-101B-9397-08002B2CF9AE}" pid="3" name="KSOProductBuildVer">
    <vt:lpwstr>2052-12.1.0.25865</vt:lpwstr>
  </property>
  <property fmtid="{D5CDD505-2E9C-101B-9397-08002B2CF9AE}" pid="4" name="ICV">
    <vt:lpwstr>5B3553432D894B7EAE2440C9BABEF167_13</vt:lpwstr>
  </property>
</Properties>
</file>