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EA007">
      <w:pPr>
        <w:pStyle w:val="2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Yearly occurrences of the top 30 countries.</w:t>
      </w:r>
    </w:p>
    <w:p w14:paraId="34D7BCA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setwd("D:\\桌面\\胰腺癌早期筛查\\R\\源")</w:t>
      </w:r>
    </w:p>
    <w:p w14:paraId="379B942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205DBF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getwd()</w:t>
      </w:r>
    </w:p>
    <w:p w14:paraId="2CD150E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list.files()</w:t>
      </w:r>
    </w:p>
    <w:p w14:paraId="52BF3C8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85FA57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library(reshape2)</w:t>
      </w:r>
    </w:p>
    <w:p w14:paraId="6F0E0C1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library(tidyverse)</w:t>
      </w:r>
    </w:p>
    <w:p w14:paraId="10F2229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library(bibliometrix)</w:t>
      </w:r>
    </w:p>
    <w:p w14:paraId="2C8B21E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library(data.table)</w:t>
      </w:r>
    </w:p>
    <w:p w14:paraId="3BFE52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library(stringr)</w:t>
      </w:r>
    </w:p>
    <w:p w14:paraId="1C885DF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library(plyr)</w:t>
      </w:r>
    </w:p>
    <w:p w14:paraId="6FAF58A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library(scales)</w:t>
      </w:r>
    </w:p>
    <w:p w14:paraId="46CD7E0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library(viridis)</w:t>
      </w:r>
    </w:p>
    <w:p w14:paraId="3F58B0D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BBC9AD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 &lt;- convert2df("data.txt", dbsource = "wos", format = "plaintext")</w:t>
      </w:r>
    </w:p>
    <w:p w14:paraId="21D9FE3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DC2FB1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M$PY &lt;- as.numeric(as.character(M$PY)) </w:t>
      </w:r>
    </w:p>
    <w:p w14:paraId="2787436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M$PY[M$PY == 2026] &lt;- 2025</w:t>
      </w:r>
    </w:p>
    <w:p w14:paraId="14C5F8B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26E81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 &lt;- biblioAnalysis(M)</w:t>
      </w:r>
    </w:p>
    <w:p w14:paraId="79DEA94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C2B5A0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sep=";"</w:t>
      </w:r>
    </w:p>
    <w:p w14:paraId="6E73036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if (!("AU_CO" %in% names(M))) {</w:t>
      </w:r>
    </w:p>
    <w:p w14:paraId="79EC56D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M &lt;- metaTagExtraction(M, Field = "AU_CO", sep = ";")</w:t>
      </w:r>
    </w:p>
    <w:p w14:paraId="0B4EDCA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}</w:t>
      </w:r>
    </w:p>
    <w:p w14:paraId="0568D8C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M$AU_CO &lt;- sapply(str_split(M$AU_CO, ";"), function(x) {</w:t>
      </w:r>
    </w:p>
    <w:p w14:paraId="39E821F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paste(unique(trimws(x)), collapse = ";")</w:t>
      </w:r>
    </w:p>
    <w:p w14:paraId="3775F31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})</w:t>
      </w:r>
    </w:p>
    <w:p w14:paraId="1313EBB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topCO&lt;-KeywordGrowth(</w:t>
      </w:r>
    </w:p>
    <w:p w14:paraId="6D3E8C9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M,</w:t>
      </w:r>
    </w:p>
    <w:p w14:paraId="07FF775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Tag = "AU_CO",</w:t>
      </w:r>
    </w:p>
    <w:p w14:paraId="57AFADC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sep = ";",</w:t>
      </w:r>
    </w:p>
    <w:p w14:paraId="1CC6833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top = 20,</w:t>
      </w:r>
    </w:p>
    <w:p w14:paraId="559C212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cdf = F,</w:t>
      </w:r>
    </w:p>
    <w:p w14:paraId="232D875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remove.terms = NULL,</w:t>
      </w:r>
    </w:p>
    <w:p w14:paraId="2E9D0A5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synonyms = NULL</w:t>
      </w:r>
    </w:p>
    <w:p w14:paraId="4E6E351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)</w:t>
      </w:r>
    </w:p>
    <w:p w14:paraId="45107B1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topCO2=tidyr::pivot_longer(topCO, -Year, names_to = "variable", values_to = "value")</w:t>
      </w:r>
    </w:p>
    <w:p w14:paraId="0AE8B7D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A87215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#折线图</w:t>
      </w:r>
    </w:p>
    <w:p w14:paraId="7DF1F08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ggplot(topCO2,aes(Year,value, group=variable, color=variable))+geom_line()+theme_bw()</w:t>
      </w:r>
    </w:p>
    <w:p w14:paraId="24F7592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E6EA47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#标准化</w:t>
      </w:r>
    </w:p>
    <w:p w14:paraId="428A37D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data &lt;- ddply(topCO2, .(variable),transform,rescale = rescale(value)) </w:t>
      </w:r>
    </w:p>
    <w:p w14:paraId="4AACFD5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#rescale()函数内默认参数to = c(0,1)</w:t>
      </w:r>
    </w:p>
    <w:p w14:paraId="62E2E8B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3ED0D5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#热图</w:t>
      </w:r>
    </w:p>
    <w:p w14:paraId="3B380B4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data &lt;- ddply(topCO2, .(variable),</w:t>
      </w:r>
    </w:p>
    <w:p w14:paraId="697E9A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   transform,</w:t>
      </w:r>
    </w:p>
    <w:p w14:paraId="0C06C96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   rescale = rescale(value))</w:t>
      </w:r>
    </w:p>
    <w:p w14:paraId="2394983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ggplot(data,</w:t>
      </w:r>
    </w:p>
    <w:p w14:paraId="6F1725C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aes(x = Year,</w:t>
      </w:r>
    </w:p>
    <w:p w14:paraId="1A9F308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y = reorder(variable, value, sum),   # Sort countries by total</w:t>
      </w:r>
    </w:p>
    <w:p w14:paraId="4F51BCB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fill  = rescale,</w:t>
      </w:r>
    </w:p>
    <w:p w14:paraId="19089C0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label = value)) +</w:t>
      </w:r>
    </w:p>
    <w:p w14:paraId="141F53F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size=0.2 is often cleaner for export than 0.3</w:t>
      </w:r>
    </w:p>
    <w:p w14:paraId="1B3068F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geom_tile(colour = "white", size = 0.2) + </w:t>
      </w:r>
    </w:p>
    <w:p w14:paraId="2F76A38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</w:t>
      </w:r>
    </w:p>
    <w:p w14:paraId="5E3861B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Ensure text is black; if the red gets too dark, the text remains readable</w:t>
      </w:r>
    </w:p>
    <w:p w14:paraId="04B0BED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geom_text(size = 3.0, colour = "black") +      </w:t>
      </w:r>
    </w:p>
    <w:p w14:paraId="191C37A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</w:t>
      </w:r>
    </w:p>
    <w:p w14:paraId="41282D9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--- CHANGED COLOR SECTION START ---</w:t>
      </w:r>
    </w:p>
    <w:p w14:paraId="0EF758E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Using a minimal White -&gt; Deep Red gradient</w:t>
      </w:r>
    </w:p>
    <w:p w14:paraId="211545C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This avoids the "neon" look and matches your VOSviewer/Map red tones</w:t>
      </w:r>
    </w:p>
    <w:p w14:paraId="4A72682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scale_fill_gradient(low = "white", high = "#B4C5D9", name = "Value") +</w:t>
      </w:r>
    </w:p>
    <w:p w14:paraId="1A1F7F9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# --- CHANGED COLOR SECTION END ---</w:t>
      </w:r>
    </w:p>
    <w:p w14:paraId="2150AE8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scale_x_continuous(breaks = seq(1986, 2025, 1), expand = c(0, 0)) +</w:t>
      </w:r>
    </w:p>
    <w:p w14:paraId="4FA6325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coord_fixed(ratio = 1) +</w:t>
      </w:r>
    </w:p>
    <w:p w14:paraId="7B926FC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theme_bw() +</w:t>
      </w:r>
    </w:p>
    <w:p w14:paraId="50C5682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theme(</w:t>
      </w:r>
    </w:p>
    <w:p w14:paraId="535DCBD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axis.text.x = element_text(angle = 90, hjust = 0.5, vjust = 0.5, color="black"),</w:t>
      </w:r>
    </w:p>
    <w:p w14:paraId="55D5A6E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axis.text.y = element_text(color="black"),</w:t>
      </w:r>
    </w:p>
    <w:p w14:paraId="1931E54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panel.grid  = element_blank(),</w:t>
      </w:r>
    </w:p>
    <w:p w14:paraId="627BEDB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panel.border = element_rect(colour = "black", size=0.5), # Crisper border</w:t>
      </w:r>
    </w:p>
    <w:p w14:paraId="1FA5F48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legend.key.width  = unit(3, "mm"),</w:t>
      </w:r>
    </w:p>
    <w:p w14:paraId="27A4CDB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legend.key.height = unit(1, "cm"),</w:t>
      </w:r>
    </w:p>
    <w:p w14:paraId="1ACA674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legend.title = element_text(size=9),</w:t>
      </w:r>
    </w:p>
    <w:p w14:paraId="5046DD0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legend.text = element_text(size=8)</w:t>
      </w:r>
    </w:p>
    <w:p w14:paraId="06C6324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) +</w:t>
      </w:r>
    </w:p>
    <w:p w14:paraId="0275C3F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labs(x = "Year",</w:t>
      </w:r>
    </w:p>
    <w:p w14:paraId="791738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y = "Country",</w:t>
      </w:r>
    </w:p>
    <w:p w14:paraId="64C297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title = "Country-Year Publication Counts")</w:t>
      </w:r>
    </w:p>
    <w:p w14:paraId="097FB59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75FD1DE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7FCA2CE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5471B5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60D7816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319C5D6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5A77C6E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7284421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60EC991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Yearly occurrences of the top 30 institutions</w:t>
      </w:r>
    </w:p>
    <w:p w14:paraId="61B1C75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76E4F5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setwd("D:\\桌面\\胰腺癌早期筛查\\R\\源")</w:t>
      </w:r>
    </w:p>
    <w:p w14:paraId="759E9BF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B61D3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getwd()</w:t>
      </w:r>
    </w:p>
    <w:p w14:paraId="7262B6C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list.files()</w:t>
      </w:r>
    </w:p>
    <w:p w14:paraId="341E23E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457354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library(reshape2)</w:t>
      </w:r>
    </w:p>
    <w:p w14:paraId="2C66639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library(tidyverse)</w:t>
      </w:r>
    </w:p>
    <w:p w14:paraId="2AA94C3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library(bibliometrix)</w:t>
      </w:r>
    </w:p>
    <w:p w14:paraId="6F9365A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library(data.table)</w:t>
      </w:r>
    </w:p>
    <w:p w14:paraId="73B09DB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library(stringr)</w:t>
      </w:r>
    </w:p>
    <w:p w14:paraId="0295485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library(plyr)</w:t>
      </w:r>
    </w:p>
    <w:p w14:paraId="4FF9F16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library(scales)</w:t>
      </w:r>
    </w:p>
    <w:p w14:paraId="66729CC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library(viridis)</w:t>
      </w:r>
    </w:p>
    <w:p w14:paraId="3610015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E9F150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M &lt;- convert2df("data.txt", dbsource = "wos", format = "plaintext")</w:t>
      </w:r>
    </w:p>
    <w:p w14:paraId="3E227D0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2DCF2F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M$PY &lt;- as.numeric(as.character(M$PY)) </w:t>
      </w:r>
    </w:p>
    <w:p w14:paraId="2443626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M$PY[M$PY == 2026] &lt;- 2025</w:t>
      </w:r>
    </w:p>
    <w:p w14:paraId="1D4E67C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B5D860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 &lt;- biblioAnalysis(M)</w:t>
      </w:r>
    </w:p>
    <w:p w14:paraId="1FBE2E7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12220D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if (!("AU_UN" %in% names(M))) {</w:t>
      </w:r>
    </w:p>
    <w:p w14:paraId="0208704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M &lt;- metaTagExtraction(M, Field = "AU_UN", sep = ";")</w:t>
      </w:r>
    </w:p>
    <w:p w14:paraId="1213C11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}</w:t>
      </w:r>
    </w:p>
    <w:p w14:paraId="73CAB71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synonyms_dict &lt;- c(</w:t>
      </w:r>
    </w:p>
    <w:p w14:paraId="709B8A0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"HARVARD MEDICAL SCHOOL" = "HARVARD UNIVERSITY",</w:t>
      </w:r>
    </w:p>
    <w:p w14:paraId="4C35790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"HARVARD UNIVERSITY MEDICAL AFFILIATES" = "HARVARD UNIVERSITY",</w:t>
      </w:r>
    </w:p>
    <w:p w14:paraId="644B102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"MASSACHUSETTS GENERAL HOSPITAL" = "HARVARD UNIVERSITY",</w:t>
      </w:r>
    </w:p>
    <w:p w14:paraId="313A4C1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"JOHNS HOPKINS MEDICINE" = "JOHNS HOPKINS UNIVERSITY",</w:t>
      </w:r>
    </w:p>
    <w:p w14:paraId="515809B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"UTMD ANDERSON CANCER CENTER" = "UNIVERSITY OF TEXAS SYSTEM",</w:t>
      </w:r>
    </w:p>
    <w:p w14:paraId="37CF3BE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"ASSISTANCE PUBLIQUE HOPITAUX PARIS (APHP)" = "UNIVERSITE PARIS CITE",</w:t>
      </w:r>
    </w:p>
    <w:p w14:paraId="4B88E87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"AZIENDA OSPEDALIERA UNIVERSITARIA INTEGRATA VERONA" = "UNIVERSITY OF VERONA",</w:t>
      </w:r>
    </w:p>
    <w:p w14:paraId="6BEC991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"UNVERSITY OF CALIFORNIA SYSTEM" = "UNIVERSITY OF CALIFORNIA SYSTEM",</w:t>
      </w:r>
    </w:p>
    <w:p w14:paraId="6AD3975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"UNVERSITY OF TEXAS SYSTEM" = "UNIVERSITY OF TEXAS SYSTEM"</w:t>
      </w:r>
    </w:p>
    <w:p w14:paraId="3FCB37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)</w:t>
      </w:r>
    </w:p>
    <w:p w14:paraId="722683D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32E823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for (old_name in names(synonyms_dict)) {</w:t>
      </w:r>
    </w:p>
    <w:p w14:paraId="15A66A8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M$AU_UN &lt;- str_replace_all(M$AU_UN, fixed(old_name), synonyms_dict[[old_name]])</w:t>
      </w:r>
    </w:p>
    <w:p w14:paraId="5D03741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}</w:t>
      </w:r>
    </w:p>
    <w:p w14:paraId="6207E77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M$AU_UN &lt;- sapply(str_split(M$AU_UN, ";"), function(x) {</w:t>
      </w:r>
    </w:p>
    <w:p w14:paraId="1BEBE6D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valid_x &lt;- x[!is.na(x) &amp; trimws(x) != ""]</w:t>
      </w:r>
    </w:p>
    <w:p w14:paraId="4649EE6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paste(unique(trimws(valid_x)), collapse = ";")</w:t>
      </w:r>
    </w:p>
    <w:p w14:paraId="660CCC1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})</w:t>
      </w:r>
    </w:p>
    <w:p w14:paraId="3F237FD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topCO &lt;- KeywordGrowth(</w:t>
      </w:r>
    </w:p>
    <w:p w14:paraId="0558573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M,</w:t>
      </w:r>
    </w:p>
    <w:p w14:paraId="58413E7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Tag = "AU_UN",</w:t>
      </w:r>
    </w:p>
    <w:p w14:paraId="2E601BA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sep = ";",</w:t>
      </w:r>
    </w:p>
    <w:p w14:paraId="31CFD8B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top = 20,</w:t>
      </w:r>
    </w:p>
    <w:p w14:paraId="103E863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cdf = F,</w:t>
      </w:r>
    </w:p>
    <w:p w14:paraId="45B1BB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remove.terms = NULL,</w:t>
      </w:r>
    </w:p>
    <w:p w14:paraId="2056601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synonyms = NULL</w:t>
      </w:r>
    </w:p>
    <w:p w14:paraId="79E9232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)</w:t>
      </w:r>
    </w:p>
    <w:p w14:paraId="37B2302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DB2319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topCO2 = tidyr::pivot_longer(topCO, -Year, names_to = "variable", values_to = "value")</w:t>
      </w:r>
    </w:p>
    <w:p w14:paraId="224C2D4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200630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# 折线图</w:t>
      </w:r>
    </w:p>
    <w:p w14:paraId="0C4EBC7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ggplot(topCO2,aes(Year,value, group=variable, color=variable)) + geom_line() + theme_bw()</w:t>
      </w:r>
    </w:p>
    <w:p w14:paraId="1FC164C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CBEA11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# 热图</w:t>
      </w:r>
    </w:p>
    <w:p w14:paraId="122CDC2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data &lt;- ddply(topCO2, .(variable),</w:t>
      </w:r>
    </w:p>
    <w:p w14:paraId="4EB54BE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transform,</w:t>
      </w:r>
    </w:p>
    <w:p w14:paraId="35FC126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rescale = rescale(value))</w:t>
      </w:r>
    </w:p>
    <w:p w14:paraId="3A4C15D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ggplot(data,</w:t>
      </w:r>
    </w:p>
    <w:p w14:paraId="6999C44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aes(x = Year,</w:t>
      </w:r>
    </w:p>
    <w:p w14:paraId="216FAAD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y = reorder(variable, value, sum),   # Sort institutions by total</w:t>
      </w:r>
    </w:p>
    <w:p w14:paraId="2767646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fill  = rescale,</w:t>
      </w:r>
    </w:p>
    <w:p w14:paraId="506F74A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label = value)) +</w:t>
      </w:r>
    </w:p>
    <w:p w14:paraId="5C49390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geom_tile(colour = "white", size = 0.2) + </w:t>
      </w:r>
    </w:p>
    <w:p w14:paraId="067DCE3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14:paraId="07B79F5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geom_text(size = 3.0, colour = "black") +      </w:t>
      </w:r>
    </w:p>
    <w:p w14:paraId="0862A38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14:paraId="3C15266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# --- CHANGED COLOR SECTION START ---</w:t>
      </w:r>
    </w:p>
    <w:p w14:paraId="2CC2CD8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scale_fill_gradient(low = "white", high = "#B4C5D9", name = "Value") +</w:t>
      </w:r>
    </w:p>
    <w:p w14:paraId="5E68348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# --- CHANGED COLOR SECTION END ---</w:t>
      </w:r>
    </w:p>
    <w:p w14:paraId="3715F04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scale_x_continuous(breaks = seq(1986, 2025, 1), expand = c(0, 0)) +</w:t>
      </w:r>
    </w:p>
    <w:p w14:paraId="6CFB273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coord_fixed(ratio = 1) +</w:t>
      </w:r>
    </w:p>
    <w:p w14:paraId="0C3D11C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theme_bw() +</w:t>
      </w:r>
    </w:p>
    <w:p w14:paraId="43C5C12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theme(</w:t>
      </w:r>
    </w:p>
    <w:p w14:paraId="5CABA3D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axis.text.x = element_text(angle = 90, hjust = 0.5, vjust = 0.5, color="black"),</w:t>
      </w:r>
    </w:p>
    <w:p w14:paraId="67DED46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axis.text.y = element_text(color="black"),</w:t>
      </w:r>
    </w:p>
    <w:p w14:paraId="476ED3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panel.grid  = element_blank(),</w:t>
      </w:r>
    </w:p>
    <w:p w14:paraId="09B9D2A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panel.border = element_rect(colour = "black", size=0.5), # Crisper border</w:t>
      </w:r>
    </w:p>
    <w:p w14:paraId="172C18F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legend.key.width  = unit(3, "mm"),</w:t>
      </w:r>
    </w:p>
    <w:p w14:paraId="6D7631A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legend.key.height = unit(1, "cm"),</w:t>
      </w:r>
    </w:p>
    <w:p w14:paraId="61A0DE5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legend.title = element_text(size=9),</w:t>
      </w:r>
    </w:p>
    <w:p w14:paraId="3040952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legend.text = element_text(size=8)</w:t>
      </w:r>
    </w:p>
    <w:p w14:paraId="08CE763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) +</w:t>
      </w:r>
    </w:p>
    <w:p w14:paraId="456F031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labs(x = "Year",</w:t>
      </w:r>
    </w:p>
    <w:p w14:paraId="510D238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y = "Institution",</w:t>
      </w:r>
    </w:p>
    <w:p w14:paraId="48A6643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title = "Institution-Year Publication Counts")</w:t>
      </w:r>
    </w:p>
    <w:p w14:paraId="6099048A">
      <w:pPr>
        <w:rPr>
          <w:rFonts w:hint="default"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</w:pPr>
    </w:p>
    <w:p w14:paraId="141C1572">
      <w:pPr>
        <w:jc w:val="center"/>
        <w:rPr>
          <w:rFonts w:hint="default" w:ascii="Times New Roman" w:hAnsi="Times New Roman" w:cs="Times New Roman"/>
          <w:b/>
          <w:bCs/>
          <w:color w:val="101214"/>
          <w:sz w:val="32"/>
          <w:szCs w:val="32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color w:val="101214"/>
          <w:sz w:val="32"/>
          <w:szCs w:val="32"/>
          <w:shd w:val="clear" w:color="auto" w:fill="FFFFFF"/>
        </w:rPr>
        <w:t>Network Overlay Analysis</w:t>
      </w:r>
    </w:p>
    <w:p w14:paraId="303A80BD">
      <w:pPr>
        <w:rPr>
          <w:rFonts w:hint="default"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</w:pPr>
    </w:p>
    <w:p w14:paraId="146F7163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VOSviewer enables the superimposition of specific data subsets onto the overall dataset, such as constructing a network of keyword co-occurrences for a given country across the entire network. In this study, figure 2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D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, figure 2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E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, figure 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3F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utilized this functionality. Taking Figure 2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F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as an illustrative example:</w:t>
      </w:r>
    </w:p>
    <w:p w14:paraId="1674D972">
      <w:pPr>
        <w:ind w:firstLine="480" w:firstLine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Firstly, during the initial data collection phase, besides gathering all literature comprehensively, literature datasets categorized by the top countries were also collected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 w14:paraId="2B1961F5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Secondly, employing VOSviewer to construct the overall keyword co-occurrence network, followed by clicking "save" to preserve the map file and network file from VOSviewer, saved as map1.csv and net1.txt.</w:t>
      </w:r>
    </w:p>
    <w:p w14:paraId="07CFC155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Thirdly, utilizing VOSviewer to import data from 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China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and generate the keyword co-occurrence network for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 xml:space="preserve"> China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. Subsequently, clicking "save" saves the two files map2.csv and net2.txt.</w:t>
      </w:r>
    </w:p>
    <w:p w14:paraId="48389EBD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Fourthly, opening map1.csv in Excel, where, due to this study's utilization of color variation to denote proportional sizes, the 'score' field in the map file represents color. Thus, creating a new column "score&lt;keyword Occurrences&gt;" and utilizing Excel's "VLOOKUP" function to match the keyword frequencies from map2.csv to the "score&lt;keyword Occurrences&gt;" column in map1.csv.</w:t>
      </w:r>
    </w:p>
    <w:p w14:paraId="3F2E8FBA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Fifthly, creating a new column "score&lt;keyword scale&gt;" in map1.csv, dividing the frequencies in "score&lt;keyword Occurrences&gt;" by the total keyword occurrences in the 'weight&lt;Occurrences&gt;' column, obtaining proportions, and filling in the "score&lt;keyword scale&gt;" column. Ultimately, this yields the contribution proportions of keywords from 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China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relative to the overall research.</w:t>
      </w:r>
    </w:p>
    <w:p w14:paraId="784CAEF4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>Sixthly, saving the modified map1.csv as a "Text (tab delimited)(*.txt)" file, named map1.txt.</w:t>
      </w:r>
    </w:p>
    <w:p w14:paraId="30E0C56C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Seventhly, using VOSviewer's "open" function to import map1.txt and net1.txt, switching to the "Overlay Visualization" interface, selecting the 'scores' function in the Visualization Operations interface, and choosing the newly added "score&lt;keyword scale&gt;" for colors, selecting "Rainbow" for the colors option, thereby obtaining a visual representation of the contribution proportions of keywords from 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  <w:lang w:val="en-US" w:eastAsia="zh-CN"/>
        </w:rPr>
        <w:t>China</w:t>
      </w: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relative to the overall research.</w:t>
      </w:r>
    </w:p>
    <w:p w14:paraId="3A028099">
      <w:pPr>
        <w:ind w:firstLine="480" w:firstLineChars="200"/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Other overlays based on VOSviewer operate similarly. </w:t>
      </w:r>
    </w:p>
    <w:p w14:paraId="37BCAEF6">
      <w:pPr>
        <w:rPr>
          <w:rFonts w:hint="default" w:ascii="Times New Roman" w:hAnsi="Times New Roman" w:cs="Times New Roman"/>
        </w:rPr>
      </w:pPr>
    </w:p>
    <w:p w14:paraId="5D14FC88">
      <w:pPr>
        <w:rPr>
          <w:rFonts w:hint="default" w:ascii="Times New Roman" w:hAnsi="Times New Roman" w:cs="Times New Roman"/>
        </w:rPr>
      </w:pPr>
    </w:p>
    <w:p w14:paraId="3FCD85C7">
      <w:pPr>
        <w:rPr>
          <w:rFonts w:hint="default" w:ascii="Times New Roman" w:hAnsi="Times New Roman" w:cs="Times New Roman"/>
        </w:rPr>
      </w:pPr>
    </w:p>
    <w:p w14:paraId="061F43EF">
      <w:pPr>
        <w:rPr>
          <w:rFonts w:hint="default" w:ascii="Times New Roman" w:hAnsi="Times New Roman" w:cs="Times New Roman"/>
        </w:rPr>
      </w:pPr>
    </w:p>
    <w:p w14:paraId="71108E2C">
      <w:pPr>
        <w:rPr>
          <w:rFonts w:hint="default" w:ascii="Times New Roman" w:hAnsi="Times New Roman" w:cs="Times New Roman"/>
        </w:rPr>
      </w:pPr>
    </w:p>
    <w:p w14:paraId="54C1EEEB">
      <w:pPr>
        <w:rPr>
          <w:rFonts w:hint="default" w:ascii="Times New Roman" w:hAnsi="Times New Roman" w:cs="Times New Roman"/>
        </w:rPr>
      </w:pPr>
    </w:p>
    <w:p w14:paraId="4F0B362C">
      <w:pPr>
        <w:rPr>
          <w:rFonts w:hint="default" w:ascii="Times New Roman" w:hAnsi="Times New Roman" w:cs="Times New Roman"/>
        </w:rPr>
      </w:pPr>
    </w:p>
    <w:p w14:paraId="2FF284DF">
      <w:pPr>
        <w:rPr>
          <w:rFonts w:hint="default" w:ascii="Times New Roman" w:hAnsi="Times New Roman" w:cs="Times New Roman"/>
        </w:rPr>
      </w:pPr>
    </w:p>
    <w:tbl>
      <w:tblPr>
        <w:tblStyle w:val="5"/>
        <w:tblW w:w="8760" w:type="dxa"/>
        <w:tblInd w:w="98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7"/>
        <w:gridCol w:w="4093"/>
      </w:tblGrid>
      <w:tr w14:paraId="78BEFC6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CC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pathway</w:t>
            </w:r>
          </w:p>
        </w:tc>
        <w:tc>
          <w:tcPr>
            <w:tcW w:w="40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7C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Related Keywords (Frequency &gt; 5)</w:t>
            </w:r>
          </w:p>
        </w:tc>
      </w:tr>
      <w:tr w14:paraId="6D4CB75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2AF4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RAS-MAPK</w:t>
            </w:r>
          </w:p>
        </w:tc>
        <w:tc>
          <w:tcPr>
            <w:tcW w:w="40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0E8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k-ras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kras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k-ras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oncogenic kras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k-ras 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kras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kras 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 gene-mutations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mutant kras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kras(g12d)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k-ras oncogene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 oncogene activation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k-ras 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 oncogene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codon-12 mutations</w:t>
            </w:r>
          </w:p>
        </w:tc>
      </w:tr>
      <w:tr w14:paraId="2A2D991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0C1CC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RAS-MAPK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11DE1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BRAF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BRAF mutation</w:t>
            </w:r>
          </w:p>
        </w:tc>
      </w:tr>
      <w:tr w14:paraId="70EC712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5676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RAS-MAPK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50D60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MAPK</w:t>
            </w:r>
          </w:p>
        </w:tc>
      </w:tr>
      <w:tr w14:paraId="1CD6BFC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1C416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GNAS/cAMP-PKA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7EC5C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gnas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gnas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gnas 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frequent gnas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frequent gnas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stimulatory G-protein</w:t>
            </w:r>
          </w:p>
        </w:tc>
      </w:tr>
      <w:tr w14:paraId="0FE1933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0E811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PI3K/AKT/mTOR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60BD1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PIK3CA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PIK3CA mutations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phosphatidylinositol 3-kinase</w:t>
            </w:r>
          </w:p>
        </w:tc>
      </w:tr>
      <w:tr w14:paraId="1713D84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768DC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PI3K/AKT/mTOR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268B2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AKT</w:t>
            </w:r>
          </w:p>
        </w:tc>
      </w:tr>
      <w:tr w14:paraId="77EB7A0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1B9B3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PI3K/AKT/mTOR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55463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mTOR</w:t>
            </w:r>
          </w:p>
        </w:tc>
      </w:tr>
      <w:tr w14:paraId="3DF365F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49F1A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TGF-β/SMAD4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703D3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tgf-beta</w:t>
            </w:r>
          </w:p>
        </w:tc>
      </w:tr>
      <w:tr w14:paraId="1E147A0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6F5AD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TGF-β/SMAD4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001C4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SMAD4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DPC4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DPC4 inactivation</w:t>
            </w:r>
          </w:p>
        </w:tc>
      </w:tr>
      <w:tr w14:paraId="6FE457D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0C238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Wnt/β-catenin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4BD86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beta-catenin</w:t>
            </w:r>
          </w:p>
        </w:tc>
      </w:tr>
      <w:tr w14:paraId="69D768D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60DC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Wnt/β-catenin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32571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RNF43</w:t>
            </w:r>
          </w:p>
        </w:tc>
      </w:tr>
      <w:tr w14:paraId="455C0BD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7AB7C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Wnt/β-catenin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1D6B4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APC</w:t>
            </w:r>
          </w:p>
        </w:tc>
      </w:tr>
      <w:tr w14:paraId="186BFB4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115AC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Hedgehog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31976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Hedgehog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Sonic Hedgehog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Hedgehog signaling pathway</w:t>
            </w:r>
          </w:p>
        </w:tc>
      </w:tr>
      <w:tr w14:paraId="7D293CF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7EA0C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p53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0DE26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TP53 / p53 / p53 mutations / p53 overexpression / p53 protein</w:t>
            </w:r>
          </w:p>
        </w:tc>
      </w:tr>
      <w:tr w14:paraId="70E0E4B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9AAD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CDKN2A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0BFA0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CDKN2A / p16 / CDKN2A mutations</w:t>
            </w:r>
          </w:p>
        </w:tc>
      </w:tr>
      <w:tr w14:paraId="5F5024A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2801F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NF-κB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11FAA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nf-kappa-b</w:t>
            </w:r>
          </w:p>
        </w:tc>
      </w:tr>
      <w:tr w14:paraId="26FCEBE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4860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BRCA2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5AC30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BRCA2 / BRCA2 germline mutations / brca2 mutations</w:t>
            </w:r>
          </w:p>
        </w:tc>
      </w:tr>
      <w:tr w14:paraId="195B3FA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5B03C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BRCA1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7B666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BRCA1</w:t>
            </w:r>
          </w:p>
        </w:tc>
      </w:tr>
      <w:tr w14:paraId="4C3BF67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A806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PALB2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44E86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PALB2 / PALB2 mutations</w:t>
            </w:r>
          </w:p>
        </w:tc>
      </w:tr>
      <w:tr w14:paraId="730CC1E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3E4B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KLF4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5E537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KLF4</w:t>
            </w:r>
          </w:p>
        </w:tc>
      </w:tr>
      <w:tr w14:paraId="6030CAD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3F0E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Notch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02809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Notch</w:t>
            </w:r>
          </w:p>
        </w:tc>
      </w:tr>
      <w:tr w14:paraId="20029E6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638D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p21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31028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p21（WAF1/CIP1）</w:t>
            </w:r>
          </w:p>
        </w:tc>
      </w:tr>
      <w:tr w14:paraId="397F8C7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0A720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Cyclin D1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41E21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Cyclin D1</w:t>
            </w:r>
          </w:p>
        </w:tc>
      </w:tr>
      <w:tr w14:paraId="747B94E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3CBD0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EGFR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7D14C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tgf-alpha</w:t>
            </w:r>
          </w:p>
        </w:tc>
      </w:tr>
      <w:tr w14:paraId="4819FF4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660A5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HER2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2DDBB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HER-2/neu</w:t>
            </w:r>
          </w:p>
        </w:tc>
      </w:tr>
      <w:tr w14:paraId="5E9776B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669" w:type="dxa"/>
            <w:shd w:val="clear" w:color="auto" w:fill="auto"/>
            <w:vAlign w:val="center"/>
          </w:tcPr>
          <w:p w14:paraId="4A4E2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STK11/LKB1-AMPK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69033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STK11 / LKB1 / KRAS–LKB1 co-mutation</w:t>
            </w:r>
          </w:p>
        </w:tc>
      </w:tr>
    </w:tbl>
    <w:p w14:paraId="45FFE0EF">
      <w:pPr>
        <w:rPr>
          <w:rFonts w:hint="default" w:ascii="Times New Roman" w:hAnsi="Times New Roman" w:cs="Times New Roman"/>
        </w:rPr>
      </w:pPr>
    </w:p>
    <w:p w14:paraId="7E26261B">
      <w:pPr>
        <w:rPr>
          <w:rFonts w:hint="default" w:ascii="Times New Roman" w:hAnsi="Times New Roman" w:cs="Times New Roman"/>
        </w:rPr>
      </w:pPr>
    </w:p>
    <w:p w14:paraId="72F2C5D4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22875" cy="3035935"/>
            <wp:effectExtent l="0" t="0" r="9525" b="12065"/>
            <wp:docPr id="5" name="图片 5" descr="PA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AD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>Figure 1</w:t>
      </w:r>
    </w:p>
    <w:p w14:paraId="4134F2D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Keyword contributions of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PDAC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. Each node represents a keyword, with the color denoting the frequency in articles from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PDAC</w:t>
      </w:r>
      <w:bookmarkStart w:id="0" w:name="_GoBack"/>
      <w:bookmarkEnd w:id="0"/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relative to its overall frequency. The closer the color is to red, the higher the proportion. </w:t>
      </w:r>
      <w:r>
        <w:rPr>
          <w:rFonts w:hint="default" w:ascii="Times New Roman" w:hAnsi="Times New Roman" w:eastAsia="等线" w:cs="Times New Roman"/>
          <w:b/>
          <w:bCs/>
          <w:sz w:val="21"/>
          <w:szCs w:val="24"/>
          <w:lang w:val="en-US" w:eastAsia="zh-CN" w:bidi="ar"/>
        </w:rPr>
        <w:t>(E)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Keyword contributions of Japan.</w:t>
      </w:r>
    </w:p>
    <w:p w14:paraId="27BE1A9D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22875" cy="3035935"/>
            <wp:effectExtent l="0" t="0" r="9525" b="12065"/>
            <wp:docPr id="6" name="图片 6" descr="IP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PM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>Figure 2</w:t>
      </w:r>
    </w:p>
    <w:p w14:paraId="236E4133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Keyword contributions of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IPMN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. Each node represents a keyword, with the color denoting the frequency in articles from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IPMN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relative to its overall frequency. The closer the color is to red, the higher the proportion. </w:t>
      </w:r>
      <w:r>
        <w:rPr>
          <w:rFonts w:hint="default" w:ascii="Times New Roman" w:hAnsi="Times New Roman" w:eastAsia="等线" w:cs="Times New Roman"/>
          <w:b/>
          <w:bCs/>
          <w:sz w:val="21"/>
          <w:szCs w:val="24"/>
          <w:lang w:val="en-US" w:eastAsia="zh-CN" w:bidi="ar"/>
        </w:rPr>
        <w:t>(E)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Keyword contributions of Japan.</w:t>
      </w:r>
    </w:p>
    <w:p w14:paraId="13918452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22875" cy="3035935"/>
            <wp:effectExtent l="0" t="0" r="9525" b="12065"/>
            <wp:docPr id="7" name="图片 7" descr="MC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C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>Figure 3</w:t>
      </w:r>
    </w:p>
    <w:p w14:paraId="63ADC493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Keyword contributions of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MCN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. Each node represents a keyword, with the color denoting the frequency in articles from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MCN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relative to its overall frequency. The closer the color is to red, the higher the proportion. </w:t>
      </w:r>
      <w:r>
        <w:rPr>
          <w:rFonts w:hint="default" w:ascii="Times New Roman" w:hAnsi="Times New Roman" w:eastAsia="等线" w:cs="Times New Roman"/>
          <w:b/>
          <w:bCs/>
          <w:sz w:val="21"/>
          <w:szCs w:val="24"/>
          <w:lang w:val="en-US" w:eastAsia="zh-CN" w:bidi="ar"/>
        </w:rPr>
        <w:t>(E)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Keyword contributions of Japan.</w:t>
      </w:r>
    </w:p>
    <w:p w14:paraId="5D36870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22875" cy="3035935"/>
            <wp:effectExtent l="0" t="0" r="9525" b="12065"/>
            <wp:docPr id="8" name="图片 8" descr="PAN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ANI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>Figure 4</w:t>
      </w:r>
    </w:p>
    <w:p w14:paraId="0C5D82CF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Keyword contributions of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PanIN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. Each node represents a keyword, with the color denoting the frequency in articles from the </w:t>
      </w:r>
      <w:r>
        <w:rPr>
          <w:rFonts w:hint="eastAsia" w:ascii="Times New Roman" w:hAnsi="Times New Roman" w:eastAsia="等线" w:cs="Times New Roman"/>
          <w:sz w:val="21"/>
          <w:szCs w:val="24"/>
          <w:lang w:val="en-US" w:eastAsia="zh-CN" w:bidi="ar"/>
        </w:rPr>
        <w:t>PanIN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relative to its overall frequency. The closer the color is to red, the higher the proportion. </w:t>
      </w:r>
      <w:r>
        <w:rPr>
          <w:rFonts w:hint="default" w:ascii="Times New Roman" w:hAnsi="Times New Roman" w:eastAsia="等线" w:cs="Times New Roman"/>
          <w:b/>
          <w:bCs/>
          <w:sz w:val="21"/>
          <w:szCs w:val="24"/>
          <w:lang w:val="en-US" w:eastAsia="zh-CN" w:bidi="ar"/>
        </w:rPr>
        <w:t>(E)</w:t>
      </w:r>
      <w:r>
        <w:rPr>
          <w:rFonts w:hint="default" w:ascii="Times New Roman" w:hAnsi="Times New Roman" w:eastAsia="等线" w:cs="Times New Roman"/>
          <w:sz w:val="21"/>
          <w:szCs w:val="24"/>
          <w:lang w:val="en-US" w:eastAsia="zh-CN" w:bidi="ar"/>
        </w:rPr>
        <w:t xml:space="preserve"> Keyword contributions of Japan.</w:t>
      </w:r>
    </w:p>
    <w:p w14:paraId="43939A04">
      <w:pPr>
        <w:rPr>
          <w:rFonts w:hint="default" w:ascii="Times New Roman" w:hAnsi="Times New Roman" w:cs="Times New Roman"/>
        </w:rPr>
      </w:pPr>
    </w:p>
    <w:p w14:paraId="1E0CCF75">
      <w:pPr>
        <w:rPr>
          <w:rFonts w:hint="eastAsia" w:ascii="Times New Roman" w:hAnsi="Times New Roman" w:cs="Times New Roman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AA"/>
    <w:rsid w:val="005325A1"/>
    <w:rsid w:val="00910C41"/>
    <w:rsid w:val="00DA1EAA"/>
    <w:rsid w:val="406A06D7"/>
    <w:rsid w:val="544131BE"/>
    <w:rsid w:val="6B78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标题 2 字符"/>
    <w:basedOn w:val="6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1210</Words>
  <Characters>7613</Characters>
  <Lines>31</Lines>
  <Paragraphs>9</Paragraphs>
  <TotalTime>9</TotalTime>
  <ScaleCrop>false</ScaleCrop>
  <LinksUpToDate>false</LinksUpToDate>
  <CharactersWithSpaces>8858</CharactersWithSpaces>
  <Application>WPS Office_12.1.0.25856_F1E327BC-269C-435d-A152-05C5408002CA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2024-04-21T14:21:00Z</dcterms:created>
  <dc:creator>贝贝 吴</dc:creator>
  <cp:lastModifiedBy>double</cp:lastModifiedBy>
  <dcterms:modified xsi:type="dcterms:W3CDTF">2026-04-06T00:26:02Z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eyJoZGlkIjoiNzhhOGM2ZTgwMjY5YWQ2MjNlMTZkOTA5ZTU2MWQ1NTkiLCJ1c2VySWQiOiIzMjA3MDI4OTEifQ==</vt:lpwstr>
  </property>
  <property fmtid="{D5CDD505-2E9C-101B-9397-08002B2CF9AE}" pid="3" name="KSOProductBuildVer">
    <vt:lpwstr>2052-12.1.0.25856</vt:lpwstr>
  </property>
  <property fmtid="{D5CDD505-2E9C-101B-9397-08002B2CF9AE}" pid="4" name="ICV">
    <vt:lpwstr>9A1EE3F027EE4763AEA34D1697B94325_13</vt:lpwstr>
  </property>
</Properties>
</file>