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87BA2">
      <w:pPr>
        <w:numPr>
          <w:ilvl w:val="0"/>
          <w:numId w:val="1"/>
        </w:numPr>
        <w:spacing w:after="0" w:line="360" w:lineRule="auto"/>
        <w:jc w:val="both"/>
        <w:rPr>
          <w:rFonts w:ascii="Times New Roman" w:hAnsi="Times New Roman"/>
          <w:b/>
          <w:bCs/>
          <w:sz w:val="24"/>
          <w:szCs w:val="24"/>
        </w:rPr>
      </w:pPr>
      <w:r>
        <w:rPr>
          <w:rFonts w:ascii="Times New Roman" w:hAnsi="Times New Roman"/>
          <w:b/>
          <w:bCs/>
          <w:sz w:val="24"/>
          <w:szCs w:val="24"/>
        </w:rPr>
        <w:t>Search strategy</w:t>
      </w:r>
    </w:p>
    <w:p w14:paraId="3A53A0B4">
      <w:pPr>
        <w:numPr>
          <w:ilvl w:val="0"/>
          <w:numId w:val="0"/>
        </w:numPr>
        <w:spacing w:after="0" w:line="360" w:lineRule="auto"/>
        <w:jc w:val="both"/>
        <w:rPr>
          <w:rFonts w:hint="eastAsia" w:ascii="Times New Roman" w:hAnsi="Times New Roman" w:eastAsia="Helvetica" w:cs="Times New Roman"/>
          <w:color w:val="282828"/>
          <w:sz w:val="24"/>
          <w:szCs w:val="24"/>
          <w14:ligatures w14:val="standardContextual"/>
        </w:rPr>
      </w:pPr>
      <w:r>
        <w:rPr>
          <w:rFonts w:hint="eastAsia" w:ascii="Times New Roman" w:hAnsi="Times New Roman" w:eastAsia="Helvetica" w:cs="Times New Roman"/>
          <w:color w:val="282828"/>
          <w:sz w:val="24"/>
          <w:szCs w:val="24"/>
          <w14:ligatures w14:val="standardContextual"/>
        </w:rPr>
        <w:t xml:space="preserve">A comprehensive literature search was conducted in the Web of Science Core Collection (WoSCC) and Scopus databases. Prior to the formal retrieval, PubMed was consulted to identify the MeSH terms and associated entry terms for both </w:t>
      </w:r>
      <w:r>
        <w:rPr>
          <w:rFonts w:hint="eastAsia" w:ascii="Times New Roman" w:hAnsi="Times New Roman" w:eastAsia="Helvetica" w:cs="Times New Roman"/>
          <w:i/>
          <w:iCs/>
          <w:color w:val="282828"/>
          <w:sz w:val="24"/>
          <w:szCs w:val="24"/>
          <w14:ligatures w14:val="standardContextual"/>
        </w:rPr>
        <w:t>Caenorhabditis elegans</w:t>
      </w:r>
      <w:r>
        <w:rPr>
          <w:rFonts w:hint="eastAsia" w:ascii="Times New Roman" w:hAnsi="Times New Roman" w:eastAsia="Helvetica" w:cs="Times New Roman"/>
          <w:color w:val="282828"/>
          <w:sz w:val="24"/>
          <w:szCs w:val="24"/>
          <w14:ligatures w14:val="standardContextual"/>
        </w:rPr>
        <w:t xml:space="preserve"> and cancer-related concepts, which were used to determine relevant synonyms for the search strategy. The final search strategy combined cancer-related terms with Caenorhabditis elegans-related terms using Boolean operators.</w:t>
      </w:r>
    </w:p>
    <w:p w14:paraId="71D04DBD">
      <w:pPr>
        <w:spacing w:after="0" w:line="360" w:lineRule="auto"/>
        <w:jc w:val="both"/>
        <w:rPr>
          <w:rFonts w:hint="eastAsia" w:ascii="Times New Roman" w:hAnsi="Times New Roman" w:eastAsia="Helvetica" w:cs="Times New Roman"/>
          <w:color w:val="282828"/>
          <w:sz w:val="24"/>
          <w:szCs w:val="24"/>
          <w14:ligatures w14:val="standardContextual"/>
        </w:rPr>
      </w:pPr>
      <w:r>
        <w:rPr>
          <w:rFonts w:hint="eastAsia" w:ascii="Times New Roman" w:hAnsi="Times New Roman" w:eastAsia="Helvetica" w:cs="Times New Roman"/>
          <w:color w:val="282828"/>
          <w:sz w:val="24"/>
          <w:szCs w:val="24"/>
          <w14:ligatures w14:val="standardContextual"/>
        </w:rPr>
        <w:t>The cancer-related search terms (TS1) were defined as:</w:t>
      </w:r>
    </w:p>
    <w:p w14:paraId="12AC57FD">
      <w:pPr>
        <w:spacing w:after="0" w:line="360" w:lineRule="auto"/>
        <w:jc w:val="both"/>
        <w:rPr>
          <w:rFonts w:hint="eastAsia" w:ascii="Times New Roman" w:hAnsi="Times New Roman" w:eastAsia="Helvetica" w:cs="Times New Roman"/>
          <w:color w:val="282828"/>
          <w:sz w:val="24"/>
          <w:szCs w:val="24"/>
          <w14:ligatures w14:val="standardContextual"/>
        </w:rPr>
      </w:pPr>
      <w:r>
        <w:rPr>
          <w:rFonts w:hint="eastAsia" w:ascii="Times New Roman" w:hAnsi="Times New Roman" w:eastAsia="Helvetica" w:cs="Times New Roman"/>
          <w:color w:val="282828"/>
          <w:sz w:val="24"/>
          <w:szCs w:val="24"/>
          <w14:ligatures w14:val="standardContextual"/>
        </w:rPr>
        <w:t>TS1 = “cancer*” OR “tumor*” OR “carcinoma*” OR “neoplasia*” OR “neoplasm*” OR “malignanc*”.</w:t>
      </w:r>
    </w:p>
    <w:p w14:paraId="2FCCF48D">
      <w:pPr>
        <w:spacing w:after="0" w:line="360" w:lineRule="auto"/>
        <w:jc w:val="both"/>
        <w:rPr>
          <w:rFonts w:hint="eastAsia" w:ascii="Times New Roman" w:hAnsi="Times New Roman" w:eastAsia="Helvetica" w:cs="Times New Roman"/>
          <w:color w:val="282828"/>
          <w:sz w:val="24"/>
          <w:szCs w:val="24"/>
          <w14:ligatures w14:val="standardContextual"/>
        </w:rPr>
      </w:pPr>
      <w:r>
        <w:rPr>
          <w:rFonts w:hint="eastAsia" w:ascii="Times New Roman" w:hAnsi="Times New Roman" w:eastAsia="Helvetica" w:cs="Times New Roman"/>
          <w:color w:val="282828"/>
          <w:sz w:val="24"/>
          <w:szCs w:val="24"/>
          <w14:ligatures w14:val="standardContextual"/>
        </w:rPr>
        <w:t>The C. elegans–related search terms (TS2) were defined as:</w:t>
      </w:r>
    </w:p>
    <w:p w14:paraId="79B40164">
      <w:pPr>
        <w:spacing w:after="0" w:line="360" w:lineRule="auto"/>
        <w:jc w:val="both"/>
        <w:rPr>
          <w:rFonts w:hint="eastAsia" w:ascii="Times New Roman" w:hAnsi="Times New Roman" w:eastAsia="Helvetica" w:cs="Times New Roman"/>
          <w:color w:val="282828"/>
          <w:sz w:val="24"/>
          <w:szCs w:val="24"/>
          <w14:ligatures w14:val="standardContextual"/>
        </w:rPr>
      </w:pPr>
      <w:r>
        <w:rPr>
          <w:rFonts w:hint="eastAsia" w:ascii="Times New Roman" w:hAnsi="Times New Roman" w:eastAsia="Helvetica" w:cs="Times New Roman"/>
          <w:color w:val="282828"/>
          <w:sz w:val="24"/>
          <w:szCs w:val="24"/>
          <w14:ligatures w14:val="standardContextual"/>
        </w:rPr>
        <w:t>TS2 = “elegan caenorhabditis” OR “caenorhabditis elegan*” OR “C elegans” OR “C. elegans”.</w:t>
      </w:r>
    </w:p>
    <w:p w14:paraId="42DDC50E">
      <w:pPr>
        <w:numPr>
          <w:ilvl w:val="0"/>
          <w:numId w:val="0"/>
        </w:numPr>
        <w:spacing w:after="0" w:line="360" w:lineRule="auto"/>
        <w:jc w:val="both"/>
        <w:rPr>
          <w:rFonts w:hint="eastAsia" w:ascii="Times New Roman" w:hAnsi="Times New Roman" w:eastAsia="Helvetica" w:cs="Times New Roman"/>
          <w:color w:val="282828"/>
          <w:sz w:val="24"/>
          <w:szCs w:val="24"/>
          <w14:ligatures w14:val="standardContextual"/>
        </w:rPr>
      </w:pPr>
      <w:r>
        <w:rPr>
          <w:rFonts w:hint="eastAsia" w:ascii="Times New Roman" w:hAnsi="Times New Roman" w:eastAsia="Helvetica" w:cs="Times New Roman"/>
          <w:color w:val="282828"/>
          <w:sz w:val="24"/>
          <w:szCs w:val="24"/>
          <w14:ligatures w14:val="standardContextual"/>
        </w:rPr>
        <w:t>The terms “elegan caenorhabditis” and “caenorhabditis elegan*” were deliberately retained to improve coverage of indexed variants and MeSH-related entry terms; manual review of selected retrieved records suggested that these variants did not introduce excessive irrelevant noise.</w:t>
      </w:r>
      <w:r>
        <w:rPr>
          <w:rFonts w:hint="eastAsia" w:ascii="Times New Roman" w:hAnsi="Times New Roman" w:eastAsia="宋体" w:cs="Times New Roman"/>
          <w:color w:val="282828"/>
          <w:sz w:val="24"/>
          <w:szCs w:val="24"/>
          <w:lang w:val="en-US" w:eastAsia="zh-CN"/>
          <w14:ligatures w14:val="standardContextual"/>
        </w:rPr>
        <w:t xml:space="preserve"> </w:t>
      </w:r>
      <w:r>
        <w:rPr>
          <w:rFonts w:hint="eastAsia" w:ascii="Times New Roman" w:hAnsi="Times New Roman" w:eastAsia="Helvetica" w:cs="Times New Roman"/>
          <w:color w:val="282828"/>
          <w:sz w:val="24"/>
          <w:szCs w:val="24"/>
          <w14:ligatures w14:val="standardContextual"/>
        </w:rPr>
        <w:t>The final search query was constructed as:</w:t>
      </w:r>
    </w:p>
    <w:tbl>
      <w:tblPr>
        <w:tblStyle w:val="5"/>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7"/>
      </w:tblGrid>
      <w:tr w14:paraId="1891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5" w:hRule="atLeast"/>
        </w:trPr>
        <w:tc>
          <w:tcPr>
            <w:tcW w:w="8387" w:type="dxa"/>
            <w:tcBorders>
              <w:top w:val="single" w:color="auto" w:sz="4" w:space="0"/>
              <w:left w:val="single" w:color="auto" w:sz="4" w:space="0"/>
              <w:bottom w:val="single" w:color="auto" w:sz="4" w:space="0"/>
              <w:right w:val="single" w:color="auto" w:sz="4" w:space="0"/>
            </w:tcBorders>
            <w:noWrap w:val="0"/>
            <w:vAlign w:val="top"/>
          </w:tcPr>
          <w:p w14:paraId="3ECFACEB">
            <w:pPr>
              <w:jc w:val="center"/>
              <w:rPr>
                <w:rFonts w:hint="default" w:ascii="Times New Roman" w:hAnsi="Times New Roman" w:eastAsiaTheme="minorEastAsia"/>
                <w:sz w:val="24"/>
                <w:szCs w:val="24"/>
                <w:lang w:val="en-US" w:eastAsia="zh-CN"/>
              </w:rPr>
            </w:pPr>
            <w:r>
              <w:rPr>
                <w:rFonts w:ascii="Times New Roman" w:hAnsi="Times New Roman"/>
                <w:sz w:val="24"/>
                <w:szCs w:val="24"/>
              </w:rPr>
              <w:t>Search strategy</w:t>
            </w:r>
            <w:r>
              <w:rPr>
                <w:rFonts w:hint="eastAsia" w:ascii="Times New Roman" w:hAnsi="Times New Roman"/>
                <w:sz w:val="24"/>
                <w:szCs w:val="24"/>
                <w:lang w:val="en-US" w:eastAsia="zh-CN"/>
              </w:rPr>
              <w:t xml:space="preserve"> (WOSCC)</w:t>
            </w:r>
          </w:p>
        </w:tc>
      </w:tr>
      <w:tr w14:paraId="71108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0" w:hRule="atLeast"/>
        </w:trPr>
        <w:tc>
          <w:tcPr>
            <w:tcW w:w="8387" w:type="dxa"/>
            <w:tcBorders>
              <w:top w:val="single" w:color="auto" w:sz="4" w:space="0"/>
              <w:left w:val="single" w:color="auto" w:sz="4" w:space="0"/>
              <w:bottom w:val="single" w:color="auto" w:sz="4" w:space="0"/>
              <w:right w:val="single" w:color="auto" w:sz="4" w:space="0"/>
            </w:tcBorders>
            <w:noWrap w:val="0"/>
            <w:vAlign w:val="top"/>
          </w:tcPr>
          <w:p w14:paraId="7937C8E2">
            <w:pPr>
              <w:rPr>
                <w:rFonts w:hint="eastAsia" w:ascii="Times New Roman" w:hAnsi="Times New Roman" w:eastAsia="Times New Roman"/>
                <w:sz w:val="24"/>
                <w:szCs w:val="24"/>
              </w:rPr>
            </w:pPr>
            <w:r>
              <w:rPr>
                <w:rFonts w:hint="eastAsia" w:ascii="Times New Roman" w:hAnsi="Times New Roman" w:eastAsia="Times New Roman"/>
                <w:sz w:val="24"/>
                <w:szCs w:val="24"/>
              </w:rPr>
              <w:t>((TS=("cancer*") OR TS=("tumor*") OR TS=("carcinoma*") OR TS=("neoplasia*") OR TS=("neoplasm*") OR TS=("malignanc*")) AND (TS=("elegan caenorhabditis") OR TS=("caenorhabditis elegan*") OR TS=("C elegans") OR TS=("C. elegans"))) AND 2025 or 2024 or 2023 or 2022 or 2021 or 2020 or 2019 or 2018 or 2017 or 2016 or 2015 or 2014 or 2013 or 2012 or 2011 or 2010 or 2009 or 2008 or 2007 or 2006 or 2005 (Publication Years) AND Article or Review Article (Document Types) AND English (Languages)</w:t>
            </w:r>
          </w:p>
          <w:p w14:paraId="4D786B3E">
            <w:pPr>
              <w:rPr>
                <w:rFonts w:hint="default" w:ascii="Times New Roman" w:hAnsi="Times New Roman" w:eastAsia="宋体"/>
                <w:sz w:val="24"/>
                <w:szCs w:val="24"/>
                <w:lang w:val="en-US" w:eastAsia="zh-CN"/>
              </w:rPr>
            </w:pPr>
            <w:r>
              <w:rPr>
                <w:rFonts w:ascii="Times New Roman" w:hAnsi="Times New Roman" w:eastAsia="Times New Roman"/>
                <w:b/>
                <w:bCs/>
                <w:sz w:val="24"/>
                <w:szCs w:val="24"/>
              </w:rPr>
              <w:t xml:space="preserve">Date Run: </w:t>
            </w:r>
            <w:r>
              <w:rPr>
                <w:rFonts w:hint="eastAsia" w:ascii="Times New Roman" w:hAnsi="Times New Roman" w:eastAsia="Times New Roman"/>
                <w:b/>
                <w:bCs/>
                <w:sz w:val="24"/>
                <w:szCs w:val="24"/>
              </w:rPr>
              <w:t>October 31, 2025</w:t>
            </w:r>
            <w:r>
              <w:rPr>
                <w:rFonts w:ascii="Times New Roman" w:hAnsi="Times New Roman" w:eastAsia="Times New Roman"/>
                <w:b/>
                <w:bCs/>
                <w:sz w:val="24"/>
                <w:szCs w:val="24"/>
              </w:rPr>
              <w:t xml:space="preserve"> </w:t>
            </w:r>
            <w:r>
              <w:rPr>
                <w:rFonts w:ascii="Times New Roman" w:hAnsi="Times New Roman" w:eastAsia="Times New Roman"/>
                <w:b/>
                <w:bCs/>
                <w:sz w:val="24"/>
                <w:szCs w:val="24"/>
              </w:rPr>
              <w:tab/>
            </w:r>
            <w:r>
              <w:rPr>
                <w:rFonts w:ascii="Times New Roman" w:hAnsi="Times New Roman" w:eastAsia="Times New Roman"/>
                <w:b/>
                <w:bCs/>
                <w:sz w:val="24"/>
                <w:szCs w:val="24"/>
              </w:rPr>
              <w:t xml:space="preserve">Results: </w:t>
            </w:r>
            <w:r>
              <w:rPr>
                <w:rFonts w:hint="eastAsia" w:ascii="Times New Roman" w:hAnsi="Times New Roman" w:eastAsia="宋体"/>
                <w:b/>
                <w:bCs/>
                <w:sz w:val="24"/>
                <w:szCs w:val="24"/>
                <w:lang w:val="en-US" w:eastAsia="zh-CN"/>
              </w:rPr>
              <w:t>3417</w:t>
            </w:r>
          </w:p>
        </w:tc>
      </w:tr>
      <w:tr w14:paraId="7AC2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8387" w:type="dxa"/>
            <w:tcBorders>
              <w:top w:val="single" w:color="auto" w:sz="4" w:space="0"/>
              <w:left w:val="single" w:color="auto" w:sz="4" w:space="0"/>
              <w:bottom w:val="single" w:color="auto" w:sz="4" w:space="0"/>
              <w:right w:val="single" w:color="auto" w:sz="4" w:space="0"/>
            </w:tcBorders>
            <w:noWrap w:val="0"/>
            <w:vAlign w:val="top"/>
          </w:tcPr>
          <w:p w14:paraId="76CB7E6E">
            <w:pPr>
              <w:jc w:val="center"/>
              <w:rPr>
                <w:rFonts w:hint="default" w:ascii="Times New Roman" w:hAnsi="Times New Roman" w:eastAsiaTheme="minorEastAsia"/>
                <w:sz w:val="24"/>
                <w:szCs w:val="24"/>
                <w:lang w:val="en-US" w:eastAsia="zh-CN"/>
              </w:rPr>
            </w:pPr>
            <w:r>
              <w:rPr>
                <w:rFonts w:ascii="Times New Roman" w:hAnsi="Times New Roman"/>
                <w:sz w:val="24"/>
                <w:szCs w:val="24"/>
              </w:rPr>
              <w:t>Search strategy</w:t>
            </w:r>
            <w:r>
              <w:rPr>
                <w:rFonts w:hint="eastAsia" w:ascii="Times New Roman" w:hAnsi="Times New Roman"/>
                <w:sz w:val="24"/>
                <w:szCs w:val="24"/>
                <w:lang w:val="en-US" w:eastAsia="zh-CN"/>
              </w:rPr>
              <w:t xml:space="preserve"> (scopus)</w:t>
            </w:r>
          </w:p>
        </w:tc>
      </w:tr>
      <w:tr w14:paraId="0D87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0" w:hRule="atLeast"/>
        </w:trPr>
        <w:tc>
          <w:tcPr>
            <w:tcW w:w="8387" w:type="dxa"/>
            <w:tcBorders>
              <w:top w:val="single" w:color="auto" w:sz="4" w:space="0"/>
              <w:left w:val="single" w:color="auto" w:sz="4" w:space="0"/>
              <w:bottom w:val="single" w:color="auto" w:sz="4" w:space="0"/>
              <w:right w:val="single" w:color="auto" w:sz="4" w:space="0"/>
            </w:tcBorders>
            <w:noWrap w:val="0"/>
            <w:vAlign w:val="top"/>
          </w:tcPr>
          <w:p w14:paraId="37D5A84C">
            <w:pPr>
              <w:rPr>
                <w:rFonts w:hint="eastAsia" w:ascii="Times New Roman" w:hAnsi="Times New Roman" w:eastAsia="Times New Roman"/>
                <w:sz w:val="24"/>
                <w:szCs w:val="24"/>
              </w:rPr>
            </w:pPr>
            <w:r>
              <w:rPr>
                <w:rFonts w:hint="eastAsia" w:ascii="Times New Roman" w:hAnsi="Times New Roman" w:eastAsia="Times New Roman"/>
                <w:sz w:val="24"/>
                <w:szCs w:val="24"/>
              </w:rPr>
              <w:t xml:space="preserve">(TITLE-ABS-KEY("cancer*") OR TITLE-ABS-KEY("tumor*") OR TITLE-ABS-KEY("carcinoma*") OR TITLE-ABS-KEY("neoplasia*") OR TITLE-ABS-KEY("neoplasm*") OR TITLE-ABS-KEY("malignanc*")) AND (TITLE-ABS-KEY("elegan caenorhabditis") OR TITLE-ABS-KEY("caenorhabditis elegan*") OR TITLE-ABS-KEY("C elegans") OR TITLE-ABS-KEY("C. elegans")) </w:t>
            </w:r>
          </w:p>
          <w:p w14:paraId="58D49224">
            <w:pPr>
              <w:rPr>
                <w:rFonts w:hint="default" w:ascii="Times New Roman" w:hAnsi="Times New Roman" w:eastAsia="宋体"/>
                <w:sz w:val="24"/>
                <w:szCs w:val="24"/>
                <w:lang w:val="en-US" w:eastAsia="zh-CN"/>
              </w:rPr>
            </w:pPr>
            <w:r>
              <w:rPr>
                <w:rFonts w:ascii="Times New Roman" w:hAnsi="Times New Roman" w:eastAsia="Times New Roman"/>
                <w:b/>
                <w:bCs/>
                <w:sz w:val="24"/>
                <w:szCs w:val="24"/>
              </w:rPr>
              <w:t xml:space="preserve">Date Run: </w:t>
            </w:r>
            <w:r>
              <w:rPr>
                <w:rFonts w:hint="eastAsia" w:ascii="Times New Roman" w:hAnsi="Times New Roman" w:eastAsia="Times New Roman"/>
                <w:b/>
                <w:bCs/>
                <w:sz w:val="24"/>
                <w:szCs w:val="24"/>
              </w:rPr>
              <w:t>October 31, 2025</w:t>
            </w:r>
            <w:r>
              <w:rPr>
                <w:rFonts w:ascii="Times New Roman" w:hAnsi="Times New Roman" w:eastAsia="Times New Roman"/>
                <w:b/>
                <w:bCs/>
                <w:sz w:val="24"/>
                <w:szCs w:val="24"/>
              </w:rPr>
              <w:t xml:space="preserve"> </w:t>
            </w:r>
            <w:r>
              <w:rPr>
                <w:rFonts w:ascii="Times New Roman" w:hAnsi="Times New Roman" w:eastAsia="Times New Roman"/>
                <w:b/>
                <w:bCs/>
                <w:sz w:val="24"/>
                <w:szCs w:val="24"/>
              </w:rPr>
              <w:tab/>
            </w:r>
            <w:r>
              <w:rPr>
                <w:rFonts w:ascii="Times New Roman" w:hAnsi="Times New Roman" w:eastAsia="Times New Roman"/>
                <w:b/>
                <w:bCs/>
                <w:sz w:val="24"/>
                <w:szCs w:val="24"/>
              </w:rPr>
              <w:t xml:space="preserve">Results: </w:t>
            </w:r>
            <w:r>
              <w:rPr>
                <w:rFonts w:hint="eastAsia" w:ascii="Times New Roman" w:hAnsi="Times New Roman" w:eastAsia="宋体"/>
                <w:b/>
                <w:bCs/>
                <w:sz w:val="24"/>
                <w:szCs w:val="24"/>
                <w:lang w:val="en-US" w:eastAsia="zh-CN"/>
              </w:rPr>
              <w:t>3328</w:t>
            </w:r>
          </w:p>
        </w:tc>
      </w:tr>
    </w:tbl>
    <w:p w14:paraId="1ECBBCED">
      <w:pPr>
        <w:spacing w:after="0" w:line="360" w:lineRule="auto"/>
        <w:jc w:val="both"/>
        <w:rPr>
          <w:rFonts w:hint="default" w:ascii="Times New Roman" w:hAnsi="Times New Roman" w:eastAsia="Helvetica" w:cs="Times New Roman"/>
          <w:color w:val="282828"/>
          <w:sz w:val="24"/>
          <w:szCs w:val="24"/>
          <w14:ligatures w14:val="standardContextual"/>
        </w:rPr>
      </w:pPr>
    </w:p>
    <w:p w14:paraId="0E45B6F9">
      <w:pPr>
        <w:numPr>
          <w:ilvl w:val="0"/>
          <w:numId w:val="1"/>
        </w:numPr>
        <w:spacing w:after="0" w:line="360" w:lineRule="auto"/>
        <w:ind w:left="0" w:leftChars="0" w:firstLine="0" w:firstLineChars="0"/>
        <w:jc w:val="both"/>
        <w:rPr>
          <w:rFonts w:hint="default" w:ascii="Times New Roman" w:hAnsi="Times New Roman" w:eastAsia="Helvetica" w:cs="Times New Roman"/>
          <w:color w:val="282828"/>
          <w:sz w:val="24"/>
          <w:szCs w:val="24"/>
          <w14:ligatures w14:val="standardContextual"/>
        </w:rPr>
      </w:pPr>
      <w:r>
        <w:rPr>
          <w:rFonts w:hint="default" w:ascii="Times New Roman" w:hAnsi="Times New Roman" w:eastAsia="Helvetica" w:cs="Times New Roman"/>
          <w:b/>
          <w:bCs/>
          <w:color w:val="282828"/>
          <w:sz w:val="24"/>
          <w:szCs w:val="24"/>
          <w14:ligatures w14:val="standardContextual"/>
        </w:rPr>
        <w:t>data cleaning and standardization</w:t>
      </w:r>
    </w:p>
    <w:p w14:paraId="45D60CF2">
      <w:pPr>
        <w:spacing w:after="0" w:line="360" w:lineRule="auto"/>
        <w:jc w:val="both"/>
        <w:rPr>
          <w:rFonts w:hint="eastAsia" w:ascii="Times New Roman" w:hAnsi="Times New Roman" w:eastAsia="宋体" w:cs="Times New Roman"/>
          <w:b/>
          <w:bCs/>
          <w:color w:val="282828"/>
          <w:sz w:val="24"/>
          <w:szCs w:val="24"/>
          <w:lang w:val="en-US" w:eastAsia="zh-CN"/>
          <w14:ligatures w14:val="standardContextual"/>
        </w:rPr>
      </w:pPr>
      <w:r>
        <w:rPr>
          <w:rFonts w:hint="eastAsia" w:ascii="Times New Roman" w:hAnsi="Times New Roman" w:eastAsia="宋体" w:cs="Times New Roman"/>
          <w:b/>
          <w:bCs/>
          <w:color w:val="282828"/>
          <w:sz w:val="24"/>
          <w:szCs w:val="24"/>
          <w:lang w:val="en-US" w:eastAsia="zh-CN"/>
          <w14:ligatures w14:val="standardContextual"/>
        </w:rPr>
        <w:t xml:space="preserve">2.1 </w:t>
      </w:r>
      <w:r>
        <w:rPr>
          <w:rFonts w:hint="default" w:ascii="Times New Roman" w:hAnsi="Times New Roman" w:eastAsia="Helvetica" w:cs="Times New Roman"/>
          <w:b/>
          <w:bCs/>
          <w:color w:val="282828"/>
          <w:sz w:val="24"/>
          <w:szCs w:val="24"/>
          <w14:ligatures w14:val="standardContextual"/>
        </w:rPr>
        <w:t>Institutional data cleaning for Scopus records</w:t>
      </w:r>
    </w:p>
    <w:p w14:paraId="3E7437C1">
      <w:pPr>
        <w:spacing w:after="0" w:line="360" w:lineRule="auto"/>
        <w:jc w:val="both"/>
        <w:rPr>
          <w:rFonts w:hint="eastAsia" w:ascii="Times New Roman" w:hAnsi="Times New Roman" w:eastAsia="Helvetica" w:cs="Times New Roman"/>
          <w:color w:val="282828"/>
          <w:sz w:val="24"/>
          <w:szCs w:val="24"/>
          <w:lang w:val="en-US" w:eastAsia="zh-CN"/>
          <w14:ligatures w14:val="standardContextual"/>
        </w:rPr>
      </w:pPr>
      <w:r>
        <w:rPr>
          <w:rFonts w:hint="eastAsia" w:ascii="Times New Roman" w:hAnsi="Times New Roman" w:eastAsia="Helvetica" w:cs="Times New Roman"/>
          <w:color w:val="282828"/>
          <w:sz w:val="24"/>
          <w:szCs w:val="24"/>
          <w:lang w:val="en-US" w:eastAsia="zh-CN"/>
          <w14:ligatures w14:val="standardContextual"/>
        </w:rPr>
        <w:t>The literature data were downloaded in plain-text and CSV formats, including full bibliographic information such as title, authors, affiliations, country, publication year, abstract, keywords, and references. Python (version 3.11) was used for file-format conversion and data cleaning. CSV files downloaded from Scopus were first converted into Web of Science-compatible plain-text format (full records and cited references), after which the combined dataset was processed in Python. Duplicate records were identified and removed based on DOI matching. Records containing “[Anonymous]” were excluded. In addition, virtual institutions (i.e., non-substantive or platform-based affiliation entities that do not represent actual research-performing organizations), such as “Egyptian Knowledge Bank (EKB),” were removed. Institutional name variants referring to the same entity were standardized and merged to improve consistency in affiliation analysis.</w:t>
      </w:r>
    </w:p>
    <w:p w14:paraId="6AF361EC">
      <w:pPr>
        <w:spacing w:after="0" w:line="360" w:lineRule="auto"/>
        <w:jc w:val="both"/>
        <w:rPr>
          <w:rFonts w:hint="default" w:ascii="Times New Roman" w:hAnsi="Times New Roman" w:eastAsia="Helvetica" w:cs="Times New Roman"/>
          <w:color w:val="282828"/>
          <w:sz w:val="24"/>
          <w:szCs w:val="24"/>
          <w:lang w:val="en-US" w:eastAsia="zh-CN"/>
          <w14:ligatures w14:val="standardContextual"/>
        </w:rPr>
      </w:pPr>
      <w:r>
        <w:rPr>
          <w:rFonts w:hint="eastAsia" w:ascii="Times New Roman" w:hAnsi="Times New Roman" w:eastAsia="Helvetica" w:cs="Times New Roman"/>
          <w:color w:val="282828"/>
          <w:sz w:val="24"/>
          <w:szCs w:val="24"/>
          <w:lang w:val="en-US" w:eastAsia="zh-CN"/>
          <w14:ligatures w14:val="standardContextual"/>
        </w:rPr>
        <w:t>For Scopus records, institutional standardization was conducted using a predefined 13-level priority keyword system. For each author address string, affiliation information was parsed and matched step by step according to the following priority order: universities, government agencies, research institutes, colleges, hospitals, departments, laboratories, centers, enterprises, engineering and technology institutions, clinical medical institutions, and specific known institution names. Once a match was identified, the corresponding subfield containing the keyword was extracted as the author’s affiliation institution. This hierarchical rule-based procedure was designed to prioritize the most academically representative institutional unit within multi-level address strings and to improve consistency in institutional standardization while reducing subjective bias.</w:t>
      </w:r>
    </w:p>
    <w:p w14:paraId="245BD491">
      <w:pPr>
        <w:numPr>
          <w:ilvl w:val="0"/>
          <w:numId w:val="0"/>
        </w:numPr>
        <w:spacing w:after="0" w:line="360" w:lineRule="auto"/>
        <w:ind w:leftChars="0"/>
        <w:jc w:val="both"/>
        <w:rPr>
          <w:rFonts w:hint="default" w:ascii="Times New Roman" w:hAnsi="Times New Roman" w:eastAsia="Helvetica" w:cs="Times New Roman"/>
          <w:color w:val="282828"/>
          <w:sz w:val="24"/>
          <w:szCs w:val="24"/>
          <w14:ligatures w14:val="standardContextual"/>
        </w:rPr>
      </w:pPr>
      <w:r>
        <w:rPr>
          <w:rFonts w:hint="eastAsia" w:ascii="Times New Roman" w:hAnsi="Times New Roman" w:eastAsia="宋体" w:cs="Times New Roman"/>
          <w:b/>
          <w:bCs/>
          <w:color w:val="282828"/>
          <w:sz w:val="24"/>
          <w:szCs w:val="24"/>
          <w:lang w:val="en-US" w:eastAsia="zh-CN"/>
          <w14:ligatures w14:val="standardContextual"/>
        </w:rPr>
        <w:t xml:space="preserve">2.2 </w:t>
      </w:r>
      <w:r>
        <w:rPr>
          <w:rFonts w:hint="default" w:ascii="Times New Roman" w:hAnsi="Times New Roman" w:eastAsia="Helvetica" w:cs="Times New Roman"/>
          <w:b/>
          <w:bCs/>
          <w:color w:val="282828"/>
          <w:sz w:val="24"/>
          <w:szCs w:val="24"/>
          <w14:ligatures w14:val="standardContextual"/>
        </w:rPr>
        <w:t>Author data cleaning and standardization</w:t>
      </w:r>
    </w:p>
    <w:p w14:paraId="244625C5">
      <w:pPr>
        <w:spacing w:after="0" w:line="360" w:lineRule="auto"/>
        <w:jc w:val="both"/>
        <w:rPr>
          <w:rFonts w:hint="default" w:ascii="Times New Roman" w:hAnsi="Times New Roman" w:eastAsia="Helvetica" w:cs="Times New Roman"/>
          <w:color w:val="282828"/>
          <w:sz w:val="24"/>
          <w:szCs w:val="24"/>
          <w14:ligatures w14:val="standardContextual"/>
        </w:rPr>
      </w:pPr>
      <w:r>
        <w:rPr>
          <w:rFonts w:hint="default" w:ascii="Times New Roman" w:hAnsi="Times New Roman" w:eastAsia="Helvetica" w:cs="Times New Roman"/>
          <w:color w:val="282828"/>
          <w:sz w:val="24"/>
          <w:szCs w:val="24"/>
          <w14:ligatures w14:val="standardContextual"/>
        </w:rPr>
        <w:t>Author-level data cleaning and standardization were performed during the initial data-processing stage to improve consistency between records exported from the Web of Science Core Collection (WoSCC) and Scopus. WoSCC author information was retained in its original format. For Scopus records, author names were cleaned and reformatted before dataset integration.</w:t>
      </w:r>
    </w:p>
    <w:p w14:paraId="1FF0AFBB">
      <w:pPr>
        <w:spacing w:after="0" w:line="360" w:lineRule="auto"/>
        <w:jc w:val="both"/>
        <w:rPr>
          <w:rFonts w:hint="default" w:ascii="Times New Roman" w:hAnsi="Times New Roman" w:eastAsia="Helvetica" w:cs="Times New Roman"/>
          <w:color w:val="282828"/>
          <w:sz w:val="24"/>
          <w:szCs w:val="24"/>
          <w14:ligatures w14:val="standardContextual"/>
        </w:rPr>
      </w:pPr>
      <w:r>
        <w:rPr>
          <w:rFonts w:hint="default" w:ascii="Times New Roman" w:hAnsi="Times New Roman" w:eastAsia="Helvetica" w:cs="Times New Roman"/>
          <w:color w:val="282828"/>
          <w:sz w:val="24"/>
          <w:szCs w:val="24"/>
          <w14:ligatures w14:val="standardContextual"/>
        </w:rPr>
        <w:t>First, bracketed content in the full author-name field was removed, as these elements usually represented institutional identifiers, ORCID-related information, or other auxiliary metadata rather than author names. Second, multiple authors listed in a single field were separated into individual author entries using semicolons as delimiters, and leading or trailing spaces were trimmed from each name.</w:t>
      </w:r>
    </w:p>
    <w:p w14:paraId="273643E8">
      <w:pPr>
        <w:spacing w:after="0" w:line="360" w:lineRule="auto"/>
        <w:jc w:val="both"/>
        <w:rPr>
          <w:rFonts w:hint="default" w:ascii="Times New Roman" w:hAnsi="Times New Roman" w:eastAsia="Helvetica" w:cs="Times New Roman"/>
          <w:color w:val="282828"/>
          <w:sz w:val="24"/>
          <w:szCs w:val="24"/>
          <w14:ligatures w14:val="standardContextual"/>
        </w:rPr>
      </w:pPr>
      <w:r>
        <w:rPr>
          <w:rFonts w:hint="default" w:ascii="Times New Roman" w:hAnsi="Times New Roman" w:eastAsia="Helvetica" w:cs="Times New Roman"/>
          <w:color w:val="282828"/>
          <w:sz w:val="24"/>
          <w:szCs w:val="24"/>
          <w14:ligatures w14:val="standardContextual"/>
        </w:rPr>
        <w:t>Third, the cleaned full author names were reformatted into Web of Science-compatible AF (full author name) format. In this step, the first author entry was marked with the “AF” prefix, and subsequent author names were aligned in the same multiline style used in WoSCC records. Fourth, abbreviated author names were generated in AU format. For each author, the surname and given-name components were separated by commas where possible, and the initials of all given and middle names were extracted and converted to uppercase. The final abbreviated form followed the pattern “Surname, Initials” (for example, “Smith, John William” was standardized as “Smith, JW”). If a name did not conform to the expected “Surname, Given name” structure, the original cleaned form was retained to preserve robustness.</w:t>
      </w:r>
    </w:p>
    <w:p w14:paraId="27191335">
      <w:pPr>
        <w:spacing w:after="0" w:line="360" w:lineRule="auto"/>
        <w:jc w:val="both"/>
        <w:rPr>
          <w:rFonts w:hint="default" w:ascii="Times New Roman" w:hAnsi="Times New Roman" w:eastAsia="Helvetica" w:cs="Times New Roman"/>
          <w:color w:val="282828"/>
          <w:sz w:val="24"/>
          <w:szCs w:val="24"/>
          <w14:ligatures w14:val="standardContextual"/>
        </w:rPr>
      </w:pPr>
      <w:r>
        <w:rPr>
          <w:rFonts w:hint="default" w:ascii="Times New Roman" w:hAnsi="Times New Roman" w:eastAsia="Helvetica" w:cs="Times New Roman"/>
          <w:color w:val="282828"/>
          <w:sz w:val="24"/>
          <w:szCs w:val="24"/>
          <w14:ligatures w14:val="standardContextual"/>
        </w:rPr>
        <w:t>The purpose of this procedure was to harmonize author-name fields across databases and facilitate subsequent bibliometric analyses after merging WoSCC and Scopus records. However, despite these cleaning and standardization steps, residual ambiguity caused by homonyms, name variants, or incomplete citation linkage may still affect author-level bibliometric indicators.</w:t>
      </w:r>
    </w:p>
    <w:p w14:paraId="70C92CA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eastAsia="Helvetica" w:cs="Times New Roman"/>
          <w:b/>
          <w:bCs/>
          <w:color w:val="282828"/>
          <w:kern w:val="2"/>
          <w:sz w:val="24"/>
          <w:szCs w:val="24"/>
          <w:lang w:val="en-US" w:eastAsia="zh-CN" w:bidi="ar-SA"/>
          <w14:ligatures w14:val="standardContextual"/>
        </w:rPr>
      </w:pPr>
    </w:p>
    <w:p w14:paraId="614872B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eastAsia="Helvetica" w:cs="Times New Roman"/>
          <w:b/>
          <w:bCs/>
          <w:color w:val="282828"/>
          <w:kern w:val="2"/>
          <w:sz w:val="24"/>
          <w:szCs w:val="24"/>
          <w:lang w:val="en-US" w:eastAsia="zh-CN" w:bidi="ar-SA"/>
          <w14:ligatures w14:val="standardContextual"/>
        </w:rPr>
      </w:pPr>
    </w:p>
    <w:p w14:paraId="3773BEF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eastAsia="Helvetica" w:cs="Times New Roman"/>
          <w:b/>
          <w:bCs/>
          <w:color w:val="282828"/>
          <w:kern w:val="2"/>
          <w:sz w:val="24"/>
          <w:szCs w:val="24"/>
          <w:lang w:val="en-US" w:eastAsia="zh-CN" w:bidi="ar-SA"/>
          <w14:ligatures w14:val="standardContextual"/>
        </w:rPr>
      </w:pPr>
    </w:p>
    <w:p w14:paraId="56F4ABB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eastAsia="Helvetica" w:cs="Times New Roman"/>
          <w:b/>
          <w:bCs/>
          <w:color w:val="282828"/>
          <w:kern w:val="2"/>
          <w:sz w:val="24"/>
          <w:szCs w:val="24"/>
          <w:lang w:val="en-US" w:eastAsia="zh-CN" w:bidi="ar-SA"/>
          <w14:ligatures w14:val="standardContextual"/>
        </w:rPr>
      </w:pPr>
    </w:p>
    <w:p w14:paraId="36AFFF3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eastAsia="Helvetica" w:cs="Times New Roman"/>
          <w:b/>
          <w:bCs/>
          <w:color w:val="282828"/>
          <w:kern w:val="2"/>
          <w:sz w:val="24"/>
          <w:szCs w:val="24"/>
          <w:lang w:val="en-US" w:eastAsia="zh-CN" w:bidi="ar-SA"/>
          <w14:ligatures w14:val="standardContextual"/>
        </w:rPr>
      </w:pPr>
    </w:p>
    <w:p w14:paraId="2870420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eastAsia="Helvetica" w:cs="Times New Roman"/>
          <w:b/>
          <w:bCs/>
          <w:color w:val="282828"/>
          <w:kern w:val="2"/>
          <w:sz w:val="24"/>
          <w:szCs w:val="24"/>
          <w:lang w:val="en-US" w:eastAsia="zh-CN" w:bidi="ar-SA"/>
          <w14:ligatures w14:val="standardContextual"/>
        </w:rPr>
      </w:pPr>
    </w:p>
    <w:p w14:paraId="0BD1426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eastAsia="Helvetica" w:cs="Times New Roman"/>
          <w:b/>
          <w:bCs/>
          <w:color w:val="282828"/>
          <w:kern w:val="2"/>
          <w:sz w:val="24"/>
          <w:szCs w:val="24"/>
          <w:lang w:val="en-US" w:eastAsia="zh-CN" w:bidi="ar-SA"/>
          <w14:ligatures w14:val="standardContextual"/>
        </w:rPr>
      </w:pPr>
    </w:p>
    <w:p w14:paraId="11B723D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eastAsia="Helvetica" w:cs="Times New Roman"/>
          <w:b/>
          <w:bCs/>
          <w:color w:val="282828"/>
          <w:kern w:val="2"/>
          <w:sz w:val="24"/>
          <w:szCs w:val="24"/>
          <w:lang w:val="en-US" w:eastAsia="zh-CN" w:bidi="ar-SA"/>
          <w14:ligatures w14:val="standardContextual"/>
        </w:rPr>
      </w:pPr>
    </w:p>
    <w:p w14:paraId="24A6EB4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Helvetica" w:cs="Times New Roman"/>
          <w:b/>
          <w:bCs/>
          <w:color w:val="282828"/>
          <w:kern w:val="2"/>
          <w:sz w:val="24"/>
          <w:szCs w:val="24"/>
          <w:lang w:val="en-US" w:eastAsia="zh-CN" w:bidi="ar-SA"/>
          <w14:ligatures w14:val="standardContextual"/>
        </w:rPr>
      </w:pPr>
      <w:bookmarkStart w:id="0" w:name="_GoBack"/>
      <w:bookmarkEnd w:id="0"/>
      <w:r>
        <w:rPr>
          <w:rFonts w:hint="eastAsia" w:ascii="Times New Roman" w:hAnsi="Times New Roman" w:eastAsia="Helvetica" w:cs="Times New Roman"/>
          <w:b/>
          <w:bCs/>
          <w:color w:val="282828"/>
          <w:kern w:val="2"/>
          <w:sz w:val="24"/>
          <w:szCs w:val="24"/>
          <w:lang w:val="en-US" w:eastAsia="zh-CN" w:bidi="ar-SA"/>
          <w14:ligatures w14:val="standardContextual"/>
        </w:rPr>
        <w:t>3</w:t>
      </w:r>
      <w:r>
        <w:rPr>
          <w:rFonts w:hint="default" w:ascii="Times New Roman" w:hAnsi="Times New Roman" w:eastAsia="Helvetica" w:cs="Times New Roman"/>
          <w:b/>
          <w:bCs/>
          <w:color w:val="282828"/>
          <w:kern w:val="2"/>
          <w:sz w:val="24"/>
          <w:szCs w:val="24"/>
          <w:lang w:val="en-US" w:eastAsia="zh-CN" w:bidi="ar-SA"/>
          <w14:ligatures w14:val="standardContextual"/>
        </w:rPr>
        <w:t>. Bibliometric analysis parameter settings</w:t>
      </w:r>
    </w:p>
    <w:p w14:paraId="49A56923">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cs="Times New Roman"/>
          <w:sz w:val="24"/>
          <w:szCs w:val="24"/>
        </w:rPr>
        <w:t>.1. CiteSpace parameter settings</w:t>
      </w:r>
    </w:p>
    <w:p w14:paraId="7D5130B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 xml:space="preserve">CiteSpace (version 6.3.R3, 64-bit) was used for co-citation, burst-detection, and clustering analyses. The time slicing was set from </w:t>
      </w:r>
      <w:r>
        <w:rPr>
          <w:rStyle w:val="7"/>
          <w:rFonts w:hint="default" w:ascii="Times New Roman" w:hAnsi="Times New Roman" w:cs="Times New Roman"/>
          <w:sz w:val="24"/>
          <w:szCs w:val="24"/>
        </w:rPr>
        <w:t>January 2005 to</w:t>
      </w:r>
      <w:r>
        <w:rPr>
          <w:rStyle w:val="7"/>
          <w:rFonts w:hint="default" w:ascii="Times New Roman" w:hAnsi="Times New Roman" w:eastAsia="宋体" w:cs="Times New Roman"/>
          <w:sz w:val="24"/>
          <w:szCs w:val="24"/>
        </w:rPr>
        <w:t xml:space="preserve"> October</w:t>
      </w:r>
      <w:r>
        <w:rPr>
          <w:rStyle w:val="7"/>
          <w:rFonts w:hint="eastAsia" w:ascii="Times New Roman" w:hAnsi="Times New Roman" w:eastAsia="宋体" w:cs="Times New Roman"/>
          <w:sz w:val="24"/>
          <w:szCs w:val="24"/>
          <w:lang w:val="en-US" w:eastAsia="zh-CN"/>
        </w:rPr>
        <w:t xml:space="preserve"> </w:t>
      </w:r>
      <w:r>
        <w:rPr>
          <w:rStyle w:val="7"/>
          <w:rFonts w:hint="default" w:ascii="Times New Roman" w:hAnsi="Times New Roman" w:eastAsia="宋体" w:cs="Times New Roman"/>
          <w:sz w:val="24"/>
          <w:szCs w:val="24"/>
        </w:rPr>
        <w:t>2025,</w:t>
      </w:r>
      <w:r>
        <w:rPr>
          <w:rFonts w:hint="default" w:ascii="Times New Roman" w:hAnsi="Times New Roman" w:cs="Times New Roman"/>
          <w:sz w:val="24"/>
          <w:szCs w:val="24"/>
        </w:rPr>
        <w:t xml:space="preserve"> with a slice length of </w:t>
      </w:r>
      <w:r>
        <w:rPr>
          <w:rStyle w:val="7"/>
          <w:rFonts w:hint="default" w:ascii="Times New Roman" w:hAnsi="Times New Roman" w:cs="Times New Roman"/>
          <w:sz w:val="24"/>
          <w:szCs w:val="24"/>
        </w:rPr>
        <w:t>1 month</w:t>
      </w:r>
      <w:r>
        <w:rPr>
          <w:rFonts w:hint="default" w:ascii="Times New Roman" w:hAnsi="Times New Roman" w:cs="Times New Roman"/>
          <w:sz w:val="24"/>
          <w:szCs w:val="24"/>
        </w:rPr>
        <w:t xml:space="preserve">. Term sources included </w:t>
      </w:r>
      <w:r>
        <w:rPr>
          <w:rStyle w:val="7"/>
          <w:rFonts w:hint="default" w:ascii="Times New Roman" w:hAnsi="Times New Roman" w:cs="Times New Roman"/>
          <w:sz w:val="24"/>
          <w:szCs w:val="24"/>
        </w:rPr>
        <w:t>title, abstract, author keywords (DE), and Keywords Plus (ID)</w:t>
      </w:r>
      <w:r>
        <w:rPr>
          <w:rFonts w:hint="default" w:ascii="Times New Roman" w:hAnsi="Times New Roman" w:cs="Times New Roman"/>
          <w:sz w:val="24"/>
          <w:szCs w:val="24"/>
        </w:rPr>
        <w:t xml:space="preserve">. Depending on the analysis objective, node types included </w:t>
      </w:r>
      <w:r>
        <w:rPr>
          <w:rStyle w:val="7"/>
          <w:rFonts w:hint="default" w:ascii="Times New Roman" w:hAnsi="Times New Roman" w:cs="Times New Roman"/>
          <w:sz w:val="24"/>
          <w:szCs w:val="24"/>
        </w:rPr>
        <w:t>authors, institutions, countries, keywords, cited references, cited authors, and cited journals</w:t>
      </w:r>
      <w:r>
        <w:rPr>
          <w:rFonts w:hint="default" w:ascii="Times New Roman" w:hAnsi="Times New Roman" w:cs="Times New Roman"/>
          <w:sz w:val="24"/>
          <w:szCs w:val="24"/>
        </w:rPr>
        <w:t xml:space="preserve">. Link strength was calculated using </w:t>
      </w:r>
      <w:r>
        <w:rPr>
          <w:rStyle w:val="7"/>
          <w:rFonts w:hint="default" w:ascii="Times New Roman" w:hAnsi="Times New Roman" w:cs="Times New Roman"/>
          <w:sz w:val="24"/>
          <w:szCs w:val="24"/>
        </w:rPr>
        <w:t>Cosine</w:t>
      </w:r>
      <w:r>
        <w:rPr>
          <w:rFonts w:hint="default" w:ascii="Times New Roman" w:hAnsi="Times New Roman" w:cs="Times New Roman"/>
          <w:sz w:val="24"/>
          <w:szCs w:val="24"/>
        </w:rPr>
        <w:t xml:space="preserve">, and the scope was set to </w:t>
      </w:r>
      <w:r>
        <w:rPr>
          <w:rStyle w:val="7"/>
          <w:rFonts w:hint="default" w:ascii="Times New Roman" w:hAnsi="Times New Roman" w:cs="Times New Roman"/>
          <w:sz w:val="24"/>
          <w:szCs w:val="24"/>
        </w:rPr>
        <w:t>Within Slices</w:t>
      </w:r>
      <w:r>
        <w:rPr>
          <w:rFonts w:hint="default" w:ascii="Times New Roman" w:hAnsi="Times New Roman" w:cs="Times New Roman"/>
          <w:sz w:val="24"/>
          <w:szCs w:val="24"/>
        </w:rPr>
        <w:t xml:space="preserve">. Node selection was based on the </w:t>
      </w:r>
      <w:r>
        <w:rPr>
          <w:rStyle w:val="7"/>
          <w:rFonts w:hint="default" w:ascii="Times New Roman" w:hAnsi="Times New Roman" w:cs="Times New Roman"/>
          <w:sz w:val="24"/>
          <w:szCs w:val="24"/>
        </w:rPr>
        <w:t>g-index</w:t>
      </w:r>
      <w:r>
        <w:rPr>
          <w:rFonts w:hint="default" w:ascii="Times New Roman" w:hAnsi="Times New Roman" w:cs="Times New Roman"/>
          <w:sz w:val="24"/>
          <w:szCs w:val="24"/>
        </w:rPr>
        <w:t xml:space="preserve"> with </w:t>
      </w:r>
      <w:r>
        <w:rPr>
          <w:rStyle w:val="7"/>
          <w:rFonts w:hint="default" w:ascii="Times New Roman" w:hAnsi="Times New Roman" w:cs="Times New Roman"/>
          <w:sz w:val="24"/>
          <w:szCs w:val="24"/>
        </w:rPr>
        <w:t>k = 25</w:t>
      </w:r>
      <w:r>
        <w:rPr>
          <w:rFonts w:hint="default" w:ascii="Times New Roman" w:hAnsi="Times New Roman" w:cs="Times New Roman"/>
          <w:sz w:val="24"/>
          <w:szCs w:val="24"/>
        </w:rPr>
        <w:t xml:space="preserve">. Network pruning was performed using </w:t>
      </w:r>
      <w:r>
        <w:rPr>
          <w:rStyle w:val="7"/>
          <w:rFonts w:hint="default" w:ascii="Times New Roman" w:hAnsi="Times New Roman" w:cs="Times New Roman"/>
          <w:sz w:val="24"/>
          <w:szCs w:val="24"/>
        </w:rPr>
        <w:t>Pathfinder</w:t>
      </w:r>
      <w:r>
        <w:rPr>
          <w:rFonts w:hint="default" w:ascii="Times New Roman" w:hAnsi="Times New Roman" w:cs="Times New Roman"/>
          <w:sz w:val="24"/>
          <w:szCs w:val="24"/>
        </w:rPr>
        <w:t xml:space="preserve">, with pruning applied to </w:t>
      </w:r>
      <w:r>
        <w:rPr>
          <w:rStyle w:val="7"/>
          <w:rFonts w:hint="default" w:ascii="Times New Roman" w:hAnsi="Times New Roman" w:cs="Times New Roman"/>
          <w:sz w:val="24"/>
          <w:szCs w:val="24"/>
        </w:rPr>
        <w:t>each time slice</w:t>
      </w:r>
      <w:r>
        <w:rPr>
          <w:rFonts w:hint="default" w:ascii="Times New Roman" w:hAnsi="Times New Roman" w:cs="Times New Roman"/>
          <w:sz w:val="24"/>
          <w:szCs w:val="24"/>
        </w:rPr>
        <w:t>.</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standardContextual"/>
        </w:rPr>
        <w:t xml:space="preserve">For journal analysis, the </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14:ligatures w14:val="standardContextual"/>
        </w:rPr>
        <w:t>top 10 productive journals</w:t>
      </w:r>
      <w: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standardContextual"/>
        </w:rPr>
        <w:t xml:space="preserve"> and the </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14:ligatures w14:val="standardContextual"/>
        </w:rPr>
        <w:t>top 10 co-cited journals</w:t>
      </w:r>
      <w:r>
        <w:rPr>
          <w:rFonts w:hint="default" w:ascii="Times New Roman" w:hAnsi="Times New Roman" w:eastAsia="宋体" w:cs="Times New Roman"/>
          <w:color w:val="000000" w:themeColor="text1"/>
          <w:sz w:val="24"/>
          <w:szCs w:val="24"/>
          <w:lang w:val="en-US" w:eastAsia="zh-CN"/>
          <w14:textFill>
            <w14:solidFill>
              <w14:schemeClr w14:val="tx1"/>
            </w14:solidFill>
          </w14:textFill>
          <w14:ligatures w14:val="standardContextual"/>
        </w:rPr>
        <w:t xml:space="preserve"> were summarized to identify the major publication sources and influential knowledge-dissemination platforms in this field.</w:t>
      </w:r>
      <w:r>
        <w:rPr>
          <w:rFonts w:hint="eastAsia" w:ascii="Times New Roman" w:hAnsi="Times New Roman" w:eastAsia="宋体" w:cs="Times New Roman"/>
          <w:color w:val="000000" w:themeColor="text1"/>
          <w:sz w:val="24"/>
          <w:szCs w:val="24"/>
          <w:lang w:val="en-US" w:eastAsia="zh-CN"/>
          <w14:textFill>
            <w14:solidFill>
              <w14:schemeClr w14:val="tx1"/>
            </w14:solidFill>
          </w14:textFill>
          <w14:ligatures w14:val="standardContextual"/>
        </w:rPr>
        <w:t xml:space="preserve"> </w:t>
      </w:r>
      <w:r>
        <w:rPr>
          <w:rFonts w:hint="default" w:ascii="Times New Roman" w:hAnsi="Times New Roman" w:cs="Times New Roman"/>
          <w:color w:val="000000" w:themeColor="text1"/>
          <w:sz w:val="24"/>
          <w:szCs w:val="24"/>
          <w14:textFill>
            <w14:solidFill>
              <w14:schemeClr w14:val="tx1"/>
            </w14:solidFill>
          </w14:textFill>
        </w:rPr>
        <w:t>For keyword analysis, keywords were cleaned by merging spelling variants, synonyms, and semantically overlapping terms before co-occurrence and burst analyses.</w:t>
      </w:r>
    </w:p>
    <w:p w14:paraId="5479457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3.2. VOSviewer parameter settings</w:t>
      </w:r>
    </w:p>
    <w:p w14:paraId="0777FD5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VOSviewer was used for bibliometric network visualization and mapping. Depending on the specific analysis objective, the </w:t>
      </w:r>
      <w:r>
        <w:rPr>
          <w:rStyle w:val="7"/>
          <w:rFonts w:hint="default" w:ascii="Times New Roman" w:hAnsi="Times New Roman" w:cs="Times New Roman"/>
          <w:sz w:val="24"/>
          <w:szCs w:val="24"/>
        </w:rPr>
        <w:t>type of analysis</w:t>
      </w:r>
      <w:r>
        <w:rPr>
          <w:rFonts w:hint="default" w:ascii="Times New Roman" w:hAnsi="Times New Roman" w:cs="Times New Roman"/>
          <w:sz w:val="24"/>
          <w:szCs w:val="24"/>
        </w:rPr>
        <w:t xml:space="preserve"> and </w:t>
      </w:r>
      <w:r>
        <w:rPr>
          <w:rStyle w:val="7"/>
          <w:rFonts w:hint="default" w:ascii="Times New Roman" w:hAnsi="Times New Roman" w:cs="Times New Roman"/>
          <w:sz w:val="24"/>
          <w:szCs w:val="24"/>
        </w:rPr>
        <w:t>unit of analysis</w:t>
      </w:r>
      <w:r>
        <w:rPr>
          <w:rFonts w:hint="default" w:ascii="Times New Roman" w:hAnsi="Times New Roman" w:cs="Times New Roman"/>
          <w:sz w:val="24"/>
          <w:szCs w:val="24"/>
        </w:rPr>
        <w:t xml:space="preserve"> were adjusted accordingly. For example, in co-authorship analysis, the unit of analysis could be set to </w:t>
      </w:r>
      <w:r>
        <w:rPr>
          <w:rStyle w:val="7"/>
          <w:rFonts w:hint="default" w:ascii="Times New Roman" w:hAnsi="Times New Roman" w:cs="Times New Roman"/>
          <w:sz w:val="24"/>
          <w:szCs w:val="24"/>
        </w:rPr>
        <w:t>authors</w:t>
      </w:r>
      <w:r>
        <w:rPr>
          <w:rFonts w:hint="default" w:ascii="Times New Roman" w:hAnsi="Times New Roman" w:cs="Times New Roman"/>
          <w:sz w:val="24"/>
          <w:szCs w:val="24"/>
        </w:rPr>
        <w:t xml:space="preserve">, </w:t>
      </w:r>
      <w:r>
        <w:rPr>
          <w:rStyle w:val="7"/>
          <w:rFonts w:hint="default" w:ascii="Times New Roman" w:hAnsi="Times New Roman" w:cs="Times New Roman"/>
          <w:sz w:val="24"/>
          <w:szCs w:val="24"/>
        </w:rPr>
        <w:t>organizations</w:t>
      </w:r>
      <w:r>
        <w:rPr>
          <w:rFonts w:hint="default" w:ascii="Times New Roman" w:hAnsi="Times New Roman" w:cs="Times New Roman"/>
          <w:sz w:val="24"/>
          <w:szCs w:val="24"/>
        </w:rPr>
        <w:t xml:space="preserve">, or </w:t>
      </w:r>
      <w:r>
        <w:rPr>
          <w:rStyle w:val="7"/>
          <w:rFonts w:hint="default" w:ascii="Times New Roman" w:hAnsi="Times New Roman" w:cs="Times New Roman"/>
          <w:sz w:val="24"/>
          <w:szCs w:val="24"/>
        </w:rPr>
        <w:t>countries</w:t>
      </w:r>
      <w:r>
        <w:rPr>
          <w:rFonts w:hint="default" w:ascii="Times New Roman" w:hAnsi="Times New Roman" w:cs="Times New Roman"/>
          <w:sz w:val="24"/>
          <w:szCs w:val="24"/>
        </w:rPr>
        <w:t xml:space="preserve">. The </w:t>
      </w:r>
      <w:r>
        <w:rPr>
          <w:rStyle w:val="7"/>
          <w:rFonts w:hint="default" w:ascii="Times New Roman" w:hAnsi="Times New Roman" w:cs="Times New Roman"/>
          <w:sz w:val="24"/>
          <w:szCs w:val="24"/>
        </w:rPr>
        <w:t>counting method</w:t>
      </w:r>
      <w:r>
        <w:rPr>
          <w:rFonts w:hint="default" w:ascii="Times New Roman" w:hAnsi="Times New Roman" w:cs="Times New Roman"/>
          <w:sz w:val="24"/>
          <w:szCs w:val="24"/>
        </w:rPr>
        <w:t xml:space="preserve"> was set to </w:t>
      </w:r>
      <w:r>
        <w:rPr>
          <w:rStyle w:val="7"/>
          <w:rFonts w:hint="default" w:ascii="Times New Roman" w:hAnsi="Times New Roman" w:cs="Times New Roman"/>
          <w:sz w:val="24"/>
          <w:szCs w:val="24"/>
        </w:rPr>
        <w:t>full counting</w:t>
      </w:r>
      <w:r>
        <w:rPr>
          <w:rFonts w:hint="default" w:ascii="Times New Roman" w:hAnsi="Times New Roman" w:cs="Times New Roman"/>
          <w:sz w:val="24"/>
          <w:szCs w:val="24"/>
        </w:rPr>
        <w:t xml:space="preserve">. Documents with a large number of authors were ignored, with the maximum number of authors per document set to </w:t>
      </w:r>
      <w:r>
        <w:rPr>
          <w:rStyle w:val="7"/>
          <w:rFonts w:hint="default" w:ascii="Times New Roman" w:hAnsi="Times New Roman" w:cs="Times New Roman"/>
          <w:sz w:val="24"/>
          <w:szCs w:val="24"/>
        </w:rPr>
        <w:t>25</w:t>
      </w:r>
      <w:r>
        <w:rPr>
          <w:rFonts w:hint="default" w:ascii="Times New Roman" w:hAnsi="Times New Roman" w:cs="Times New Roman"/>
          <w:sz w:val="24"/>
          <w:szCs w:val="24"/>
        </w:rPr>
        <w:t>. First names were not reduced to initials within VOSviewer.</w:t>
      </w:r>
    </w:p>
    <w:p w14:paraId="132A5723">
      <w:pPr>
        <w:spacing w:after="0" w:line="360" w:lineRule="auto"/>
        <w:jc w:val="both"/>
        <w:rPr>
          <w:rFonts w:hint="default" w:ascii="Times New Roman" w:hAnsi="Times New Roman" w:eastAsia="宋体" w:cs="Times New Roman"/>
          <w:color w:val="282828"/>
          <w:sz w:val="24"/>
          <w:szCs w:val="24"/>
          <w:lang w:val="en-US" w:eastAsia="zh-CN"/>
          <w14:ligatures w14:val="standardContextual"/>
        </w:rPr>
      </w:pPr>
      <w:r>
        <w:rPr>
          <w:rFonts w:hint="default" w:ascii="Times New Roman" w:hAnsi="Times New Roman" w:eastAsia="宋体" w:cs="Times New Roman"/>
          <w:color w:val="282828"/>
          <w:sz w:val="24"/>
          <w:szCs w:val="24"/>
          <w:lang w:val="en-US" w:eastAsia="zh-CN"/>
          <w14:ligatures w14:val="standardContextual"/>
        </w:rPr>
        <w:t xml:space="preserve">Thresholds were selected with reference to previous bibliometric studies and further adjusted according to the size and distribution characteristics of the present dataset. For author co-authorship analysis, the minimum number of documents per author was set to </w:t>
      </w:r>
      <w:r>
        <w:rPr>
          <w:rFonts w:hint="default" w:ascii="Times New Roman" w:hAnsi="Times New Roman" w:eastAsia="宋体" w:cs="Times New Roman"/>
          <w:b/>
          <w:bCs/>
          <w:color w:val="282828"/>
          <w:sz w:val="24"/>
          <w:szCs w:val="24"/>
          <w:lang w:val="en-US" w:eastAsia="zh-CN"/>
          <w14:ligatures w14:val="standardContextual"/>
        </w:rPr>
        <w:t>5</w:t>
      </w:r>
      <w:r>
        <w:rPr>
          <w:rFonts w:hint="default" w:ascii="Times New Roman" w:hAnsi="Times New Roman" w:eastAsia="宋体" w:cs="Times New Roman"/>
          <w:color w:val="282828"/>
          <w:sz w:val="24"/>
          <w:szCs w:val="24"/>
          <w:lang w:val="en-US" w:eastAsia="zh-CN"/>
          <w14:ligatures w14:val="standardContextual"/>
        </w:rPr>
        <w:t xml:space="preserve">, and the minimum number of citations per author was set to </w:t>
      </w:r>
      <w:r>
        <w:rPr>
          <w:rFonts w:hint="default" w:ascii="Times New Roman" w:hAnsi="Times New Roman" w:eastAsia="宋体" w:cs="Times New Roman"/>
          <w:b/>
          <w:bCs/>
          <w:color w:val="282828"/>
          <w:sz w:val="24"/>
          <w:szCs w:val="24"/>
          <w:lang w:val="en-US" w:eastAsia="zh-CN"/>
          <w14:ligatures w14:val="standardContextual"/>
        </w:rPr>
        <w:t>0</w:t>
      </w:r>
      <w:r>
        <w:rPr>
          <w:rFonts w:hint="default" w:ascii="Times New Roman" w:hAnsi="Times New Roman" w:eastAsia="宋体" w:cs="Times New Roman"/>
          <w:color w:val="282828"/>
          <w:sz w:val="24"/>
          <w:szCs w:val="24"/>
          <w:lang w:val="en-US" w:eastAsia="zh-CN"/>
          <w14:ligatures w14:val="standardContextual"/>
        </w:rPr>
        <w:t xml:space="preserve">. Authors without co-authorship links were excluded from the final visualization. For country/region collaboration analysis, the leading </w:t>
      </w:r>
      <w:r>
        <w:rPr>
          <w:rFonts w:hint="default" w:ascii="Times New Roman" w:hAnsi="Times New Roman" w:eastAsia="宋体" w:cs="Times New Roman"/>
          <w:b/>
          <w:bCs/>
          <w:color w:val="282828"/>
          <w:sz w:val="24"/>
          <w:szCs w:val="24"/>
          <w:lang w:val="en-US" w:eastAsia="zh-CN"/>
          <w14:ligatures w14:val="standardContextual"/>
        </w:rPr>
        <w:t>50 countries</w:t>
      </w:r>
      <w:r>
        <w:rPr>
          <w:rFonts w:hint="default" w:ascii="Times New Roman" w:hAnsi="Times New Roman" w:eastAsia="宋体" w:cs="Times New Roman"/>
          <w:color w:val="282828"/>
          <w:sz w:val="24"/>
          <w:szCs w:val="24"/>
          <w:lang w:val="en-US" w:eastAsia="zh-CN"/>
          <w14:ligatures w14:val="standardContextual"/>
        </w:rPr>
        <w:t xml:space="preserve"> by publication output were selected to show the major global collaboration structure. For reference co-citation analysis, </w:t>
      </w:r>
      <w:r>
        <w:rPr>
          <w:rFonts w:hint="default" w:ascii="Times New Roman" w:hAnsi="Times New Roman" w:eastAsia="宋体" w:cs="Times New Roman"/>
          <w:b/>
          <w:bCs/>
          <w:color w:val="282828"/>
          <w:sz w:val="24"/>
          <w:szCs w:val="24"/>
          <w:lang w:val="en-US" w:eastAsia="zh-CN"/>
          <w14:ligatures w14:val="standardContextual"/>
        </w:rPr>
        <w:t>the 100 most frequently co-cited references</w:t>
      </w:r>
      <w:r>
        <w:rPr>
          <w:rFonts w:hint="default" w:ascii="Times New Roman" w:hAnsi="Times New Roman" w:eastAsia="宋体" w:cs="Times New Roman"/>
          <w:color w:val="282828"/>
          <w:sz w:val="24"/>
          <w:szCs w:val="24"/>
          <w:lang w:val="en-US" w:eastAsia="zh-CN"/>
          <w14:ligatures w14:val="standardContextual"/>
        </w:rPr>
        <w:t xml:space="preserve"> were displayed to identify the intellectual base of the field. </w:t>
      </w:r>
    </w:p>
    <w:p w14:paraId="2362C515">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3</w:t>
      </w:r>
      <w:r>
        <w:rPr>
          <w:rFonts w:hint="default" w:ascii="Times New Roman" w:hAnsi="Times New Roman" w:cs="Times New Roman"/>
          <w:sz w:val="24"/>
          <w:szCs w:val="24"/>
        </w:rPr>
        <w:t>. Scimago Graphica parameter settings</w:t>
      </w:r>
    </w:p>
    <w:p w14:paraId="78DC7981">
      <w:pPr>
        <w:spacing w:after="0" w:line="360" w:lineRule="auto"/>
        <w:jc w:val="both"/>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14:textFill>
            <w14:solidFill>
              <w14:schemeClr w14:val="tx1"/>
            </w14:solidFill>
          </w14:textFill>
        </w:rPr>
        <w:t>For the purpose of geographical visualization, the country/region collaboration network data exported from VOSviewer was imported into Scimago Graphica in the .gph format. The Map layout was employed to project the nodes representing countries/regions based on their geographic coordinates, utilizing the</w:t>
      </w:r>
      <w:r>
        <w:rPr>
          <w:rFonts w:hint="default" w:ascii="Times New Roman" w:hAnsi="Times New Roman" w:cs="Times New Roman"/>
          <w:b/>
          <w:bCs/>
          <w:color w:val="000000" w:themeColor="text1"/>
          <w:sz w:val="24"/>
          <w:szCs w:val="24"/>
          <w14:textFill>
            <w14:solidFill>
              <w14:schemeClr w14:val="tx1"/>
            </w14:solidFill>
          </w14:textFill>
        </w:rPr>
        <w:t xml:space="preserve"> x and y</w:t>
      </w:r>
      <w:r>
        <w:rPr>
          <w:rFonts w:hint="default" w:ascii="Times New Roman" w:hAnsi="Times New Roman" w:cs="Times New Roman"/>
          <w:b w:val="0"/>
          <w:bCs w:val="0"/>
          <w:color w:val="000000" w:themeColor="text1"/>
          <w:sz w:val="24"/>
          <w:szCs w:val="24"/>
          <w14:textFill>
            <w14:solidFill>
              <w14:schemeClr w14:val="tx1"/>
            </w14:solidFill>
          </w14:textFill>
        </w:rPr>
        <w:t xml:space="preserve"> fields as map coordinates. The label field was designated for country/region names, tooltips, and map units. Node size was determined by the sum of documents, with the </w:t>
      </w:r>
      <w:r>
        <w:rPr>
          <w:rFonts w:hint="default" w:ascii="Times New Roman" w:hAnsi="Times New Roman" w:cs="Times New Roman"/>
          <w:b/>
          <w:bCs/>
          <w:color w:val="000000" w:themeColor="text1"/>
          <w:sz w:val="24"/>
          <w:szCs w:val="24"/>
          <w14:textFill>
            <w14:solidFill>
              <w14:schemeClr w14:val="tx1"/>
            </w14:solidFill>
          </w14:textFill>
        </w:rPr>
        <w:t xml:space="preserve">size parameter set to </w:t>
      </w:r>
      <w:r>
        <w:rPr>
          <w:rFonts w:hint="default" w:ascii="Times New Roman" w:hAnsi="Times New Roman" w:cs="Times New Roman"/>
          <w:b/>
          <w:bCs/>
          <w:color w:val="000000" w:themeColor="text1"/>
          <w:sz w:val="24"/>
          <w:szCs w:val="24"/>
          <w14:textFill>
            <w14:solidFill>
              <w14:schemeClr w14:val="tx1"/>
            </w14:solidFill>
          </w14:textFill>
        </w:rPr>
        <w:t xml:space="preserve">5 </w:t>
      </w:r>
      <w:r>
        <w:rPr>
          <w:rFonts w:hint="default" w:ascii="Times New Roman" w:hAnsi="Times New Roman" w:cs="Times New Roman"/>
          <w:b w:val="0"/>
          <w:bCs w:val="0"/>
          <w:color w:val="000000" w:themeColor="text1"/>
          <w:sz w:val="24"/>
          <w:szCs w:val="24"/>
          <w14:textFill>
            <w14:solidFill>
              <w14:schemeClr w14:val="tx1"/>
            </w14:solidFill>
          </w14:textFill>
        </w:rPr>
        <w:t xml:space="preserve">and responsive sizing disabled. Node color was weighted by the sum of total link strength to represent the intensity of collaboration. Collaborative links between countries/regions were depicted as curved edges, with the edge weight variable set to value, </w:t>
      </w:r>
      <w:r>
        <w:rPr>
          <w:rFonts w:hint="default" w:ascii="Times New Roman" w:hAnsi="Times New Roman" w:cs="Times New Roman"/>
          <w:b/>
          <w:bCs/>
          <w:color w:val="000000" w:themeColor="text1"/>
          <w:sz w:val="24"/>
          <w:szCs w:val="24"/>
          <w14:textFill>
            <w14:solidFill>
              <w14:schemeClr w14:val="tx1"/>
            </w14:solidFill>
          </w14:textFill>
        </w:rPr>
        <w:t>curvature set to</w:t>
      </w:r>
      <w:r>
        <w:rPr>
          <w:rFonts w:hint="default" w:ascii="Times New Roman" w:hAnsi="Times New Roman" w:cs="Times New Roman"/>
          <w:b/>
          <w:bCs/>
          <w:color w:val="000000" w:themeColor="text1"/>
          <w:sz w:val="24"/>
          <w:szCs w:val="24"/>
          <w14:textFill>
            <w14:solidFill>
              <w14:schemeClr w14:val="tx1"/>
            </w14:solidFill>
          </w14:textFill>
        </w:rPr>
        <w:t xml:space="preserve"> 0.5,</w:t>
      </w:r>
      <w:r>
        <w:rPr>
          <w:rFonts w:hint="default" w:ascii="Times New Roman" w:hAnsi="Times New Roman" w:cs="Times New Roman"/>
          <w:b w:val="0"/>
          <w:bCs w:val="0"/>
          <w:color w:val="000000" w:themeColor="text1"/>
          <w:sz w:val="24"/>
          <w:szCs w:val="24"/>
          <w14:textFill>
            <w14:solidFill>
              <w14:schemeClr w14:val="tx1"/>
            </w14:solidFill>
          </w14:textFill>
        </w:rPr>
        <w:t xml:space="preserve"> clockwise curvature enabled, and the maximum number of displayed </w:t>
      </w:r>
      <w:r>
        <w:rPr>
          <w:rFonts w:hint="default" w:ascii="Times New Roman" w:hAnsi="Times New Roman" w:cs="Times New Roman"/>
          <w:b/>
          <w:bCs/>
          <w:color w:val="000000" w:themeColor="text1"/>
          <w:sz w:val="24"/>
          <w:szCs w:val="24"/>
          <w14:textFill>
            <w14:solidFill>
              <w14:schemeClr w14:val="tx1"/>
            </w14:solidFill>
          </w14:textFill>
        </w:rPr>
        <w:t>edges limited to 800</w:t>
      </w:r>
      <w:r>
        <w:rPr>
          <w:rFonts w:hint="default" w:ascii="Times New Roman" w:hAnsi="Times New Roman" w:cs="Times New Roman"/>
          <w:b w:val="0"/>
          <w:bCs w:val="0"/>
          <w:color w:val="000000" w:themeColor="text1"/>
          <w:sz w:val="24"/>
          <w:szCs w:val="24"/>
          <w14:textFill>
            <w14:solidFill>
              <w14:schemeClr w14:val="tx1"/>
            </w14:solidFill>
          </w14:textFill>
        </w:rPr>
        <w:t>. Less significant edges were not pruned. These configurations were implemented to preserve the overarching global collaboration structure while ensuring the geographical map's readability.</w:t>
      </w:r>
    </w:p>
    <w:p w14:paraId="43F15DAF">
      <w:pPr>
        <w:rPr>
          <w:rFonts w:hint="default"/>
        </w:rPr>
      </w:pPr>
    </w:p>
    <w:p w14:paraId="5D5C9FFF">
      <w:pPr>
        <w:spacing w:after="0" w:line="360" w:lineRule="auto"/>
        <w:jc w:val="both"/>
        <w:rPr>
          <w:rFonts w:hint="default" w:ascii="Times New Roman" w:hAnsi="Times New Roman" w:eastAsia="宋体" w:cs="Times New Roman"/>
          <w:color w:val="282828"/>
          <w:sz w:val="24"/>
          <w:szCs w:val="24"/>
          <w:lang w:val="en-US" w:eastAsia="zh-CN"/>
          <w14:ligatures w14:val="standardContextua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CBEA21"/>
    <w:multiLevelType w:val="singleLevel"/>
    <w:tmpl w:val="6FCBEA21"/>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067AB9"/>
    <w:rsid w:val="0C7A4B57"/>
    <w:rsid w:val="19660B1E"/>
    <w:rsid w:val="1D702348"/>
    <w:rsid w:val="26235823"/>
    <w:rsid w:val="2923425E"/>
    <w:rsid w:val="2A3B48C8"/>
    <w:rsid w:val="2D5467E0"/>
    <w:rsid w:val="389423C8"/>
    <w:rsid w:val="410F6C78"/>
    <w:rsid w:val="4A106627"/>
    <w:rsid w:val="5E5934D1"/>
    <w:rsid w:val="607B4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1060</Words>
  <Characters>6654</Characters>
  <Lines>0</Lines>
  <Paragraphs>0</Paragraphs>
  <TotalTime>3</TotalTime>
  <ScaleCrop>false</ScaleCrop>
  <LinksUpToDate>false</LinksUpToDate>
  <CharactersWithSpaces>7689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2025-12-30T17:55:00Z</dcterms:created>
  <dc:creator>LEGION</dc:creator>
  <cp:lastModifiedBy>某某杨</cp:lastModifiedBy>
  <dcterms:modified xsi:type="dcterms:W3CDTF">2026-05-06T06:59:56Z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eyJoZGlkIjoiZTVhOGY2YjI5MTcwZDk3ZDIyZmU1ZDE5MGFmOTI2ZmEiLCJ1c2VySWQiOiI0NjYzODEzNTEifQ==</vt:lpwstr>
  </property>
  <property fmtid="{D5CDD505-2E9C-101B-9397-08002B2CF9AE}" pid="4" name="ICV">
    <vt:lpwstr>9C9FF29B7A0A4B49A2EFD5BBFF15E638_12</vt:lpwstr>
  </property>
</Properties>
</file>