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74113" w14:textId="77777777" w:rsidR="00DE73A2" w:rsidRDefault="00295DA2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Supplementary Table </w:t>
      </w:r>
      <w:r>
        <w:rPr>
          <w:rFonts w:ascii="Times New Roman" w:hAnsi="Times New Roman" w:cs="Times New Roman" w:hint="eastAsia"/>
          <w:sz w:val="24"/>
        </w:rPr>
        <w:t>2.</w:t>
      </w:r>
      <w:r>
        <w:rPr>
          <w:rFonts w:ascii="Times New Roman" w:hAnsi="Times New Roman" w:cs="Times New Roman"/>
          <w:sz w:val="24"/>
        </w:rPr>
        <w:t xml:space="preserve"> Translational framework linking </w:t>
      </w:r>
      <w:r>
        <w:rPr>
          <w:rFonts w:ascii="Times New Roman" w:hAnsi="Times New Roman" w:cs="Times New Roman"/>
          <w:i/>
          <w:iCs/>
          <w:sz w:val="24"/>
        </w:rPr>
        <w:t xml:space="preserve">C.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elegans</w:t>
      </w:r>
      <w:proofErr w:type="spellEnd"/>
      <w:r>
        <w:rPr>
          <w:rFonts w:ascii="Times New Roman" w:hAnsi="Times New Roman" w:cs="Times New Roman"/>
          <w:sz w:val="24"/>
        </w:rPr>
        <w:t>-based findings to clinical validation in cancer research</w:t>
      </w:r>
    </w:p>
    <w:tbl>
      <w:tblPr>
        <w:tblW w:w="10891" w:type="dxa"/>
        <w:jc w:val="center"/>
        <w:tblLook w:val="04A0" w:firstRow="1" w:lastRow="0" w:firstColumn="1" w:lastColumn="0" w:noHBand="0" w:noVBand="1"/>
      </w:tblPr>
      <w:tblGrid>
        <w:gridCol w:w="2605"/>
        <w:gridCol w:w="1989"/>
        <w:gridCol w:w="2129"/>
        <w:gridCol w:w="2352"/>
        <w:gridCol w:w="1816"/>
      </w:tblGrid>
      <w:tr w:rsidR="00DE73A2" w14:paraId="3DD71C9E" w14:textId="77777777">
        <w:trPr>
          <w:tblHeader/>
          <w:jc w:val="center"/>
        </w:trPr>
        <w:tc>
          <w:tcPr>
            <w:tcW w:w="0" w:type="auto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627BAF" w14:textId="77777777" w:rsidR="00DE73A2" w:rsidRDefault="00295DA2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Research direction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5BF730" w14:textId="77777777" w:rsidR="00DE73A2" w:rsidRDefault="00295DA2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Representative findings in C.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BEAA02" w14:textId="77777777" w:rsidR="00DE73A2" w:rsidRDefault="00295DA2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Supporting references </w:t>
            </w:r>
          </w:p>
          <w:p w14:paraId="37494744" w14:textId="77777777" w:rsidR="00DE73A2" w:rsidRDefault="00295DA2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(No. and title)</w:t>
            </w:r>
          </w:p>
        </w:tc>
        <w:tc>
          <w:tcPr>
            <w:tcW w:w="243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FF37B3" w14:textId="77777777" w:rsidR="00DE73A2" w:rsidRDefault="00295DA2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Potential translational relevance</w:t>
            </w:r>
          </w:p>
        </w:tc>
        <w:tc>
          <w:tcPr>
            <w:tcW w:w="180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5CB5E9" w14:textId="77777777" w:rsidR="00DE73A2" w:rsidRDefault="00295DA2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Required next-step validation</w:t>
            </w:r>
          </w:p>
        </w:tc>
      </w:tr>
      <w:tr w:rsidR="00DE73A2" w14:paraId="59A03E9E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CC61B" w14:textId="77777777" w:rsidR="00DE73A2" w:rsidRDefault="00295DA2">
            <w:pPr>
              <w:widowControl/>
              <w:snapToGrid w:val="0"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Anti-cancer drug screening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4C379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High-throughput whole-organism screening identifies candidate compounds and potential targets.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76528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29. Wen J et al. Anticancer bioactive phytochemicals screening from medicinal-edible homologous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materials in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Caenorhabditis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; 40. Roy PJ. Drug screens using the nematode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Caenorhabditis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; 48. Bae YK et al. An in vivo C.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model system for screening EGFR-inhibiting anti-cancer drugs.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CD81C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Supports early-stage prioritization of anti-cance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r agents before mammalian testing.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4B65D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Validation in mammalian tumor models, pharmacokinetic studies, and efficacy testing.</w:t>
            </w:r>
          </w:p>
        </w:tc>
      </w:tr>
      <w:tr w:rsidR="00DE73A2" w14:paraId="55FD826C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63FB8" w14:textId="77777777" w:rsidR="00DE73A2" w:rsidRDefault="00295DA2">
            <w:pPr>
              <w:widowControl/>
              <w:snapToGrid w:val="0"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Toxicity and dose-window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CC6C4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Developmental, locomotor, and stress-response phenotypes reveal dose-dependent toxicity and treatme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nt windows.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297F2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44. Zheng LY et al.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Sorafenib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extends the lifespan of C.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through mitochondrial uncoupling mechanism; 45.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Sakaguchi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Y et al. Evaluation of neurotoxicity of anticancer drugs using nematode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Caenorhabditis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as a model organism; 46.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W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ellenberg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 et al. Use of C.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as a 3R-compliant in vivo model for the chemoprevention of cisplatin-induced neurotoxicity; 47.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Wynen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F et al. Cisplatin-induced DNA crosslinks trigger neurotoxicity in C.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.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6F4EF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Helps identify early safety liabilitie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s and therapeutic windows.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0BD86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Cross-species toxicology validation and mechanistic confirmation.</w:t>
            </w:r>
          </w:p>
        </w:tc>
      </w:tr>
      <w:tr w:rsidR="00DE73A2" w14:paraId="55977121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42F19" w14:textId="77777777" w:rsidR="00DE73A2" w:rsidRDefault="00295DA2">
            <w:pPr>
              <w:widowControl/>
              <w:snapToGrid w:val="0"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Drug mechanism and resistance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36CEE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Conserved pathways and mutant strains help dissect drug action and resistance mechanisms.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A77AD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49. Mao YQ et al. An approach using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Caenor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habditis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screening novel targets to suppress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tumour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cell proliferation; 50. Kim S, Shim J. A forward genetic approach for analyzing the mechanism of resistance to the anti-cancer drug, 5-fluorouracil, using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Caenorhabditis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.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DB798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Generates testabl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 hypotheses relevant to tumor biology and therapy response.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32592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Functional validation in mammalian systems and clinically relevant cancer models.</w:t>
            </w:r>
          </w:p>
        </w:tc>
      </w:tr>
      <w:tr w:rsidR="00DE73A2" w14:paraId="2B05A80D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0DF13" w14:textId="77777777" w:rsidR="00DE73A2" w:rsidRDefault="00295DA2">
            <w:pPr>
              <w:widowControl/>
              <w:snapToGrid w:val="0"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Early cancer detection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DD84E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Chemotaxis-based responses can distinguish cancer-related and control urine samples.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1822D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54.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Hirotsu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T et al. A highly accurate inclusive cancer screening test using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Caenorhabditis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scent detection; 55.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Kaiglová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 et al. The chemotactic response of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Caenorhabditis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represents a promising tool for the early detection of cancer; 56. Tho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mpson M et al. A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Caenorhabditis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behavioral assay distinguishes early stage prostate cancer patient urine from controls.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4DD16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Suggests potential for non-invasive, low-cost multi-cancer screening.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B0C16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Large-scale prospective studies, multicenter validation, a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nd comparison with standard diagnostic workflows.</w:t>
            </w:r>
          </w:p>
        </w:tc>
      </w:tr>
      <w:tr w:rsidR="00DE73A2" w14:paraId="2B6901E3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B11D3" w14:textId="77777777" w:rsidR="00DE73A2" w:rsidRDefault="00295DA2">
            <w:pPr>
              <w:widowControl/>
              <w:snapToGrid w:val="0"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Multi-cancer screening expansion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BF458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Nematode-based detection has been extended to multiple malignancies and sample settings.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02399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57. Lanza E et al. C.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-based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chemosensation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strategy for the early detection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of cancer metabolites in urine samples; 58. Nakamura S et al. Detection of Hematological Malignancies Using N-NOSE (Nematode-NOSE).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A225D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Supports broader applicability across cancer types.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6DDE9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Broader external validation across tumor types and populations.</w:t>
            </w:r>
          </w:p>
        </w:tc>
      </w:tr>
      <w:tr w:rsidR="00DE73A2" w14:paraId="486AEB8F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294CE" w14:textId="77777777" w:rsidR="00DE73A2" w:rsidRDefault="00295DA2">
            <w:pPr>
              <w:widowControl/>
              <w:snapToGrid w:val="0"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Treatment monitoring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79669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Changes in chemotaxis index before and after treatment may reflect therapy response.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6A07B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59. Sato Y et al. Clinical Possibility of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Caenorhabditis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as a Novel Evaluation Tool for Esophageal Cancer Patients Receiving Chemotherapy: A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Prospective Study.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FCA1B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Potential relevance for personalized monitoring and follow-up.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4DD1C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Longitudinal clinical validation and standardization of response thresholds.</w:t>
            </w:r>
          </w:p>
        </w:tc>
      </w:tr>
      <w:tr w:rsidR="00DE73A2" w14:paraId="638141CD" w14:textId="77777777">
        <w:trPr>
          <w:jc w:val="center"/>
        </w:trPr>
        <w:tc>
          <w:tcPr>
            <w:tcW w:w="271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9F078BE" w14:textId="77777777" w:rsidR="00DE73A2" w:rsidRDefault="00295DA2">
            <w:pPr>
              <w:widowControl/>
              <w:snapToGrid w:val="0"/>
              <w:jc w:val="center"/>
              <w:textAlignment w:val="top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AI-assisted diagnostic platforms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B1B6F44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Automated imaging and machine-learning analysis improve assay 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tandardization and throughput.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BAFDD32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32. Shi Y et al. Worm-Based Diagnosis Combining Microfluidics toward Early Cancer Screening; 36.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Alshammari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AH et al. Beyond Binary: A Machine Learning Framework for Interpreting Organismal Behavior in Cancer Diagnostics; 37.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Wang X et al. An Artificial Neural Network for Image Classification Inspired by the Aversive Olfactory Learning Neural Circuit in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Caenorhabditis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elegans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071EE66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May facilitate scalable and reproducible diagnostic deployment.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46459A3" w14:textId="77777777" w:rsidR="00DE73A2" w:rsidRDefault="00295DA2">
            <w:pPr>
              <w:widowControl/>
              <w:snapToGrid w:val="0"/>
              <w:jc w:val="left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Real-world validation, workflow integ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ration, and regulatory-grade standardization.</w:t>
            </w:r>
          </w:p>
        </w:tc>
      </w:tr>
    </w:tbl>
    <w:p w14:paraId="7A98F458" w14:textId="77777777" w:rsidR="00DE73A2" w:rsidRDefault="00DE73A2">
      <w:pPr>
        <w:rPr>
          <w:rFonts w:ascii="Times New Roman" w:hAnsi="Times New Roman" w:cs="Times New Roman"/>
          <w:sz w:val="24"/>
        </w:rPr>
      </w:pPr>
    </w:p>
    <w:sectPr w:rsidR="00DE73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3A2"/>
    <w:rsid w:val="00295DA2"/>
    <w:rsid w:val="00DE73A2"/>
    <w:rsid w:val="0308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F45E5B8-E649-4A43-81D1-DFBF9879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LEGION</dc:creator>
  <cp:lastModifiedBy>Mohana Priya Krishnamoorthi</cp:lastModifiedBy>
  <cp:revision>2</cp:revision>
  <dcterms:created xsi:type="dcterms:W3CDTF">2026-06-06T09:31:00Z</dcterms:created>
  <dcterms:modified xsi:type="dcterms:W3CDTF">2026-06-06T09:31:00Z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eyJoZGlkIjoiZTVhOGY2YjI5MTcwZDk3ZDIyZmU1ZDE5MGFmOTI2ZmEiLCJ1c2VySWQiOiI0NjYzODEzNTEifQ==</vt:lpwstr>
  </property>
  <property fmtid="{D5CDD505-2E9C-101B-9397-08002B2CF9AE}" pid="4" name="ICV">
    <vt:lpwstr>479CDEB09DE542C5B213E58645B694EC_12</vt:lpwstr>
  </property>
</Properties>
</file>