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EE0F85" w14:textId="77777777" w:rsidR="009346FC" w:rsidRDefault="00D4326E">
      <w:pPr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Supplementary Table 3. Research hotspots from 2023–2025 and corresponding representative </w:t>
      </w:r>
      <w:r>
        <w:rPr>
          <w:rFonts w:ascii="Times New Roman" w:hAnsi="Times New Roman" w:cs="Times New Roman"/>
          <w:i/>
          <w:iCs/>
          <w:sz w:val="24"/>
        </w:rPr>
        <w:t xml:space="preserve">C.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elegans</w:t>
      </w:r>
      <w:proofErr w:type="spellEnd"/>
      <w:r>
        <w:rPr>
          <w:rFonts w:ascii="Times New Roman" w:hAnsi="Times New Roman" w:cs="Times New Roman"/>
          <w:sz w:val="24"/>
        </w:rPr>
        <w:t xml:space="preserve"> strains or techniques</w:t>
      </w:r>
    </w:p>
    <w:tbl>
      <w:tblPr>
        <w:tblW w:w="8519" w:type="dxa"/>
        <w:jc w:val="center"/>
        <w:tblLook w:val="04A0" w:firstRow="1" w:lastRow="0" w:firstColumn="1" w:lastColumn="0" w:noHBand="0" w:noVBand="1"/>
      </w:tblPr>
      <w:tblGrid>
        <w:gridCol w:w="1783"/>
        <w:gridCol w:w="3474"/>
        <w:gridCol w:w="3262"/>
      </w:tblGrid>
      <w:tr w:rsidR="009346FC" w14:paraId="2B966727" w14:textId="77777777">
        <w:trPr>
          <w:tblHeader/>
          <w:jc w:val="center"/>
        </w:trPr>
        <w:tc>
          <w:tcPr>
            <w:tcW w:w="0" w:type="auto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AC2BA" w14:textId="77777777" w:rsidR="009346FC" w:rsidRDefault="00D4326E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Research hotspot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9A2D3" w14:textId="77777777" w:rsidR="009346FC" w:rsidRDefault="00D4326E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Representative study from 2023–2025</w:t>
            </w:r>
          </w:p>
        </w:tc>
        <w:tc>
          <w:tcPr>
            <w:tcW w:w="326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B450C" w14:textId="77777777" w:rsidR="009346FC" w:rsidRDefault="00D4326E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Representative </w:t>
            </w:r>
            <w:r>
              <w:rPr>
                <w:rStyle w:val="font31"/>
                <w:rFonts w:eastAsia="SimSun"/>
                <w:sz w:val="24"/>
                <w:szCs w:val="24"/>
                <w:lang w:bidi="ar"/>
              </w:rPr>
              <w:t xml:space="preserve">C. </w:t>
            </w:r>
            <w:proofErr w:type="spellStart"/>
            <w:r>
              <w:rPr>
                <w:rStyle w:val="font31"/>
                <w:rFonts w:eastAsia="SimSun"/>
                <w:sz w:val="24"/>
                <w:szCs w:val="24"/>
                <w:lang w:bidi="ar"/>
              </w:rPr>
              <w:t>elegans</w:t>
            </w:r>
            <w:proofErr w:type="spellEnd"/>
            <w:r>
              <w:rPr>
                <w:rStyle w:val="font11"/>
                <w:rFonts w:eastAsia="SimSun"/>
                <w:sz w:val="24"/>
                <w:szCs w:val="24"/>
                <w:lang w:bidi="ar"/>
              </w:rPr>
              <w:t xml:space="preserve"> strains or techniques</w:t>
            </w:r>
          </w:p>
        </w:tc>
      </w:tr>
      <w:tr w:rsidR="009346FC" w14:paraId="4A91BF62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262BB" w14:textId="77777777" w:rsidR="009346FC" w:rsidRDefault="00D4326E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Anti-cancer drug screening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D49F8" w14:textId="77777777" w:rsidR="009346FC" w:rsidRDefault="00D4326E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29. Wen J et al. </w:t>
            </w:r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 xml:space="preserve">Anticancer bioactive phytochemicals screening from medicinal-edible homologous materials in </w:t>
            </w:r>
            <w:proofErr w:type="spellStart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>Caenorhabditis</w:t>
            </w:r>
            <w:proofErr w:type="spellEnd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>elegans</w:t>
            </w:r>
            <w:proofErr w:type="spellEnd"/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 xml:space="preserve">; 40. Roy PJ. </w:t>
            </w:r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 xml:space="preserve">Drug screens using the nematode </w:t>
            </w:r>
            <w:proofErr w:type="spellStart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>Caenorhabditis</w:t>
            </w:r>
            <w:proofErr w:type="spellEnd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>elegans</w:t>
            </w:r>
            <w:proofErr w:type="spellEnd"/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>.</w:t>
            </w:r>
          </w:p>
        </w:tc>
        <w:tc>
          <w:tcPr>
            <w:tcW w:w="32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90754" w14:textId="77777777" w:rsidR="009346FC" w:rsidRDefault="00D4326E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These studies used whole-organism phenotypic screening,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multiwell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plate assays, and lifespan, viability, growth, fecundity, and locomotion readouts. They also incorporated automated imaging and fluorescent reporter-based high-content screening to improve throughput and phenotypic resolution.</w:t>
            </w:r>
          </w:p>
        </w:tc>
      </w:tr>
      <w:tr w:rsidR="009346FC" w14:paraId="33D84CD4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B2F43" w14:textId="77777777" w:rsidR="009346FC" w:rsidRDefault="00D4326E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Toxicity and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dose-window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20A77" w14:textId="77777777" w:rsidR="009346FC" w:rsidRDefault="00D4326E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. Zheng LY et al. </w:t>
            </w:r>
            <w:proofErr w:type="spellStart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>Sorafenib</w:t>
            </w:r>
            <w:proofErr w:type="spellEnd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 xml:space="preserve"> extends the lifespan of C. </w:t>
            </w:r>
            <w:proofErr w:type="spellStart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>elegans</w:t>
            </w:r>
            <w:proofErr w:type="spellEnd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 xml:space="preserve"> through mitochondrial uncoupling mechanism</w:t>
            </w:r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>; 4</w:t>
            </w:r>
            <w:r>
              <w:rPr>
                <w:rStyle w:val="font21"/>
                <w:rFonts w:eastAsia="SimSun" w:hint="eastAsia"/>
                <w:sz w:val="24"/>
                <w:szCs w:val="24"/>
                <w:lang w:bidi="ar"/>
              </w:rPr>
              <w:t>9</w:t>
            </w:r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 xml:space="preserve">. </w:t>
            </w:r>
            <w:proofErr w:type="spellStart"/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>Sakaguchi</w:t>
            </w:r>
            <w:proofErr w:type="spellEnd"/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 xml:space="preserve"> Y et al. </w:t>
            </w:r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 xml:space="preserve">Evaluation of neurotoxicity of anticancer drugs using nematode </w:t>
            </w:r>
            <w:proofErr w:type="spellStart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>Caenorhabditis</w:t>
            </w:r>
            <w:proofErr w:type="spellEnd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>elegans</w:t>
            </w:r>
            <w:proofErr w:type="spellEnd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 xml:space="preserve"> as a model orga</w:t>
            </w:r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>nism</w:t>
            </w:r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 xml:space="preserve">; </w:t>
            </w:r>
            <w:r>
              <w:rPr>
                <w:rStyle w:val="font21"/>
                <w:rFonts w:eastAsia="SimSun" w:hint="eastAsia"/>
                <w:sz w:val="24"/>
                <w:szCs w:val="24"/>
                <w:lang w:bidi="ar"/>
              </w:rPr>
              <w:t>51</w:t>
            </w:r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 xml:space="preserve">. </w:t>
            </w:r>
            <w:proofErr w:type="spellStart"/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>Wynen</w:t>
            </w:r>
            <w:proofErr w:type="spellEnd"/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 xml:space="preserve"> F et al. </w:t>
            </w:r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 xml:space="preserve">Cisplatin-induced DNA crosslinks trigger neurotoxicity in C. </w:t>
            </w:r>
            <w:proofErr w:type="spellStart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>elegans</w:t>
            </w:r>
            <w:proofErr w:type="spellEnd"/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>.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03C20" w14:textId="77777777" w:rsidR="009346FC" w:rsidRDefault="00D4326E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These studies used </w:t>
            </w:r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 xml:space="preserve">C. </w:t>
            </w:r>
            <w:proofErr w:type="spellStart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>elegans</w:t>
            </w:r>
            <w:proofErr w:type="spellEnd"/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 xml:space="preserve"> Bristol strain N2 and N2 wild-type animals, as well as DNA repair mutants involving ercc-1, xpf-1, csb-1, xpc-1, brc-1, msh-6, msh-2, and dog-1. They also employed sod-3p:</w:t>
            </w:r>
            <w:proofErr w:type="gramStart"/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>:GFP</w:t>
            </w:r>
            <w:proofErr w:type="gramEnd"/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 xml:space="preserve"> oxidative-stress reporter strains, lifespan, developmental, locomotion, and neu</w:t>
            </w:r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>rotoxicity assays, cisplatin-induced DNA crosslink neurotoxicity models, and analyses related to mitochondrial uncoupling and AMPK signaling.</w:t>
            </w:r>
          </w:p>
        </w:tc>
      </w:tr>
      <w:tr w:rsidR="009346FC" w14:paraId="450F579B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51B53" w14:textId="77777777" w:rsidR="009346FC" w:rsidRDefault="00D4326E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Early cancer detection, multi-cancer screening expansion and treatment monitoring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47918" w14:textId="77777777" w:rsidR="009346FC" w:rsidRDefault="00D4326E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. Zhou M et al. </w:t>
            </w:r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>Exhaled breat</w:t>
            </w:r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 xml:space="preserve">h and urinary volatile organic compounds (VOCs) for cancer diagnoses, and microbial-related VOC metabolic pathway analysis: a systematic review and meta-analysis; </w:t>
            </w:r>
            <w:r>
              <w:rPr>
                <w:rStyle w:val="font21"/>
                <w:rFonts w:eastAsia="SimSun" w:hint="eastAsia"/>
                <w:sz w:val="24"/>
                <w:szCs w:val="24"/>
                <w:lang w:bidi="ar"/>
              </w:rPr>
              <w:t>62</w:t>
            </w:r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 xml:space="preserve">. Nakamura S et al. Detection of Hematological Malignancies Using N-NOSE (Nematode-NOSE); </w:t>
            </w:r>
            <w:r>
              <w:rPr>
                <w:rStyle w:val="font21"/>
                <w:rFonts w:eastAsia="SimSun" w:hint="eastAsia"/>
                <w:sz w:val="24"/>
                <w:szCs w:val="24"/>
                <w:lang w:bidi="ar"/>
              </w:rPr>
              <w:t>6</w:t>
            </w:r>
            <w:r>
              <w:rPr>
                <w:rStyle w:val="font21"/>
                <w:rFonts w:eastAsia="SimSun" w:hint="eastAsia"/>
                <w:sz w:val="24"/>
                <w:szCs w:val="24"/>
                <w:lang w:bidi="ar"/>
              </w:rPr>
              <w:t>3</w:t>
            </w:r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 xml:space="preserve">. Sato Y et al. Clinical Possibility of </w:t>
            </w:r>
            <w:proofErr w:type="spellStart"/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>Caenorhabditis</w:t>
            </w:r>
            <w:proofErr w:type="spellEnd"/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>elegans</w:t>
            </w:r>
            <w:proofErr w:type="spellEnd"/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 xml:space="preserve"> as a Novel Evaluation Tool for Esophageal Cancer Patients Receiving Chemotherapy: A Prospective Study.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BBCE1" w14:textId="77777777" w:rsidR="009346FC" w:rsidRDefault="00D4326E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These studies used wild-type </w:t>
            </w:r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 xml:space="preserve">C. </w:t>
            </w:r>
            <w:proofErr w:type="spellStart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>elegans</w:t>
            </w:r>
            <w:proofErr w:type="spellEnd"/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 xml:space="preserve"> N2 and the N-NOSE platform for chemotaxis index-based detection, supported by urine- and VOC-based diagnostic rationale.</w:t>
            </w:r>
          </w:p>
        </w:tc>
      </w:tr>
      <w:tr w:rsidR="009346FC" w14:paraId="771C5C19" w14:textId="77777777">
        <w:trPr>
          <w:jc w:val="center"/>
        </w:trPr>
        <w:tc>
          <w:tcPr>
            <w:tcW w:w="17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395293E" w14:textId="77777777" w:rsidR="009346FC" w:rsidRDefault="00D4326E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AI-assisted diagnostic platforms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30CA67F2" w14:textId="77777777" w:rsidR="009346FC" w:rsidRDefault="00D4326E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32. Shi Y et al. </w:t>
            </w:r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>Worm-Based Diagnosis Combining Microfluidics toward Early Cancer Screening</w:t>
            </w:r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 xml:space="preserve">; 36. </w:t>
            </w:r>
            <w:proofErr w:type="spellStart"/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>Alshammari</w:t>
            </w:r>
            <w:proofErr w:type="spellEnd"/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 xml:space="preserve"> AH et al. </w:t>
            </w:r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>Beyond Binary: A Machine Learning Framework for Interpreting Organismal Behavior in Cancer Diagnostics</w:t>
            </w:r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 xml:space="preserve">; 37. Wang X et al. </w:t>
            </w:r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>An Artificial Neural Network for Image Classification Inspired by the Aversive Olfactory Learning Neural Ci</w:t>
            </w:r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 xml:space="preserve">rcuit in </w:t>
            </w:r>
            <w:proofErr w:type="spellStart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>Caenorhabditis</w:t>
            </w:r>
            <w:proofErr w:type="spellEnd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>elegans</w:t>
            </w:r>
            <w:proofErr w:type="spellEnd"/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>.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CAEBE48" w14:textId="77777777" w:rsidR="009346FC" w:rsidRDefault="00D4326E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These studies used </w:t>
            </w:r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 xml:space="preserve">C. </w:t>
            </w:r>
            <w:proofErr w:type="spellStart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>elegans</w:t>
            </w:r>
            <w:proofErr w:type="spellEnd"/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 xml:space="preserve"> chemotaxis or olfactory behavior as the basis for microfluidic platforms, automated imaging, behavioral tracking, and machine-learning interpretation; related work further developed </w:t>
            </w:r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 xml:space="preserve">C. </w:t>
            </w:r>
            <w:proofErr w:type="spellStart"/>
            <w:r>
              <w:rPr>
                <w:rStyle w:val="font41"/>
                <w:rFonts w:eastAsia="SimSun"/>
                <w:sz w:val="24"/>
                <w:szCs w:val="24"/>
                <w:lang w:bidi="ar"/>
              </w:rPr>
              <w:t>elegans</w:t>
            </w:r>
            <w:proofErr w:type="spellEnd"/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>-</w:t>
            </w:r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>inspired neural-circuit models.</w:t>
            </w:r>
          </w:p>
        </w:tc>
      </w:tr>
    </w:tbl>
    <w:p w14:paraId="6DEC6ECD" w14:textId="77777777" w:rsidR="009346FC" w:rsidRDefault="00D4326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Note</w:t>
      </w:r>
      <w:r>
        <w:rPr>
          <w:rFonts w:ascii="Times New Roman" w:hAnsi="Times New Roman" w:cs="Times New Roman"/>
          <w:sz w:val="24"/>
        </w:rPr>
        <w:t xml:space="preserve">: Representative strains or techniques were summarized from the cited studies where available. For review, meta-analysis, methodological, or AI-modeling studies that did not report specific </w:t>
      </w:r>
      <w:r>
        <w:rPr>
          <w:rFonts w:ascii="Times New Roman" w:hAnsi="Times New Roman" w:cs="Times New Roman"/>
          <w:i/>
          <w:iCs/>
          <w:sz w:val="24"/>
        </w:rPr>
        <w:t xml:space="preserve">C.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elegans</w:t>
      </w:r>
      <w:proofErr w:type="spellEnd"/>
      <w:r>
        <w:rPr>
          <w:rFonts w:ascii="Times New Roman" w:hAnsi="Times New Roman" w:cs="Times New Roman"/>
          <w:sz w:val="24"/>
        </w:rPr>
        <w:t xml:space="preserve"> strains, representative techniques, analytical platforms, or biological rationales were listed instead.</w:t>
      </w:r>
    </w:p>
    <w:sectPr w:rsidR="009346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6FC"/>
    <w:rsid w:val="009346FC"/>
    <w:rsid w:val="00D4326E"/>
    <w:rsid w:val="4E23089A"/>
    <w:rsid w:val="5DC32E6C"/>
    <w:rsid w:val="6410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890188D-6C14-47F4-86D2-196E868F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31">
    <w:name w:val="font31"/>
    <w:basedOn w:val="DefaultParagraphFont"/>
    <w:qFormat/>
    <w:rPr>
      <w:rFonts w:ascii="Times New Roman" w:hAnsi="Times New Roman" w:cs="Times New Roman" w:hint="default"/>
      <w:b/>
      <w:bCs/>
      <w:i/>
      <w:iCs/>
      <w:color w:val="000000"/>
      <w:sz w:val="22"/>
      <w:szCs w:val="22"/>
      <w:u w:val="none"/>
    </w:rPr>
  </w:style>
  <w:style w:type="character" w:customStyle="1" w:styleId="font11">
    <w:name w:val="font11"/>
    <w:basedOn w:val="DefaultParagraphFont"/>
    <w:rPr>
      <w:rFonts w:ascii="Times New Roman" w:hAnsi="Times New Roman" w:cs="Times New Roman" w:hint="default"/>
      <w:b/>
      <w:bCs/>
      <w:color w:val="000000"/>
      <w:sz w:val="22"/>
      <w:szCs w:val="22"/>
      <w:u w:val="none"/>
    </w:rPr>
  </w:style>
  <w:style w:type="character" w:customStyle="1" w:styleId="font41">
    <w:name w:val="font41"/>
    <w:basedOn w:val="DefaultParagraphFont"/>
    <w:rPr>
      <w:rFonts w:ascii="Times New Roman" w:hAnsi="Times New Roman" w:cs="Times New Roman" w:hint="default"/>
      <w:i/>
      <w:iCs/>
      <w:color w:val="000000"/>
      <w:sz w:val="22"/>
      <w:szCs w:val="22"/>
      <w:u w:val="none"/>
    </w:rPr>
  </w:style>
  <w:style w:type="character" w:customStyle="1" w:styleId="font21">
    <w:name w:val="font21"/>
    <w:basedOn w:val="DefaultParagraphFont"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LEGION</dc:creator>
  <cp:lastModifiedBy>Mohana Priya Krishnamoorthi</cp:lastModifiedBy>
  <cp:revision>2</cp:revision>
  <dcterms:created xsi:type="dcterms:W3CDTF">2026-06-06T09:31:00Z</dcterms:created>
  <dcterms:modified xsi:type="dcterms:W3CDTF">2026-06-06T09:31:00Z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eyJoZGlkIjoiZTVhOGY2YjI5MTcwZDk3ZDIyZmU1ZDE5MGFmOTI2ZmEiLCJ1c2VySWQiOiI0NjYzODEzNTEifQ==</vt:lpwstr>
  </property>
  <property fmtid="{D5CDD505-2E9C-101B-9397-08002B2CF9AE}" pid="4" name="ICV">
    <vt:lpwstr>CB4CB5178FE94F3D8FFFCB8FBFCB92F1_12</vt:lpwstr>
  </property>
</Properties>
</file>