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49D" w:rsidRPr="00AC3F05" w:rsidRDefault="00585697" w:rsidP="00C3549D">
      <w:pPr>
        <w:rPr>
          <w:rFonts w:ascii="Arial" w:hAnsi="Arial" w:cs="Arial"/>
        </w:rPr>
      </w:pPr>
      <w:r>
        <w:rPr>
          <w:rFonts w:ascii="Arial" w:hAnsi="Arial" w:cs="Arial"/>
          <w:b/>
        </w:rPr>
        <w:t>Supplementary Table S3</w:t>
      </w:r>
      <w:r w:rsidR="00C3549D" w:rsidRPr="00AC3F05">
        <w:rPr>
          <w:rFonts w:ascii="Arial" w:hAnsi="Arial" w:cs="Arial"/>
          <w:b/>
        </w:rPr>
        <w:t>.</w:t>
      </w:r>
      <w:r w:rsidR="00C3549D" w:rsidRPr="00AC3F05">
        <w:rPr>
          <w:rFonts w:ascii="Arial" w:hAnsi="Arial" w:cs="Arial"/>
        </w:rPr>
        <w:t xml:space="preserve"> Multivariate Cox proportional hazards analysis evaluating the independent prognostic value of the MTRS and clinical variables in TCGA cohort.</w:t>
      </w:r>
    </w:p>
    <w:tbl>
      <w:tblPr>
        <w:tblStyle w:val="TableauGrille7Couleur-Accentuation3"/>
        <w:tblpPr w:leftFromText="180" w:rightFromText="180" w:vertAnchor="page" w:horzAnchor="margin" w:tblpY="2983"/>
        <w:tblW w:w="0" w:type="auto"/>
        <w:tblLook w:val="04A0" w:firstRow="1" w:lastRow="0" w:firstColumn="1" w:lastColumn="0" w:noHBand="0" w:noVBand="1"/>
      </w:tblPr>
      <w:tblGrid>
        <w:gridCol w:w="2349"/>
        <w:gridCol w:w="2349"/>
        <w:gridCol w:w="2349"/>
        <w:gridCol w:w="2349"/>
      </w:tblGrid>
      <w:tr w:rsidR="00C3549D" w:rsidRPr="00410ECF" w:rsidTr="00F555A3">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349" w:type="dxa"/>
          </w:tcPr>
          <w:p w:rsidR="00C3549D" w:rsidRPr="00410ECF" w:rsidRDefault="00C3549D" w:rsidP="00F555A3">
            <w:pPr>
              <w:jc w:val="left"/>
              <w:rPr>
                <w:rFonts w:ascii="Arial" w:hAnsi="Arial" w:cs="Arial"/>
                <w:color w:val="auto"/>
              </w:rPr>
            </w:pPr>
            <w:r w:rsidRPr="00410ECF">
              <w:rPr>
                <w:rFonts w:ascii="Arial" w:hAnsi="Arial" w:cs="Arial"/>
                <w:color w:val="auto"/>
              </w:rPr>
              <w:t>Variables</w:t>
            </w:r>
          </w:p>
        </w:tc>
        <w:tc>
          <w:tcPr>
            <w:tcW w:w="2349" w:type="dxa"/>
          </w:tcPr>
          <w:p w:rsidR="00C3549D" w:rsidRPr="00410ECF" w:rsidRDefault="00C3549D" w:rsidP="00F555A3">
            <w:pPr>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Hazard ratios (HR)</w:t>
            </w:r>
          </w:p>
        </w:tc>
        <w:tc>
          <w:tcPr>
            <w:tcW w:w="2349" w:type="dxa"/>
          </w:tcPr>
          <w:p w:rsidR="00C3549D" w:rsidRPr="00410ECF" w:rsidRDefault="00C3549D" w:rsidP="00F555A3">
            <w:pPr>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95% confidence intervals (CI)</w:t>
            </w:r>
          </w:p>
        </w:tc>
        <w:tc>
          <w:tcPr>
            <w:tcW w:w="2349" w:type="dxa"/>
          </w:tcPr>
          <w:p w:rsidR="00C3549D" w:rsidRPr="00410ECF" w:rsidRDefault="00C3549D" w:rsidP="00F555A3">
            <w:pPr>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 xml:space="preserve">p-values </w:t>
            </w:r>
          </w:p>
        </w:tc>
      </w:tr>
      <w:tr w:rsidR="00C3549D" w:rsidRPr="00410ECF" w:rsidTr="00F555A3">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2349" w:type="dxa"/>
          </w:tcPr>
          <w:p w:rsidR="00C3549D" w:rsidRPr="00410ECF" w:rsidRDefault="00C3549D" w:rsidP="00F555A3">
            <w:pPr>
              <w:jc w:val="left"/>
              <w:rPr>
                <w:rFonts w:ascii="Arial" w:hAnsi="Arial" w:cs="Arial"/>
                <w:color w:val="auto"/>
              </w:rPr>
            </w:pPr>
            <w:r w:rsidRPr="00410ECF">
              <w:rPr>
                <w:rFonts w:ascii="Arial" w:hAnsi="Arial" w:cs="Arial"/>
                <w:color w:val="auto"/>
              </w:rPr>
              <w:t>Risk score</w:t>
            </w:r>
          </w:p>
        </w:tc>
        <w:tc>
          <w:tcPr>
            <w:tcW w:w="2349" w:type="dxa"/>
          </w:tcPr>
          <w:p w:rsidR="00C3549D" w:rsidRPr="00410ECF" w:rsidRDefault="00C3549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2.17</w:t>
            </w:r>
          </w:p>
        </w:tc>
        <w:tc>
          <w:tcPr>
            <w:tcW w:w="2349" w:type="dxa"/>
          </w:tcPr>
          <w:p w:rsidR="00C3549D" w:rsidRPr="00410ECF" w:rsidRDefault="00C3549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1.44-3.3</w:t>
            </w:r>
          </w:p>
        </w:tc>
        <w:tc>
          <w:tcPr>
            <w:tcW w:w="2349" w:type="dxa"/>
          </w:tcPr>
          <w:p w:rsidR="00C3549D" w:rsidRPr="00410ECF" w:rsidRDefault="00C3549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&lt;0.01</w:t>
            </w:r>
          </w:p>
        </w:tc>
      </w:tr>
      <w:tr w:rsidR="00C3549D" w:rsidRPr="00410ECF" w:rsidTr="00F555A3">
        <w:trPr>
          <w:trHeight w:val="430"/>
        </w:trPr>
        <w:tc>
          <w:tcPr>
            <w:cnfStyle w:val="001000000000" w:firstRow="0" w:lastRow="0" w:firstColumn="1" w:lastColumn="0" w:oddVBand="0" w:evenVBand="0" w:oddHBand="0" w:evenHBand="0" w:firstRowFirstColumn="0" w:firstRowLastColumn="0" w:lastRowFirstColumn="0" w:lastRowLastColumn="0"/>
            <w:tcW w:w="2349" w:type="dxa"/>
          </w:tcPr>
          <w:p w:rsidR="00C3549D" w:rsidRPr="00410ECF" w:rsidRDefault="00C3549D" w:rsidP="00F555A3">
            <w:pPr>
              <w:jc w:val="left"/>
              <w:rPr>
                <w:rFonts w:ascii="Arial" w:hAnsi="Arial" w:cs="Arial"/>
                <w:color w:val="auto"/>
              </w:rPr>
            </w:pPr>
            <w:r w:rsidRPr="00410ECF">
              <w:rPr>
                <w:rFonts w:ascii="Arial" w:hAnsi="Arial" w:cs="Arial"/>
                <w:color w:val="auto"/>
              </w:rPr>
              <w:t>Age</w:t>
            </w:r>
          </w:p>
        </w:tc>
        <w:tc>
          <w:tcPr>
            <w:tcW w:w="2349" w:type="dxa"/>
          </w:tcPr>
          <w:p w:rsidR="00C3549D" w:rsidRPr="00410ECF" w:rsidRDefault="00C3549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5.45</w:t>
            </w:r>
          </w:p>
        </w:tc>
        <w:tc>
          <w:tcPr>
            <w:tcW w:w="2349" w:type="dxa"/>
          </w:tcPr>
          <w:p w:rsidR="00C3549D" w:rsidRPr="00410ECF" w:rsidRDefault="00C3549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3.20-9.3</w:t>
            </w:r>
          </w:p>
        </w:tc>
        <w:tc>
          <w:tcPr>
            <w:tcW w:w="2349" w:type="dxa"/>
          </w:tcPr>
          <w:p w:rsidR="00C3549D" w:rsidRPr="00410ECF" w:rsidRDefault="00C3549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&lt;0.01</w:t>
            </w:r>
          </w:p>
        </w:tc>
      </w:tr>
      <w:tr w:rsidR="00C3549D" w:rsidRPr="00410ECF" w:rsidTr="00F555A3">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349" w:type="dxa"/>
          </w:tcPr>
          <w:p w:rsidR="00C3549D" w:rsidRPr="00410ECF" w:rsidRDefault="00C3549D" w:rsidP="00F555A3">
            <w:pPr>
              <w:jc w:val="left"/>
              <w:rPr>
                <w:rFonts w:ascii="Arial" w:hAnsi="Arial" w:cs="Arial"/>
                <w:color w:val="auto"/>
              </w:rPr>
            </w:pPr>
            <w:r w:rsidRPr="00410ECF">
              <w:rPr>
                <w:rFonts w:ascii="Arial" w:hAnsi="Arial" w:cs="Arial"/>
                <w:color w:val="auto"/>
              </w:rPr>
              <w:t>Cancer type</w:t>
            </w:r>
          </w:p>
        </w:tc>
        <w:tc>
          <w:tcPr>
            <w:tcW w:w="2349" w:type="dxa"/>
          </w:tcPr>
          <w:p w:rsidR="00C3549D" w:rsidRPr="00410ECF" w:rsidRDefault="00C3549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0.81</w:t>
            </w:r>
          </w:p>
        </w:tc>
        <w:tc>
          <w:tcPr>
            <w:tcW w:w="2349" w:type="dxa"/>
          </w:tcPr>
          <w:p w:rsidR="00C3549D" w:rsidRPr="00410ECF" w:rsidRDefault="00C3549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0.66-1.0</w:t>
            </w:r>
          </w:p>
        </w:tc>
        <w:tc>
          <w:tcPr>
            <w:tcW w:w="2349" w:type="dxa"/>
          </w:tcPr>
          <w:p w:rsidR="00C3549D" w:rsidRPr="00410ECF" w:rsidRDefault="00C3549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0.057</w:t>
            </w:r>
          </w:p>
        </w:tc>
      </w:tr>
      <w:tr w:rsidR="00C3549D" w:rsidRPr="00410ECF" w:rsidTr="00F555A3">
        <w:trPr>
          <w:trHeight w:val="413"/>
        </w:trPr>
        <w:tc>
          <w:tcPr>
            <w:cnfStyle w:val="001000000000" w:firstRow="0" w:lastRow="0" w:firstColumn="1" w:lastColumn="0" w:oddVBand="0" w:evenVBand="0" w:oddHBand="0" w:evenHBand="0" w:firstRowFirstColumn="0" w:firstRowLastColumn="0" w:lastRowFirstColumn="0" w:lastRowLastColumn="0"/>
            <w:tcW w:w="2349" w:type="dxa"/>
          </w:tcPr>
          <w:p w:rsidR="00C3549D" w:rsidRPr="00410ECF" w:rsidRDefault="00C3549D" w:rsidP="00F555A3">
            <w:pPr>
              <w:jc w:val="left"/>
              <w:rPr>
                <w:rFonts w:ascii="Arial" w:hAnsi="Arial" w:cs="Arial"/>
                <w:color w:val="auto"/>
              </w:rPr>
            </w:pPr>
            <w:r w:rsidRPr="00410ECF">
              <w:rPr>
                <w:rFonts w:ascii="Arial" w:hAnsi="Arial" w:cs="Arial"/>
                <w:color w:val="auto"/>
              </w:rPr>
              <w:t>Grade</w:t>
            </w:r>
          </w:p>
        </w:tc>
        <w:tc>
          <w:tcPr>
            <w:tcW w:w="2349" w:type="dxa"/>
          </w:tcPr>
          <w:p w:rsidR="00C3549D" w:rsidRPr="00410ECF" w:rsidRDefault="00C3549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2.61</w:t>
            </w:r>
          </w:p>
        </w:tc>
        <w:tc>
          <w:tcPr>
            <w:tcW w:w="2349" w:type="dxa"/>
          </w:tcPr>
          <w:p w:rsidR="00C3549D" w:rsidRPr="00410ECF" w:rsidRDefault="00C3549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1.75-3.9</w:t>
            </w:r>
          </w:p>
        </w:tc>
        <w:tc>
          <w:tcPr>
            <w:tcW w:w="2349" w:type="dxa"/>
          </w:tcPr>
          <w:p w:rsidR="00C3549D" w:rsidRPr="00410ECF" w:rsidRDefault="00C3549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&lt;0.01</w:t>
            </w:r>
          </w:p>
        </w:tc>
      </w:tr>
      <w:tr w:rsidR="00C3549D" w:rsidRPr="00410ECF" w:rsidTr="00F555A3">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349" w:type="dxa"/>
          </w:tcPr>
          <w:p w:rsidR="00C3549D" w:rsidRPr="00410ECF" w:rsidRDefault="00C3549D" w:rsidP="00F555A3">
            <w:pPr>
              <w:jc w:val="left"/>
              <w:rPr>
                <w:rFonts w:ascii="Arial" w:hAnsi="Arial" w:cs="Arial"/>
                <w:color w:val="auto"/>
              </w:rPr>
            </w:pPr>
            <w:r w:rsidRPr="00410ECF">
              <w:rPr>
                <w:rFonts w:ascii="Arial" w:hAnsi="Arial" w:cs="Arial"/>
                <w:color w:val="auto"/>
              </w:rPr>
              <w:t>Gender</w:t>
            </w:r>
          </w:p>
        </w:tc>
        <w:tc>
          <w:tcPr>
            <w:tcW w:w="2349" w:type="dxa"/>
          </w:tcPr>
          <w:p w:rsidR="00C3549D" w:rsidRPr="00410ECF" w:rsidRDefault="00C3549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1.06</w:t>
            </w:r>
          </w:p>
        </w:tc>
        <w:tc>
          <w:tcPr>
            <w:tcW w:w="2349" w:type="dxa"/>
          </w:tcPr>
          <w:p w:rsidR="00C3549D" w:rsidRPr="00410ECF" w:rsidRDefault="00C3549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0.74-1.5</w:t>
            </w:r>
          </w:p>
        </w:tc>
        <w:tc>
          <w:tcPr>
            <w:tcW w:w="2349" w:type="dxa"/>
          </w:tcPr>
          <w:p w:rsidR="00C3549D" w:rsidRPr="00410ECF" w:rsidRDefault="00C3549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0.756</w:t>
            </w:r>
          </w:p>
        </w:tc>
      </w:tr>
    </w:tbl>
    <w:p w:rsidR="00C3549D" w:rsidRPr="00AC3F05" w:rsidRDefault="00C3549D" w:rsidP="00C3549D">
      <w:pPr>
        <w:rPr>
          <w:rFonts w:ascii="Arial" w:hAnsi="Arial" w:cs="Arial"/>
        </w:rPr>
      </w:pPr>
    </w:p>
    <w:p w:rsidR="00C3549D" w:rsidRPr="00AC3F05" w:rsidRDefault="00C3549D" w:rsidP="00C3549D">
      <w:pPr>
        <w:rPr>
          <w:rFonts w:ascii="Arial" w:hAnsi="Arial" w:cs="Arial"/>
        </w:rPr>
      </w:pPr>
    </w:p>
    <w:p w:rsidR="00585697" w:rsidRDefault="00585697" w:rsidP="00C3549D">
      <w:pPr>
        <w:jc w:val="both"/>
        <w:rPr>
          <w:rFonts w:ascii="Arial" w:hAnsi="Arial" w:cs="Arial"/>
          <w:b/>
        </w:rPr>
      </w:pPr>
    </w:p>
    <w:p w:rsidR="00C3549D" w:rsidRPr="00AC3F05" w:rsidRDefault="00585697" w:rsidP="00C3549D">
      <w:pPr>
        <w:jc w:val="both"/>
        <w:rPr>
          <w:rFonts w:ascii="Arial" w:hAnsi="Arial" w:cs="Arial"/>
        </w:rPr>
      </w:pPr>
      <w:r>
        <w:rPr>
          <w:rFonts w:ascii="Arial" w:hAnsi="Arial" w:cs="Arial"/>
          <w:b/>
        </w:rPr>
        <w:t>Supplementary Table S</w:t>
      </w:r>
      <w:r w:rsidR="007B664F">
        <w:rPr>
          <w:rFonts w:ascii="Arial" w:hAnsi="Arial" w:cs="Arial"/>
          <w:b/>
        </w:rPr>
        <w:t>3</w:t>
      </w:r>
      <w:bookmarkStart w:id="0" w:name="_GoBack"/>
      <w:bookmarkEnd w:id="0"/>
      <w:r w:rsidR="00C3549D" w:rsidRPr="00AC3F05">
        <w:rPr>
          <w:rFonts w:ascii="Arial" w:hAnsi="Arial" w:cs="Arial"/>
          <w:b/>
        </w:rPr>
        <w:t>.</w:t>
      </w:r>
      <w:r w:rsidR="00C3549D" w:rsidRPr="00AC3F05">
        <w:rPr>
          <w:rFonts w:ascii="Arial" w:hAnsi="Arial" w:cs="Arial"/>
        </w:rPr>
        <w:t xml:space="preserve"> Hazard ratios (HR), 95% confidence intervals (CI), and corresponding p-values are reported for each variable included in the model. Clinical variables comprise age, gender, tumor grade, and cancer type (Histology). This analysis was conducted to assess whether the MRGS serves as an independent predictor of overall survival after adjustment for established prognostic factors.</w:t>
      </w:r>
    </w:p>
    <w:p w:rsidR="00C3549D" w:rsidRPr="00AC3F05" w:rsidRDefault="00C3549D" w:rsidP="00C3549D">
      <w:pPr>
        <w:rPr>
          <w:rFonts w:ascii="Arial" w:hAnsi="Arial" w:cs="Arial"/>
        </w:rPr>
      </w:pPr>
    </w:p>
    <w:p w:rsidR="008B5B6D" w:rsidRPr="00C3549D" w:rsidRDefault="008B5B6D">
      <w:pPr>
        <w:rPr>
          <w:rFonts w:ascii="Arial" w:hAnsi="Arial" w:cs="Arial"/>
          <w:b/>
        </w:rPr>
      </w:pPr>
    </w:p>
    <w:sectPr w:rsidR="008B5B6D" w:rsidRPr="00C3549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2CA"/>
    <w:rsid w:val="00585697"/>
    <w:rsid w:val="007B664F"/>
    <w:rsid w:val="008B5B6D"/>
    <w:rsid w:val="00C3549D"/>
    <w:rsid w:val="00FF4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9AAA9"/>
  <w15:chartTrackingRefBased/>
  <w15:docId w15:val="{53F727D4-A2EF-48B3-A081-408E2F6E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49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Grille7Couleur-Accentuation3">
    <w:name w:val="Grid Table 7 Colorful Accent 3"/>
    <w:basedOn w:val="TableauNormal"/>
    <w:uiPriority w:val="52"/>
    <w:rsid w:val="00C3549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117</Words>
  <Characters>671</Characters>
  <Application>Microsoft Office Word</Application>
  <DocSecurity>0</DocSecurity>
  <Lines>5</Lines>
  <Paragraphs>1</Paragraphs>
  <ScaleCrop>false</ScaleCrop>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Eyes</dc:creator>
  <cp:keywords/>
  <dc:description/>
  <cp:lastModifiedBy>Eyes</cp:lastModifiedBy>
  <cp:revision>4</cp:revision>
  <dcterms:created xsi:type="dcterms:W3CDTF">2026-04-05T15:16:00Z</dcterms:created>
  <dcterms:modified xsi:type="dcterms:W3CDTF">2026-04-06T11:00:00Z</dcterms:modified>
</cp:coreProperties>
</file>