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048DC" w:rsidRDefault="00B60865" w:rsidP="00C048DC">
      <w:pPr>
        <w:rPr>
          <w:rFonts w:ascii="Arial" w:hAnsi="Arial" w:cs="Arial"/>
          <w:lang w:bidi="en-US"/>
        </w:rPr>
      </w:pPr>
      <w:r>
        <w:rPr>
          <w:rFonts w:ascii="Arial" w:hAnsi="Arial" w:cs="Arial"/>
          <w:b/>
          <w:lang w:bidi="en-US"/>
        </w:rPr>
        <w:t>Supplementary Table S5</w:t>
      </w:r>
      <w:r w:rsidR="00C048DC" w:rsidRPr="00AC3F05">
        <w:rPr>
          <w:rFonts w:ascii="Arial" w:hAnsi="Arial" w:cs="Arial"/>
          <w:lang w:bidi="en-US"/>
        </w:rPr>
        <w:t>. The information of the seven prognosis-related genes.</w:t>
      </w:r>
    </w:p>
    <w:p w:rsidR="00C048DC" w:rsidRPr="00410ECF" w:rsidRDefault="00C048DC" w:rsidP="00C048DC">
      <w:pPr>
        <w:rPr>
          <w:rFonts w:ascii="Arial" w:hAnsi="Arial" w:cs="Arial"/>
        </w:rPr>
      </w:pPr>
    </w:p>
    <w:tbl>
      <w:tblPr>
        <w:tblStyle w:val="TableauGrille3-Accentuation3"/>
        <w:tblW w:w="11341" w:type="dxa"/>
        <w:tblInd w:w="-993" w:type="dxa"/>
        <w:tblLayout w:type="fixed"/>
        <w:tblLook w:val="04A0" w:firstRow="1" w:lastRow="0" w:firstColumn="1" w:lastColumn="0" w:noHBand="0" w:noVBand="1"/>
      </w:tblPr>
      <w:tblGrid>
        <w:gridCol w:w="998"/>
        <w:gridCol w:w="1271"/>
        <w:gridCol w:w="4253"/>
        <w:gridCol w:w="1134"/>
        <w:gridCol w:w="1275"/>
        <w:gridCol w:w="1134"/>
        <w:gridCol w:w="1276"/>
      </w:tblGrid>
      <w:tr w:rsidR="00C048DC" w:rsidRPr="00410ECF" w:rsidTr="00F555A3">
        <w:trPr>
          <w:gridBefore w:val="1"/>
          <w:cnfStyle w:val="100000000000" w:firstRow="1" w:lastRow="0" w:firstColumn="0" w:lastColumn="0" w:oddVBand="0" w:evenVBand="0" w:oddHBand="0" w:evenHBand="0" w:firstRowFirstColumn="0" w:firstRowLastColumn="0" w:lastRowFirstColumn="0" w:lastRowLastColumn="0"/>
          <w:wBefore w:w="998" w:type="dxa"/>
        </w:trPr>
        <w:tc>
          <w:tcPr>
            <w:cnfStyle w:val="001000000100" w:firstRow="0" w:lastRow="0" w:firstColumn="1" w:lastColumn="0" w:oddVBand="0" w:evenVBand="0" w:oddHBand="0" w:evenHBand="0" w:firstRowFirstColumn="1" w:firstRowLastColumn="0" w:lastRowFirstColumn="0" w:lastRowLastColumn="0"/>
            <w:tcW w:w="1271" w:type="dxa"/>
          </w:tcPr>
          <w:p w:rsidR="00C048DC" w:rsidRPr="00410ECF" w:rsidRDefault="00C048DC" w:rsidP="00F555A3">
            <w:pPr>
              <w:spacing w:after="160" w:line="259" w:lineRule="auto"/>
              <w:jc w:val="center"/>
              <w:rPr>
                <w:rFonts w:ascii="Arial" w:hAnsi="Arial" w:cs="Arial"/>
              </w:rPr>
            </w:pPr>
            <w:r w:rsidRPr="00410ECF">
              <w:rPr>
                <w:rFonts w:ascii="Arial" w:hAnsi="Arial" w:cs="Arial"/>
              </w:rPr>
              <w:t>Symbol</w:t>
            </w:r>
          </w:p>
        </w:tc>
        <w:tc>
          <w:tcPr>
            <w:tcW w:w="4253" w:type="dxa"/>
          </w:tcPr>
          <w:p w:rsidR="00C048DC" w:rsidRPr="00410ECF" w:rsidRDefault="00C048DC" w:rsidP="00F555A3">
            <w:pPr>
              <w:spacing w:after="160" w:line="259"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i/>
              </w:rPr>
            </w:pPr>
            <w:r w:rsidRPr="00410ECF">
              <w:rPr>
                <w:rFonts w:ascii="Arial" w:hAnsi="Arial" w:cs="Arial"/>
                <w:i/>
              </w:rPr>
              <w:t>Function</w:t>
            </w:r>
          </w:p>
        </w:tc>
        <w:tc>
          <w:tcPr>
            <w:tcW w:w="1134" w:type="dxa"/>
          </w:tcPr>
          <w:p w:rsidR="00C048DC" w:rsidRPr="00410ECF" w:rsidRDefault="00C048DC" w:rsidP="00F555A3">
            <w:pPr>
              <w:spacing w:after="160" w:line="259"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i/>
              </w:rPr>
            </w:pPr>
            <w:r>
              <w:rPr>
                <w:rFonts w:ascii="Arial" w:hAnsi="Arial" w:cs="Arial"/>
                <w:i/>
              </w:rPr>
              <w:t>HR</w:t>
            </w:r>
            <w:r w:rsidRPr="00410ECF">
              <w:rPr>
                <w:rFonts w:ascii="Arial" w:hAnsi="Arial" w:cs="Arial"/>
                <w:i/>
              </w:rPr>
              <w:t xml:space="preserve"> TCGA</w:t>
            </w:r>
          </w:p>
        </w:tc>
        <w:tc>
          <w:tcPr>
            <w:tcW w:w="1275" w:type="dxa"/>
          </w:tcPr>
          <w:p w:rsidR="00C048DC" w:rsidRPr="00410ECF" w:rsidRDefault="00C048DC" w:rsidP="00F555A3">
            <w:pPr>
              <w:spacing w:after="160" w:line="259"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i/>
              </w:rPr>
            </w:pPr>
            <w:r w:rsidRPr="00410ECF">
              <w:rPr>
                <w:rFonts w:ascii="Arial" w:hAnsi="Arial" w:cs="Arial"/>
                <w:i/>
              </w:rPr>
              <w:t>P value TCGA</w:t>
            </w:r>
          </w:p>
        </w:tc>
        <w:tc>
          <w:tcPr>
            <w:tcW w:w="1134" w:type="dxa"/>
          </w:tcPr>
          <w:p w:rsidR="00C048DC" w:rsidRPr="00410ECF" w:rsidRDefault="00C048DC" w:rsidP="00F555A3">
            <w:pPr>
              <w:spacing w:after="160" w:line="259"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i/>
              </w:rPr>
            </w:pPr>
            <w:r>
              <w:rPr>
                <w:rFonts w:ascii="Arial" w:hAnsi="Arial" w:cs="Arial"/>
                <w:i/>
              </w:rPr>
              <w:t>HR CGGA</w:t>
            </w:r>
          </w:p>
        </w:tc>
        <w:tc>
          <w:tcPr>
            <w:tcW w:w="1276" w:type="dxa"/>
          </w:tcPr>
          <w:p w:rsidR="00C048DC" w:rsidRPr="00410ECF" w:rsidRDefault="00C048DC" w:rsidP="00F555A3">
            <w:pPr>
              <w:spacing w:after="160" w:line="259"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i/>
              </w:rPr>
            </w:pPr>
            <w:r w:rsidRPr="00410ECF">
              <w:rPr>
                <w:rFonts w:ascii="Arial" w:hAnsi="Arial" w:cs="Arial"/>
                <w:i/>
              </w:rPr>
              <w:t>P value CGGA</w:t>
            </w:r>
          </w:p>
        </w:tc>
      </w:tr>
      <w:tr w:rsidR="00C048DC" w:rsidRPr="00410ECF" w:rsidTr="00F555A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9" w:type="dxa"/>
            <w:gridSpan w:val="2"/>
          </w:tcPr>
          <w:p w:rsidR="00C048DC" w:rsidRPr="00410ECF" w:rsidRDefault="00C048DC" w:rsidP="00F555A3">
            <w:pPr>
              <w:spacing w:after="160" w:line="259" w:lineRule="auto"/>
              <w:rPr>
                <w:rFonts w:ascii="Arial" w:hAnsi="Arial" w:cs="Arial"/>
                <w:b/>
              </w:rPr>
            </w:pPr>
            <w:r>
              <w:rPr>
                <w:rFonts w:ascii="Arial" w:hAnsi="Arial" w:cs="Arial"/>
                <w:b/>
              </w:rPr>
              <w:t xml:space="preserve"> </w:t>
            </w:r>
            <w:r w:rsidRPr="00410ECF">
              <w:rPr>
                <w:rFonts w:ascii="Arial" w:hAnsi="Arial" w:cs="Arial"/>
                <w:b/>
              </w:rPr>
              <w:t xml:space="preserve">ACADVL   </w:t>
            </w:r>
          </w:p>
        </w:tc>
        <w:tc>
          <w:tcPr>
            <w:tcW w:w="4253" w:type="dxa"/>
          </w:tcPr>
          <w:p w:rsidR="00C048DC" w:rsidRPr="00410ECF" w:rsidRDefault="00C048DC" w:rsidP="00F555A3">
            <w:pPr>
              <w:spacing w:after="160" w:line="259" w:lineRule="auto"/>
              <w:cnfStyle w:val="000000100000" w:firstRow="0" w:lastRow="0" w:firstColumn="0" w:lastColumn="0" w:oddVBand="0" w:evenVBand="0" w:oddHBand="1" w:evenHBand="0" w:firstRowFirstColumn="0" w:firstRowLastColumn="0" w:lastRowFirstColumn="0" w:lastRowLastColumn="0"/>
              <w:rPr>
                <w:rFonts w:ascii="Arial" w:hAnsi="Arial" w:cs="Arial"/>
              </w:rPr>
            </w:pPr>
            <w:r w:rsidRPr="00410ECF">
              <w:rPr>
                <w:rFonts w:ascii="Arial" w:hAnsi="Arial" w:cs="Arial"/>
              </w:rPr>
              <w:t xml:space="preserve"> ACADVL provides instructions for the production of an enzyme called very long-chain Acyl-CoA dehydrogenase (VLCAD). This enzyme functions mainly in mitochondria, and it’s crucial for fatty acid oxidation, a multi-step process that metabolizes fats and converts them into energy</w:t>
            </w:r>
            <w:r w:rsidRPr="00410ECF">
              <w:rPr>
                <w:rFonts w:ascii="Arial" w:hAnsi="Arial" w:cs="Arial"/>
              </w:rPr>
              <w:fldChar w:fldCharType="begin"/>
            </w:r>
            <w:r w:rsidRPr="00410ECF">
              <w:rPr>
                <w:rFonts w:ascii="Arial" w:hAnsi="Arial" w:cs="Arial"/>
              </w:rPr>
              <w:instrText xml:space="preserve"> ADDIN ZOTERO_ITEM CSL_CITATION {"citationID":"8BDqVVKZ","properties":{"formattedCitation":"(1)","plainCitation":"(1)","noteIndex":0},"citationItems":[{"id":2384,"uris":["http://zotero.org/users/14389580/items/ICEMUYWF"],"itemData":{"id":2384,"type":"article-journal","abstract":"Very long-chain acyl-CoA dehydrogenase deficiency (VLCAD) is a key enzyme catalysing the dehydrogenation of long-chain fatty acids in mitochondrial beta-oxidation. VLCAD deficiency is a genetic disorder that commonly presents in infancy or childhood with episodes of hypoketotic hypoglycaemia, cardiomyopathy and liver dysfunction. The present study reports an 18-yr-old Chinese female who presented with acute hypercapnic respiratory failure and rhabdomyolysis after a period of prolonged fasting and exertion. VLCAD deficiency was confirmed with decreased VLCAD activity in cultured fibroblasts. The patient completely recovered with supportive care. Pulmonary function tests after the acute episode showed evidence of chronic subclinical respiratory muscle weakness. In conclusion, this rare metabolic disorder should be considered in patients presenting with unexplained acute respiratory paralysis and failure.","container-title":"The European Respiratory Journal","DOI":"10.1183/09031936.06.00139205","ISSN":"0903-1936","issue":"2","journalAbbreviation":"Eur Respir J","language":"eng","note":"PMID: 16880373","page":"447-450","source":"PubMed","title":"Very long-chain acyl-CoA dehydrogenase deficiency presenting as acute hypercapnic respiratory failure","volume":"28","author":[{"family":"Tong","given":"M. K. H."},{"family":"Lam","given":"C.-S."},{"family":"Mak","given":"T. W. L."},{"family":"Fu","given":"M. Y. P."},{"family":"Ng","given":"S.-H."},{"family":"Wanders","given":"R. J. A."},{"family":"Tang","given":"N. L. S."}],"issued":{"date-parts":[["2006",8]]}}}],"schema":"https://github.com/citation-style-language/schema/raw/master/csl-citation.json"} </w:instrText>
            </w:r>
            <w:r w:rsidRPr="00410ECF">
              <w:rPr>
                <w:rFonts w:ascii="Arial" w:hAnsi="Arial" w:cs="Arial"/>
              </w:rPr>
              <w:fldChar w:fldCharType="separate"/>
            </w:r>
            <w:r w:rsidRPr="00410ECF">
              <w:rPr>
                <w:rFonts w:ascii="Arial" w:hAnsi="Arial" w:cs="Arial"/>
              </w:rPr>
              <w:t>(1)</w:t>
            </w:r>
            <w:r w:rsidRPr="00410ECF">
              <w:rPr>
                <w:rFonts w:ascii="Arial" w:hAnsi="Arial" w:cs="Arial"/>
              </w:rPr>
              <w:fldChar w:fldCharType="end"/>
            </w:r>
            <w:r w:rsidRPr="00410ECF">
              <w:rPr>
                <w:rFonts w:ascii="Arial" w:hAnsi="Arial" w:cs="Arial"/>
              </w:rPr>
              <w:t>.</w:t>
            </w:r>
          </w:p>
        </w:tc>
        <w:tc>
          <w:tcPr>
            <w:tcW w:w="1134" w:type="dxa"/>
          </w:tcPr>
          <w:p w:rsidR="00C048DC" w:rsidRPr="00410ECF" w:rsidRDefault="00C048DC" w:rsidP="00F555A3">
            <w:pPr>
              <w:spacing w:after="160" w:line="259" w:lineRule="auto"/>
              <w:cnfStyle w:val="000000100000" w:firstRow="0" w:lastRow="0" w:firstColumn="0" w:lastColumn="0" w:oddVBand="0" w:evenVBand="0" w:oddHBand="1" w:evenHBand="0" w:firstRowFirstColumn="0" w:firstRowLastColumn="0" w:lastRowFirstColumn="0" w:lastRowLastColumn="0"/>
              <w:rPr>
                <w:rFonts w:ascii="Arial" w:hAnsi="Arial" w:cs="Arial"/>
              </w:rPr>
            </w:pPr>
            <w:r w:rsidRPr="00410ECF">
              <w:rPr>
                <w:rFonts w:ascii="Arial" w:hAnsi="Arial" w:cs="Arial"/>
              </w:rPr>
              <w:t>2,153</w:t>
            </w:r>
          </w:p>
        </w:tc>
        <w:tc>
          <w:tcPr>
            <w:tcW w:w="1275" w:type="dxa"/>
          </w:tcPr>
          <w:p w:rsidR="00C048DC" w:rsidRPr="00410ECF" w:rsidRDefault="00C048DC" w:rsidP="00F555A3">
            <w:pPr>
              <w:spacing w:after="160" w:line="259" w:lineRule="auto"/>
              <w:cnfStyle w:val="000000100000" w:firstRow="0" w:lastRow="0" w:firstColumn="0" w:lastColumn="0" w:oddVBand="0" w:evenVBand="0" w:oddHBand="1" w:evenHBand="0" w:firstRowFirstColumn="0" w:firstRowLastColumn="0" w:lastRowFirstColumn="0" w:lastRowLastColumn="0"/>
              <w:rPr>
                <w:rFonts w:ascii="Arial" w:hAnsi="Arial" w:cs="Arial"/>
              </w:rPr>
            </w:pPr>
            <w:r w:rsidRPr="00410ECF">
              <w:rPr>
                <w:rFonts w:ascii="Arial" w:hAnsi="Arial" w:cs="Arial"/>
              </w:rPr>
              <w:t>&lt;0,0001</w:t>
            </w:r>
          </w:p>
        </w:tc>
        <w:tc>
          <w:tcPr>
            <w:tcW w:w="1134" w:type="dxa"/>
          </w:tcPr>
          <w:p w:rsidR="00C048DC" w:rsidRPr="00410ECF" w:rsidRDefault="00C048DC" w:rsidP="00F555A3">
            <w:pPr>
              <w:spacing w:after="160" w:line="259" w:lineRule="auto"/>
              <w:cnfStyle w:val="000000100000" w:firstRow="0" w:lastRow="0" w:firstColumn="0" w:lastColumn="0" w:oddVBand="0" w:evenVBand="0" w:oddHBand="1" w:evenHBand="0" w:firstRowFirstColumn="0" w:firstRowLastColumn="0" w:lastRowFirstColumn="0" w:lastRowLastColumn="0"/>
              <w:rPr>
                <w:rFonts w:ascii="Arial" w:hAnsi="Arial" w:cs="Arial"/>
              </w:rPr>
            </w:pPr>
            <w:r w:rsidRPr="00410ECF">
              <w:rPr>
                <w:rFonts w:ascii="Arial" w:hAnsi="Arial" w:cs="Arial"/>
              </w:rPr>
              <w:t>4,698</w:t>
            </w:r>
          </w:p>
        </w:tc>
        <w:tc>
          <w:tcPr>
            <w:tcW w:w="1276" w:type="dxa"/>
          </w:tcPr>
          <w:p w:rsidR="00C048DC" w:rsidRPr="00410ECF" w:rsidRDefault="00C048DC" w:rsidP="00F555A3">
            <w:pPr>
              <w:spacing w:after="160" w:line="259" w:lineRule="auto"/>
              <w:cnfStyle w:val="000000100000" w:firstRow="0" w:lastRow="0" w:firstColumn="0" w:lastColumn="0" w:oddVBand="0" w:evenVBand="0" w:oddHBand="1" w:evenHBand="0" w:firstRowFirstColumn="0" w:firstRowLastColumn="0" w:lastRowFirstColumn="0" w:lastRowLastColumn="0"/>
              <w:rPr>
                <w:rFonts w:ascii="Arial" w:hAnsi="Arial" w:cs="Arial"/>
              </w:rPr>
            </w:pPr>
            <w:r w:rsidRPr="00410ECF">
              <w:rPr>
                <w:rFonts w:ascii="Arial" w:hAnsi="Arial" w:cs="Arial"/>
              </w:rPr>
              <w:t>&lt;0,0001</w:t>
            </w:r>
          </w:p>
        </w:tc>
      </w:tr>
      <w:tr w:rsidR="00C048DC" w:rsidRPr="00410ECF" w:rsidTr="00F555A3">
        <w:trPr>
          <w:gridBefore w:val="1"/>
          <w:wBefore w:w="998" w:type="dxa"/>
        </w:trPr>
        <w:tc>
          <w:tcPr>
            <w:cnfStyle w:val="001000000000" w:firstRow="0" w:lastRow="0" w:firstColumn="1" w:lastColumn="0" w:oddVBand="0" w:evenVBand="0" w:oddHBand="0" w:evenHBand="0" w:firstRowFirstColumn="0" w:firstRowLastColumn="0" w:lastRowFirstColumn="0" w:lastRowLastColumn="0"/>
            <w:tcW w:w="1271" w:type="dxa"/>
          </w:tcPr>
          <w:p w:rsidR="00C048DC" w:rsidRPr="00410ECF" w:rsidRDefault="00C048DC" w:rsidP="00F555A3">
            <w:pPr>
              <w:spacing w:after="160" w:line="259" w:lineRule="auto"/>
              <w:jc w:val="left"/>
              <w:rPr>
                <w:rFonts w:ascii="Arial" w:hAnsi="Arial" w:cs="Arial"/>
                <w:b/>
              </w:rPr>
            </w:pPr>
            <w:r w:rsidRPr="00410ECF">
              <w:rPr>
                <w:rFonts w:ascii="Arial" w:hAnsi="Arial" w:cs="Arial"/>
                <w:b/>
              </w:rPr>
              <w:t>FDX1</w:t>
            </w:r>
          </w:p>
        </w:tc>
        <w:tc>
          <w:tcPr>
            <w:tcW w:w="4253" w:type="dxa"/>
          </w:tcPr>
          <w:p w:rsidR="00C048DC" w:rsidRPr="00410ECF" w:rsidRDefault="00C048DC" w:rsidP="00F555A3">
            <w:pPr>
              <w:spacing w:after="160" w:line="259"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sidRPr="00410ECF">
              <w:rPr>
                <w:rFonts w:ascii="Arial" w:hAnsi="Arial" w:cs="Arial"/>
              </w:rPr>
              <w:t>A small iron-sulfur protein involved in the metabolism of various steroids hormones, cholesterol and bile acids, and transfers electrons from NADPH to mitochondrial cytochrome P450 via ferredoxin reductase (FDXR)</w:t>
            </w:r>
            <w:r w:rsidRPr="00410ECF">
              <w:rPr>
                <w:rFonts w:ascii="Arial" w:hAnsi="Arial" w:cs="Arial"/>
              </w:rPr>
              <w:fldChar w:fldCharType="begin"/>
            </w:r>
            <w:r w:rsidRPr="00410ECF">
              <w:rPr>
                <w:rFonts w:ascii="Arial" w:hAnsi="Arial" w:cs="Arial"/>
              </w:rPr>
              <w:instrText xml:space="preserve"> ADDIN ZOTERO_ITEM CSL_CITATION {"citationID":"Sul8ekpi","properties":{"formattedCitation":"(2)","plainCitation":"(2)","noteIndex":0},"citationItems":[{"id":2386,"uris":["http://zotero.org/users/14389580/items/Q2CI538I"],"itemData":{"id":2386,"type":"article-journal","abstract":"BACKGROUND: Mitochondrial dysfunction and metabolic reprogramming can lead to the development and progression of hepatocellular carcinoma (HCC). Ferredoxin 1 (FDX1) is a small mitochondrial protein and recent studies have shown that FDX1 plays an important role in tumor cuproptosis, but its role in HCC is still elusive. In this study, we aim to investigate the expression and novel functions of FDX1 in HCC.\nMETHODS: FDX1 expression was first analyzed in publicly available datasets and verified by immunohistochemistry, qRT-PCR and Western blot. In vitro and in vivo experiments were applied to explore the functions of FDX1. Non-targeted metabolomics and RNA-sequencing were used to determine molecular mechanism. mRFP-GFP-LC3 lentivirus transfection, Mito-Tracker Red and Lyso-Tracker Green staining, transmission electron microscopy, flow cytometry, JC-1 staining, etc. were used to analyze mitophagy or ROS levels. Hydrodynamic tail vein injection (HTVi) and patient-derived organoid (PDO) models were used to analyze effect of FDX1 overexpression.\nRESULTS: FDX1 expression is significantly downregulated in HCC tissues. FDX1 downregulation promotes HCC cell proliferation, invasion in vitro and growth, metastasis in vivo. In addition, FDX1 affects metabolism of HCC cells and is associated with autophagy. We then confirmed that FDX1 deficiency increases ROS levels, activates mitophagy and the PI3K/AKT signaling pathway in HCC cells. Interestingly, scavenging ROS attenuates the tumor-promoting role and mitophagy of FDX1 downregulation. The results of HTVi and PDO models both find that FDX1 elevation significantly inhibits HCC progression. Moreover, low FDX1 expression is associated with shorter survival and is an independent risk factor for prognosis in HCC patients.\nCONCLUSIONS: Our research had investigated novel functions of FDX1 in HCC. Downregulation of FDX1 contributes to metabolic reprogramming and leads to ROS-mediated activation of mitophagy and the PI3K/AKT signaling pathway. FDX1 is a potential prognostic biomarker and increasing FDX1 expression may be a potential therapeutic approach to inhibit HCC progression.","container-title":"Redox Biology","DOI":"10.1016/j.redox.2024.103302","ISSN":"2213-2317","journalAbbreviation":"Redox Biol","language":"eng","note":"PMID: 39128228\nPMCID: PMC11366913","page":"103302","source":"PubMed","title":"FDX1 downregulation activates mitophagy and the PI3K/AKT signaling pathway to promote hepatocellular carcinoma progression by inducing ROS production","volume":"75","author":[{"family":"Sun","given":"Bo"},{"family":"Ding","given":"Peng"},{"family":"Song","given":"Yinghui"},{"family":"Zhou","given":"Jia"},{"family":"Chen","given":"Xu"},{"family":"Peng","given":"Chuang"},{"family":"Liu","given":"Sulai"}],"issued":{"date-parts":[["2024",9]]}}}],"schema":"https://github.com/citation-style-language/schema/raw/master/csl-citation.json"} </w:instrText>
            </w:r>
            <w:r w:rsidRPr="00410ECF">
              <w:rPr>
                <w:rFonts w:ascii="Arial" w:hAnsi="Arial" w:cs="Arial"/>
              </w:rPr>
              <w:fldChar w:fldCharType="separate"/>
            </w:r>
            <w:r w:rsidRPr="00410ECF">
              <w:rPr>
                <w:rFonts w:ascii="Arial" w:hAnsi="Arial" w:cs="Arial"/>
              </w:rPr>
              <w:t>(2)</w:t>
            </w:r>
            <w:r w:rsidRPr="00410ECF">
              <w:rPr>
                <w:rFonts w:ascii="Arial" w:hAnsi="Arial" w:cs="Arial"/>
              </w:rPr>
              <w:fldChar w:fldCharType="end"/>
            </w:r>
            <w:r w:rsidRPr="00410ECF">
              <w:rPr>
                <w:rFonts w:ascii="Arial" w:hAnsi="Arial" w:cs="Arial"/>
              </w:rPr>
              <w:t>.</w:t>
            </w:r>
          </w:p>
        </w:tc>
        <w:tc>
          <w:tcPr>
            <w:tcW w:w="1134" w:type="dxa"/>
          </w:tcPr>
          <w:p w:rsidR="00C048DC" w:rsidRPr="00410ECF" w:rsidRDefault="00C048DC" w:rsidP="00F555A3">
            <w:pPr>
              <w:spacing w:after="160" w:line="259"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sidRPr="00410ECF">
              <w:rPr>
                <w:rFonts w:ascii="Arial" w:hAnsi="Arial" w:cs="Arial"/>
              </w:rPr>
              <w:t>2,923</w:t>
            </w:r>
          </w:p>
        </w:tc>
        <w:tc>
          <w:tcPr>
            <w:tcW w:w="1275" w:type="dxa"/>
          </w:tcPr>
          <w:p w:rsidR="00C048DC" w:rsidRPr="00410ECF" w:rsidRDefault="00C048DC" w:rsidP="00F555A3">
            <w:pPr>
              <w:spacing w:after="160" w:line="259"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sidRPr="00410ECF">
              <w:rPr>
                <w:rFonts w:ascii="Arial" w:hAnsi="Arial" w:cs="Arial"/>
              </w:rPr>
              <w:t>&lt;0,0001</w:t>
            </w:r>
          </w:p>
        </w:tc>
        <w:tc>
          <w:tcPr>
            <w:tcW w:w="1134" w:type="dxa"/>
          </w:tcPr>
          <w:p w:rsidR="00C048DC" w:rsidRPr="00410ECF" w:rsidRDefault="00C048DC" w:rsidP="00F555A3">
            <w:pPr>
              <w:spacing w:after="160" w:line="259"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sidRPr="00410ECF">
              <w:rPr>
                <w:rFonts w:ascii="Arial" w:hAnsi="Arial" w:cs="Arial"/>
              </w:rPr>
              <w:t>0,6771</w:t>
            </w:r>
          </w:p>
        </w:tc>
        <w:tc>
          <w:tcPr>
            <w:tcW w:w="1276" w:type="dxa"/>
          </w:tcPr>
          <w:p w:rsidR="00C048DC" w:rsidRPr="00410ECF" w:rsidRDefault="00C048DC" w:rsidP="00F555A3">
            <w:pPr>
              <w:spacing w:after="160" w:line="259"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sidRPr="00410ECF">
              <w:rPr>
                <w:rFonts w:ascii="Arial" w:hAnsi="Arial" w:cs="Arial"/>
              </w:rPr>
              <w:t>&lt;0,0001</w:t>
            </w:r>
          </w:p>
        </w:tc>
      </w:tr>
      <w:tr w:rsidR="00C048DC" w:rsidRPr="00410ECF" w:rsidTr="00F555A3">
        <w:trPr>
          <w:gridBefore w:val="1"/>
          <w:cnfStyle w:val="000000100000" w:firstRow="0" w:lastRow="0" w:firstColumn="0" w:lastColumn="0" w:oddVBand="0" w:evenVBand="0" w:oddHBand="1" w:evenHBand="0" w:firstRowFirstColumn="0" w:firstRowLastColumn="0" w:lastRowFirstColumn="0" w:lastRowLastColumn="0"/>
          <w:wBefore w:w="998" w:type="dxa"/>
        </w:trPr>
        <w:tc>
          <w:tcPr>
            <w:cnfStyle w:val="001000000000" w:firstRow="0" w:lastRow="0" w:firstColumn="1" w:lastColumn="0" w:oddVBand="0" w:evenVBand="0" w:oddHBand="0" w:evenHBand="0" w:firstRowFirstColumn="0" w:firstRowLastColumn="0" w:lastRowFirstColumn="0" w:lastRowLastColumn="0"/>
            <w:tcW w:w="1271" w:type="dxa"/>
          </w:tcPr>
          <w:p w:rsidR="00C048DC" w:rsidRPr="00410ECF" w:rsidRDefault="00C048DC" w:rsidP="00F555A3">
            <w:pPr>
              <w:spacing w:after="160" w:line="259" w:lineRule="auto"/>
              <w:jc w:val="left"/>
              <w:rPr>
                <w:rFonts w:ascii="Arial" w:hAnsi="Arial" w:cs="Arial"/>
                <w:b/>
              </w:rPr>
            </w:pPr>
            <w:r w:rsidRPr="00410ECF">
              <w:rPr>
                <w:rFonts w:ascii="Arial" w:hAnsi="Arial" w:cs="Arial"/>
                <w:b/>
              </w:rPr>
              <w:t>ALDH3A2</w:t>
            </w:r>
          </w:p>
        </w:tc>
        <w:tc>
          <w:tcPr>
            <w:tcW w:w="4253" w:type="dxa"/>
          </w:tcPr>
          <w:p w:rsidR="00C048DC" w:rsidRPr="00410ECF" w:rsidRDefault="00C048DC" w:rsidP="00F555A3">
            <w:pPr>
              <w:spacing w:after="160" w:line="259" w:lineRule="auto"/>
              <w:cnfStyle w:val="000000100000" w:firstRow="0" w:lastRow="0" w:firstColumn="0" w:lastColumn="0" w:oddVBand="0" w:evenVBand="0" w:oddHBand="1" w:evenHBand="0" w:firstRowFirstColumn="0" w:firstRowLastColumn="0" w:lastRowFirstColumn="0" w:lastRowLastColumn="0"/>
              <w:rPr>
                <w:rFonts w:ascii="Arial" w:hAnsi="Arial" w:cs="Arial"/>
              </w:rPr>
            </w:pPr>
            <w:r w:rsidRPr="00410ECF">
              <w:rPr>
                <w:rFonts w:ascii="Arial" w:hAnsi="Arial" w:cs="Arial"/>
              </w:rPr>
              <w:t xml:space="preserve"> ALDH3A2 gene is a member of the aldehyde dehydrogenase (ALDH) gene family. It is responsible for the production of an enzyme called fatty aldehyde dehydrogenase (FALDH). This enzyme is implicated in the degradation of fats, in particular the breakdown of molecules called fatty aldehydes into fatty acids. This conversion is part fatty acid oxidation, during which the fats are broken down and converted into energy</w:t>
            </w:r>
            <w:r w:rsidRPr="00410ECF">
              <w:rPr>
                <w:rFonts w:ascii="Arial" w:hAnsi="Arial" w:cs="Arial"/>
              </w:rPr>
              <w:fldChar w:fldCharType="begin"/>
            </w:r>
            <w:r w:rsidRPr="00410ECF">
              <w:rPr>
                <w:rFonts w:ascii="Arial" w:hAnsi="Arial" w:cs="Arial"/>
              </w:rPr>
              <w:instrText xml:space="preserve"> ADDIN ZOTERO_ITEM CSL_CITATION {"citationID":"G6esIsIR","properties":{"formattedCitation":"(3)","plainCitation":"(3)","noteIndex":0},"citationItems":[{"id":2388,"uris":["http://zotero.org/users/14389580/items/9THMQUTB"],"itemData":{"id":2388,"type":"article-journal","abstract":"INTRODUCTION: Sjögren-Larsson syndrome (SLS) is a rare neurocutaneous disease characterized by ichthyosis, spasticity, intellectual disability and a distinctive retinopathy. It is caused by inactivating mutations in ALDH3A2, which codes for fatty aldehyde dehydrogenase (FALDH) and results in abnormal metabolism of long-chain aliphatic aldehydes and alcohols. The potential disease mechanisms leading to symptoms include 1) accumulation of toxic fatty aldehydes that form covalent adducts with lipids and membrane proteins; 2) physical disruption of multi-lamellar membranes in skin and brain; 3) abnormal activation of the JNK cell signaling pathway; and 4) defective farnesol metabolism resulting in abnormal PPAR-α dependent gene expression. Currently, no effective pathogenesis-based therapy is available.\nAREAS COVERED: The clinical, pathologic and genetic features of SLS are summarized. The biochemical abnormalities caused by deficient activity of FALDH are reviewed in the context of proposed pathogenic mechanisms and potential therapeutic interventions.\nEXPERT OPINION: The most promising pharmacologic approach to SLS involves blocking the formation of potentially harmful fatty aldehyde adducts using aldehyde scavenging drugs, currently in phase 2 clinical trials. Other approaches needing further investigation include: 1) ALDH-specific activator drugs and PPAR-α agonists to increase mutant FALDH activity; 2) inhibitors of the JNK phosphorylation cascade; 3) antioxidants to decrease aldehyde load; 4) dietary lipid modification; and 5) gene therapy.","container-title":"Expert Opinion on Orphan Drugs","DOI":"10.1517/21678707.2016.1154453","ISSN":"2167-8707","issue":"4","journalAbbreviation":"Expert Opin Orphan Drugs","language":"eng","note":"PMID: 27547594\nPMCID: PMC4989507","page":"395-406","source":"PubMed","title":"Genetics and prospective therapeutic targets for Sjögren-Larsson Syndrome","volume":"4","author":[{"family":"Rizzo","given":"William B."}],"issued":{"date-parts":[["2016",4]]}}}],"schema":"https://github.com/citation-style-language/schema/raw/master/csl-citation.json"} </w:instrText>
            </w:r>
            <w:r w:rsidRPr="00410ECF">
              <w:rPr>
                <w:rFonts w:ascii="Arial" w:hAnsi="Arial" w:cs="Arial"/>
              </w:rPr>
              <w:fldChar w:fldCharType="separate"/>
            </w:r>
            <w:r w:rsidRPr="00410ECF">
              <w:rPr>
                <w:rFonts w:ascii="Arial" w:hAnsi="Arial" w:cs="Arial"/>
              </w:rPr>
              <w:t>(3)</w:t>
            </w:r>
            <w:r w:rsidRPr="00410ECF">
              <w:rPr>
                <w:rFonts w:ascii="Arial" w:hAnsi="Arial" w:cs="Arial"/>
              </w:rPr>
              <w:fldChar w:fldCharType="end"/>
            </w:r>
            <w:r w:rsidRPr="00410ECF">
              <w:rPr>
                <w:rFonts w:ascii="Arial" w:hAnsi="Arial" w:cs="Arial"/>
              </w:rPr>
              <w:t xml:space="preserve">. </w:t>
            </w:r>
          </w:p>
        </w:tc>
        <w:tc>
          <w:tcPr>
            <w:tcW w:w="1134" w:type="dxa"/>
          </w:tcPr>
          <w:p w:rsidR="00C048DC" w:rsidRPr="00410ECF" w:rsidRDefault="00C048DC" w:rsidP="00F555A3">
            <w:pPr>
              <w:spacing w:after="160" w:line="259" w:lineRule="auto"/>
              <w:cnfStyle w:val="000000100000" w:firstRow="0" w:lastRow="0" w:firstColumn="0" w:lastColumn="0" w:oddVBand="0" w:evenVBand="0" w:oddHBand="1" w:evenHBand="0" w:firstRowFirstColumn="0" w:firstRowLastColumn="0" w:lastRowFirstColumn="0" w:lastRowLastColumn="0"/>
              <w:rPr>
                <w:rFonts w:ascii="Arial" w:hAnsi="Arial" w:cs="Arial"/>
              </w:rPr>
            </w:pPr>
            <w:r w:rsidRPr="00410ECF">
              <w:rPr>
                <w:rFonts w:ascii="Arial" w:hAnsi="Arial" w:cs="Arial"/>
              </w:rPr>
              <w:t>1,458</w:t>
            </w:r>
          </w:p>
        </w:tc>
        <w:tc>
          <w:tcPr>
            <w:tcW w:w="1275" w:type="dxa"/>
          </w:tcPr>
          <w:p w:rsidR="00C048DC" w:rsidRPr="00410ECF" w:rsidRDefault="00C048DC" w:rsidP="00F555A3">
            <w:pPr>
              <w:spacing w:after="160" w:line="259" w:lineRule="auto"/>
              <w:cnfStyle w:val="000000100000" w:firstRow="0" w:lastRow="0" w:firstColumn="0" w:lastColumn="0" w:oddVBand="0" w:evenVBand="0" w:oddHBand="1" w:evenHBand="0" w:firstRowFirstColumn="0" w:firstRowLastColumn="0" w:lastRowFirstColumn="0" w:lastRowLastColumn="0"/>
              <w:rPr>
                <w:rFonts w:ascii="Arial" w:hAnsi="Arial" w:cs="Arial"/>
              </w:rPr>
            </w:pPr>
            <w:r w:rsidRPr="00410ECF">
              <w:rPr>
                <w:rFonts w:ascii="Arial" w:hAnsi="Arial" w:cs="Arial"/>
              </w:rPr>
              <w:t>0.0127</w:t>
            </w:r>
          </w:p>
        </w:tc>
        <w:tc>
          <w:tcPr>
            <w:tcW w:w="1134" w:type="dxa"/>
          </w:tcPr>
          <w:p w:rsidR="00C048DC" w:rsidRPr="00410ECF" w:rsidRDefault="00C048DC" w:rsidP="00F555A3">
            <w:pPr>
              <w:spacing w:after="160" w:line="259" w:lineRule="auto"/>
              <w:cnfStyle w:val="000000100000" w:firstRow="0" w:lastRow="0" w:firstColumn="0" w:lastColumn="0" w:oddVBand="0" w:evenVBand="0" w:oddHBand="1" w:evenHBand="0" w:firstRowFirstColumn="0" w:firstRowLastColumn="0" w:lastRowFirstColumn="0" w:lastRowLastColumn="0"/>
              <w:rPr>
                <w:rFonts w:ascii="Arial" w:hAnsi="Arial" w:cs="Arial"/>
              </w:rPr>
            </w:pPr>
            <w:r w:rsidRPr="00410ECF">
              <w:rPr>
                <w:rFonts w:ascii="Arial" w:hAnsi="Arial" w:cs="Arial"/>
              </w:rPr>
              <w:t>4,216</w:t>
            </w:r>
          </w:p>
        </w:tc>
        <w:tc>
          <w:tcPr>
            <w:tcW w:w="1276" w:type="dxa"/>
          </w:tcPr>
          <w:p w:rsidR="00C048DC" w:rsidRPr="00410ECF" w:rsidRDefault="00C048DC" w:rsidP="00F555A3">
            <w:pPr>
              <w:spacing w:after="160" w:line="259" w:lineRule="auto"/>
              <w:cnfStyle w:val="000000100000" w:firstRow="0" w:lastRow="0" w:firstColumn="0" w:lastColumn="0" w:oddVBand="0" w:evenVBand="0" w:oddHBand="1" w:evenHBand="0" w:firstRowFirstColumn="0" w:firstRowLastColumn="0" w:lastRowFirstColumn="0" w:lastRowLastColumn="0"/>
              <w:rPr>
                <w:rFonts w:ascii="Arial" w:hAnsi="Arial" w:cs="Arial"/>
              </w:rPr>
            </w:pPr>
            <w:r w:rsidRPr="00410ECF">
              <w:rPr>
                <w:rFonts w:ascii="Arial" w:hAnsi="Arial" w:cs="Arial"/>
              </w:rPr>
              <w:t>&lt;0,0001</w:t>
            </w:r>
          </w:p>
        </w:tc>
      </w:tr>
      <w:tr w:rsidR="00C048DC" w:rsidRPr="00410ECF" w:rsidTr="00F555A3">
        <w:trPr>
          <w:gridBefore w:val="1"/>
          <w:wBefore w:w="998" w:type="dxa"/>
        </w:trPr>
        <w:tc>
          <w:tcPr>
            <w:cnfStyle w:val="001000000000" w:firstRow="0" w:lastRow="0" w:firstColumn="1" w:lastColumn="0" w:oddVBand="0" w:evenVBand="0" w:oddHBand="0" w:evenHBand="0" w:firstRowFirstColumn="0" w:firstRowLastColumn="0" w:lastRowFirstColumn="0" w:lastRowLastColumn="0"/>
            <w:tcW w:w="1271" w:type="dxa"/>
          </w:tcPr>
          <w:p w:rsidR="00C048DC" w:rsidRPr="00410ECF" w:rsidRDefault="00C048DC" w:rsidP="00F555A3">
            <w:pPr>
              <w:spacing w:after="160" w:line="259" w:lineRule="auto"/>
              <w:jc w:val="left"/>
              <w:rPr>
                <w:rFonts w:ascii="Arial" w:hAnsi="Arial" w:cs="Arial"/>
                <w:b/>
              </w:rPr>
            </w:pPr>
            <w:r w:rsidRPr="00410ECF">
              <w:rPr>
                <w:rFonts w:ascii="Arial" w:hAnsi="Arial" w:cs="Arial"/>
                <w:b/>
              </w:rPr>
              <w:t>ALKBH4</w:t>
            </w:r>
          </w:p>
        </w:tc>
        <w:tc>
          <w:tcPr>
            <w:tcW w:w="4253" w:type="dxa"/>
          </w:tcPr>
          <w:p w:rsidR="00C048DC" w:rsidRPr="00410ECF" w:rsidRDefault="00C048DC" w:rsidP="00F555A3">
            <w:pPr>
              <w:spacing w:after="160" w:line="259"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sidRPr="00410ECF">
              <w:rPr>
                <w:rFonts w:ascii="Arial" w:hAnsi="Arial" w:cs="Arial"/>
              </w:rPr>
              <w:t xml:space="preserve">-Dioxygenase engaged in the demethylation of </w:t>
            </w:r>
            <w:proofErr w:type="spellStart"/>
            <w:r w:rsidRPr="00410ECF">
              <w:rPr>
                <w:rFonts w:ascii="Arial" w:hAnsi="Arial" w:cs="Arial"/>
              </w:rPr>
              <w:t>monomethylated</w:t>
            </w:r>
            <w:proofErr w:type="spellEnd"/>
            <w:r w:rsidRPr="00410ECF">
              <w:rPr>
                <w:rFonts w:ascii="Arial" w:hAnsi="Arial" w:cs="Arial"/>
              </w:rPr>
              <w:t xml:space="preserve"> actin at 'Lys-84' (K84me1), serving as a regulator of </w:t>
            </w:r>
            <w:proofErr w:type="spellStart"/>
            <w:r w:rsidRPr="00410ECF">
              <w:rPr>
                <w:rFonts w:ascii="Arial" w:hAnsi="Arial" w:cs="Arial"/>
              </w:rPr>
              <w:t>actomyosin</w:t>
            </w:r>
            <w:proofErr w:type="spellEnd"/>
            <w:r w:rsidRPr="00410ECF">
              <w:rPr>
                <w:rFonts w:ascii="Arial" w:hAnsi="Arial" w:cs="Arial"/>
              </w:rPr>
              <w:t xml:space="preserve"> processes. Demethylation of actin K84me1 is required for the maintenance of </w:t>
            </w:r>
            <w:proofErr w:type="spellStart"/>
            <w:r w:rsidRPr="00410ECF">
              <w:rPr>
                <w:rFonts w:ascii="Arial" w:hAnsi="Arial" w:cs="Arial"/>
              </w:rPr>
              <w:t>actomyosin</w:t>
            </w:r>
            <w:proofErr w:type="spellEnd"/>
            <w:r w:rsidRPr="00410ECF">
              <w:rPr>
                <w:rFonts w:ascii="Arial" w:hAnsi="Arial" w:cs="Arial"/>
              </w:rPr>
              <w:t xml:space="preserve"> dynamics that allow normal cleavage furrow ingression during cytokinesis and cell migration</w:t>
            </w:r>
            <w:r w:rsidRPr="00410ECF">
              <w:rPr>
                <w:rFonts w:ascii="Arial" w:hAnsi="Arial" w:cs="Arial"/>
              </w:rPr>
              <w:fldChar w:fldCharType="begin"/>
            </w:r>
            <w:r w:rsidRPr="00410ECF">
              <w:rPr>
                <w:rFonts w:ascii="Arial" w:hAnsi="Arial" w:cs="Arial"/>
              </w:rPr>
              <w:instrText xml:space="preserve"> ADDIN ZOTERO_ITEM CSL_CITATION {"citationID":"DEFPk6uP","properties":{"formattedCitation":"(4)","plainCitation":"(4)","noteIndex":0},"citationItems":[{"id":2391,"uris":["http://zotero.org/users/14389580/items/VEWPHNGW"],"itemData":{"id":2391,"type":"article-journal","abstract":"Regulation of actomyosin dynamics by post-transcriptional modifications in cytoplasmic actin is still poorly understood. Here we demonstrate that dioxygenase ALKBH4-mediated demethylation of a monomethylated site in actin (K84me1) regulates actin–myosin interaction and actomyosin-dependent processes such as cytokinesis and cell migration. ALKBH4-deficient cells display elevated K84me1 levels. Non-muscle myosin II only interacts with unmethylated actin and its proper recruitment to and interaction with actin depend on ALKBH4. ALKBH4 co-localizes with the actomyosin-based contractile ring and midbody via association with methylated actin. ALKBH4-mediated regulation of actomyosin dynamics is completely dependent on its catalytic activity. Disorganization of cleavage furrow components and multinucleation associated with ALKBH4 deficiency can all be restored by reconstitution with wild-type but not catalytically inactive ALKBH4. Similar to actin and myosin knock-out mice, homozygous Alkbh4 mutant mice display early embryonic lethality. These findings imply that ALKBH4-dependent actin demethylation regulates actomyosin function by promoting actin-non-muscle myosin II interaction.","container-title":"Nature Communications","DOI":"10.1038/ncomms2863","ISSN":"2041-1723","issue":"1","journalAbbreviation":"Nat Commun","language":"en","license":"2013 The Author(s)","note":"publisher: Nature Publishing Group","page":"1832","source":"www.nature.com","title":"ALKBH4-dependent demethylation of actin regulates actomyosin dynamics","volume":"4","author":[{"family":"Li","given":"Ming-Ming"},{"family":"Nilsen","given":"Anja"},{"family":"Shi","given":"Yue"},{"family":"Fusser","given":"Markus"},{"family":"Ding","given":"Yue-He"},{"family":"Fu","given":"Ye"},{"family":"Liu","given":"Bo"},{"family":"Niu","given":"Yamei"},{"family":"Wu","given":"Yong-Sheng"},{"family":"Huang","given":"Chun-Min"},{"family":"Olofsson","given":"Maria"},{"family":"Jin","given":"Kang-Xuan"},{"family":"Lv","given":"Ying"},{"family":"Xu","given":"Xing-Zhi"},{"family":"He","given":"Chuan"},{"family":"Dong","given":"Meng-Qiu"},{"family":"Rendtlew Danielsen","given":"Jannie M."},{"family":"Klungland","given":"Arne"},{"family":"Yang","given":"Yun-Gui"}],"issued":{"date-parts":[["2013",5,14]]}}}],"schema":"https://github.com/citation-style-language/schema/raw/master/csl-citation.json"} </w:instrText>
            </w:r>
            <w:r w:rsidRPr="00410ECF">
              <w:rPr>
                <w:rFonts w:ascii="Arial" w:hAnsi="Arial" w:cs="Arial"/>
              </w:rPr>
              <w:fldChar w:fldCharType="separate"/>
            </w:r>
            <w:r w:rsidRPr="00410ECF">
              <w:rPr>
                <w:rFonts w:ascii="Arial" w:hAnsi="Arial" w:cs="Arial"/>
              </w:rPr>
              <w:t>(4)</w:t>
            </w:r>
            <w:r w:rsidRPr="00410ECF">
              <w:rPr>
                <w:rFonts w:ascii="Arial" w:hAnsi="Arial" w:cs="Arial"/>
              </w:rPr>
              <w:fldChar w:fldCharType="end"/>
            </w:r>
            <w:r w:rsidRPr="00410ECF">
              <w:rPr>
                <w:rFonts w:ascii="Arial" w:hAnsi="Arial" w:cs="Arial"/>
              </w:rPr>
              <w:t xml:space="preserve"> .  </w:t>
            </w:r>
          </w:p>
          <w:p w:rsidR="00C048DC" w:rsidRPr="00410ECF" w:rsidRDefault="00C048DC" w:rsidP="00F555A3">
            <w:pPr>
              <w:spacing w:after="160" w:line="259"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sidRPr="00410ECF">
              <w:rPr>
                <w:rFonts w:ascii="Arial" w:hAnsi="Arial" w:cs="Arial"/>
              </w:rPr>
              <w:t xml:space="preserve">-Can be involved in transcription regulation </w:t>
            </w:r>
            <w:r w:rsidRPr="00410ECF">
              <w:rPr>
                <w:rFonts w:ascii="Arial" w:hAnsi="Arial" w:cs="Arial"/>
              </w:rPr>
              <w:fldChar w:fldCharType="begin"/>
            </w:r>
            <w:r w:rsidRPr="00410ECF">
              <w:rPr>
                <w:rFonts w:ascii="Arial" w:hAnsi="Arial" w:cs="Arial"/>
              </w:rPr>
              <w:instrText xml:space="preserve"> ADDIN ZOTERO_ITEM CSL_CITATION {"citationID":"paa6Z5Pk","properties":{"formattedCitation":"(5)","plainCitation":"(5)","noteIndex":0},"citationItems":[{"id":2393,"uris":["http://zotero.org/users/14389580/items/5DJ5M59D"],"itemData":{"id":2393,"type":"article-journal","abstract":"Epitranscriptomics studies the mechanisms of acquired RNA modifications. The epitranscriptome is dynamically regulated by specific enzymatic reactions, and the proper execution of these enzymatic RNA modifications regulates a variety of physiological RNA functions. However, the lack of experimental tools, such as antibodies for RNA modification, limits the development of epitranscriptomic research. Furthermore, the regulatory enzymes of many RNA modifications have not yet been identified. Herein, we aimed to identify new molecular mechanisms involved in RNA modification by focusing on the AlkB homolog (ALKBH) family molecules, a family of RNA demethylases. We demonstrated that ALKBH4 interacts with small RNA, regulating the formation and metabolism of the (R)-5-carboxyhydroxymethyl uridine methyl ester. We also found that the reaction of ALKBH4 with small RNA enhances protein translation efficiency in an in vitro assay system. These findings indicate that ALKBH4 is involved in the regulation of uridine modification and expand on the role of tRNA-mediated translation control through ALKBH4.","container-title":"The Journal of Biological Chemistry","DOI":"10.1016/j.jbc.2023.105093","ISSN":"1083-351X","issue":"9","journalAbbreviation":"J Biol Chem","language":"eng","note":"PMID: 37507018\nPMCID: PMC10465949","page":"105093","source":"PubMed","title":"ALKBH4 is a novel enzyme that promotes translation through modified uridine regulation","volume":"299","author":[{"family":"Kogaki","given":"Takahiro"},{"family":"Hase","given":"Hiroaki"},{"family":"Tanimoto","given":"Masaya"},{"family":"Tashiro","given":"Atyuya"},{"family":"Kitae","given":"Kaori"},{"family":"Ueda","given":"Yuko"},{"family":"Jingushi","given":"Kentaro"},{"family":"Tsujikawa","given":"Kazutake"}],"issued":{"date-parts":[["2023",9]]}}}],"schema":"https://github.com/citation-style-language/schema/raw/master/csl-citation.json"} </w:instrText>
            </w:r>
            <w:r w:rsidRPr="00410ECF">
              <w:rPr>
                <w:rFonts w:ascii="Arial" w:hAnsi="Arial" w:cs="Arial"/>
              </w:rPr>
              <w:fldChar w:fldCharType="separate"/>
            </w:r>
            <w:r w:rsidRPr="00410ECF">
              <w:rPr>
                <w:rFonts w:ascii="Arial" w:hAnsi="Arial" w:cs="Arial"/>
              </w:rPr>
              <w:t>(5)</w:t>
            </w:r>
            <w:r w:rsidRPr="00410ECF">
              <w:rPr>
                <w:rFonts w:ascii="Arial" w:hAnsi="Arial" w:cs="Arial"/>
              </w:rPr>
              <w:fldChar w:fldCharType="end"/>
            </w:r>
            <w:r w:rsidRPr="00410ECF">
              <w:rPr>
                <w:rFonts w:ascii="Arial" w:hAnsi="Arial" w:cs="Arial"/>
              </w:rPr>
              <w:t xml:space="preserve">. </w:t>
            </w:r>
          </w:p>
        </w:tc>
        <w:tc>
          <w:tcPr>
            <w:tcW w:w="1134" w:type="dxa"/>
          </w:tcPr>
          <w:p w:rsidR="00C048DC" w:rsidRPr="00410ECF" w:rsidRDefault="00C048DC" w:rsidP="00F555A3">
            <w:pPr>
              <w:spacing w:after="160" w:line="259"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sidRPr="00410ECF">
              <w:rPr>
                <w:rFonts w:ascii="Arial" w:hAnsi="Arial" w:cs="Arial"/>
              </w:rPr>
              <w:t>1,537</w:t>
            </w:r>
          </w:p>
        </w:tc>
        <w:tc>
          <w:tcPr>
            <w:tcW w:w="1275" w:type="dxa"/>
          </w:tcPr>
          <w:p w:rsidR="00C048DC" w:rsidRPr="00410ECF" w:rsidRDefault="00C048DC" w:rsidP="00F555A3">
            <w:pPr>
              <w:spacing w:after="160" w:line="259"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sidRPr="00410ECF">
              <w:rPr>
                <w:rFonts w:ascii="Arial" w:hAnsi="Arial" w:cs="Arial"/>
              </w:rPr>
              <w:t>0,0018</w:t>
            </w:r>
          </w:p>
        </w:tc>
        <w:tc>
          <w:tcPr>
            <w:tcW w:w="1134" w:type="dxa"/>
          </w:tcPr>
          <w:p w:rsidR="00C048DC" w:rsidRPr="00410ECF" w:rsidRDefault="00C048DC" w:rsidP="00F555A3">
            <w:pPr>
              <w:spacing w:after="160" w:line="259"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sidRPr="00410ECF">
              <w:rPr>
                <w:rFonts w:ascii="Arial" w:hAnsi="Arial" w:cs="Arial"/>
              </w:rPr>
              <w:t>2,933</w:t>
            </w:r>
          </w:p>
        </w:tc>
        <w:tc>
          <w:tcPr>
            <w:tcW w:w="1276" w:type="dxa"/>
          </w:tcPr>
          <w:p w:rsidR="00C048DC" w:rsidRPr="00410ECF" w:rsidRDefault="00C048DC" w:rsidP="00F555A3">
            <w:pPr>
              <w:spacing w:after="160" w:line="259"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sidRPr="00410ECF">
              <w:rPr>
                <w:rFonts w:ascii="Arial" w:hAnsi="Arial" w:cs="Arial"/>
              </w:rPr>
              <w:t>&lt;0,0001</w:t>
            </w:r>
          </w:p>
        </w:tc>
      </w:tr>
      <w:tr w:rsidR="00C048DC" w:rsidRPr="00410ECF" w:rsidTr="00F555A3">
        <w:trPr>
          <w:gridBefore w:val="1"/>
          <w:cnfStyle w:val="000000100000" w:firstRow="0" w:lastRow="0" w:firstColumn="0" w:lastColumn="0" w:oddVBand="0" w:evenVBand="0" w:oddHBand="1" w:evenHBand="0" w:firstRowFirstColumn="0" w:firstRowLastColumn="0" w:lastRowFirstColumn="0" w:lastRowLastColumn="0"/>
          <w:wBefore w:w="998" w:type="dxa"/>
        </w:trPr>
        <w:tc>
          <w:tcPr>
            <w:cnfStyle w:val="001000000000" w:firstRow="0" w:lastRow="0" w:firstColumn="1" w:lastColumn="0" w:oddVBand="0" w:evenVBand="0" w:oddHBand="0" w:evenHBand="0" w:firstRowFirstColumn="0" w:firstRowLastColumn="0" w:lastRowFirstColumn="0" w:lastRowLastColumn="0"/>
            <w:tcW w:w="1271" w:type="dxa"/>
          </w:tcPr>
          <w:p w:rsidR="00C048DC" w:rsidRPr="00410ECF" w:rsidRDefault="00C048DC" w:rsidP="00F555A3">
            <w:pPr>
              <w:spacing w:after="160" w:line="259" w:lineRule="auto"/>
              <w:jc w:val="left"/>
              <w:rPr>
                <w:rFonts w:ascii="Arial" w:hAnsi="Arial" w:cs="Arial"/>
                <w:b/>
              </w:rPr>
            </w:pPr>
            <w:r w:rsidRPr="00410ECF">
              <w:rPr>
                <w:rFonts w:ascii="Arial" w:hAnsi="Arial" w:cs="Arial"/>
                <w:b/>
              </w:rPr>
              <w:lastRenderedPageBreak/>
              <w:t>ACSL1</w:t>
            </w:r>
          </w:p>
        </w:tc>
        <w:tc>
          <w:tcPr>
            <w:tcW w:w="4253" w:type="dxa"/>
          </w:tcPr>
          <w:p w:rsidR="00C048DC" w:rsidRPr="00410ECF" w:rsidRDefault="00C048DC" w:rsidP="00F555A3">
            <w:pPr>
              <w:spacing w:after="160" w:line="259" w:lineRule="auto"/>
              <w:cnfStyle w:val="000000100000" w:firstRow="0" w:lastRow="0" w:firstColumn="0" w:lastColumn="0" w:oddVBand="0" w:evenVBand="0" w:oddHBand="1" w:evenHBand="0" w:firstRowFirstColumn="0" w:firstRowLastColumn="0" w:lastRowFirstColumn="0" w:lastRowLastColumn="0"/>
              <w:rPr>
                <w:rFonts w:ascii="Arial" w:hAnsi="Arial" w:cs="Arial"/>
              </w:rPr>
            </w:pPr>
            <w:r w:rsidRPr="00410ECF">
              <w:rPr>
                <w:rFonts w:ascii="Arial" w:hAnsi="Arial" w:cs="Arial"/>
              </w:rPr>
              <w:t xml:space="preserve">Acsl1 is a key enzyme that drives fatty acids to the mitochondria for β-oxidation. The role of Acsl1 in energy metabolism has been unraveled in adipose tissue, heart and skeletal muscle </w:t>
            </w:r>
            <w:r w:rsidRPr="00410ECF">
              <w:rPr>
                <w:rFonts w:ascii="Arial" w:hAnsi="Arial" w:cs="Arial"/>
              </w:rPr>
              <w:fldChar w:fldCharType="begin"/>
            </w:r>
            <w:r w:rsidRPr="00410ECF">
              <w:rPr>
                <w:rFonts w:ascii="Arial" w:hAnsi="Arial" w:cs="Arial"/>
              </w:rPr>
              <w:instrText xml:space="preserve"> ADDIN ZOTERO_ITEM CSL_CITATION {"citationID":"Kikmeb0v","properties":{"formattedCitation":"(6)","plainCitation":"(6)","noteIndex":0},"citationItems":[{"id":2379,"uris":["http://zotero.org/users/14389580/items/WT39TTJ2"],"itemData":{"id":2379,"type":"article-journal","abstract":"The long-chain acyl-CoA synthase1 (Acsl1) is a major enzyme that converts long-chain fatty acids to acyl-CoAs. The role of Acsl1 in energy metabolism has been elucidated in the adipose tissue, heart, and skeletal muscle. Here, we demonstrate that systemic deficiency of Acsl1 caused severe skin barrier defects, leading to embryonic lethality. Acsl1 mRNA and protein are expressed in the Acsl1+/+ epidermis, which are absent in Acsl1−/− mice. In Acsl1−/− mice, epidermal ceramide [EOS] (Cer[EOS]) containing ω-O-esterified linoleic acid, a lipid essential for the skin barrier, was significantly reduced. Conversely, ω-hydroxy ceramide (Cer[OS]), a precursor of Cer[EOS], was increased. Moreover, the levels of triglyceride (TG) species containing linoleic acids were lower in Acsl1−/− mice, whereas those not containing linoleic acid were comparable to Acsl1+/+ mice. As TG is considered to work as a reservoir of linoleic acid for the biosynthesis of Cer[EOS] from Cer[OS], our results suggest that Acsl1 plays an essential role in ω-O-acylceramide synthesis by providing linoleic acid for ω-O-esterification. Therefore, our findings identified a new biological role of Acsl1 as a regulator of the skin barrier.","container-title":"Biochimica et Biophysica Acta (BBA) - Molecular and Cell Biology of Lipids","DOI":"10.1016/j.bbalip.2021.159085","ISSN":"1388-1981","issue":"2","journalAbbreviation":"Biochimica et Biophysica Acta (BBA) - Molecular and Cell Biology of Lipids","page":"159085","source":"ScienceDirect","title":"Acsl1 is essential for skin barrier function through the activation of linoleic acid and biosynthesis of ω-O-acylceramide in mice","volume":"1867","author":[{"family":"Kato","given":"Ayumi"},{"family":"Ito","given":"Mana"},{"family":"Sanaki","given":"Takao"},{"family":"Okuda","given":"Tomohiko"},{"family":"Tsuchiya","given":"Noriko"},{"family":"Yoshimoto","given":"Ryo"},{"family":"Yukioka","given":"Hideo"}],"issued":{"date-parts":[["2022",2,1]]}}}],"schema":"https://github.com/citation-style-language/schema/raw/master/csl-citation.json"} </w:instrText>
            </w:r>
            <w:r w:rsidRPr="00410ECF">
              <w:rPr>
                <w:rFonts w:ascii="Arial" w:hAnsi="Arial" w:cs="Arial"/>
              </w:rPr>
              <w:fldChar w:fldCharType="separate"/>
            </w:r>
            <w:r w:rsidRPr="00410ECF">
              <w:rPr>
                <w:rFonts w:ascii="Arial" w:hAnsi="Arial" w:cs="Arial"/>
              </w:rPr>
              <w:t>(6)</w:t>
            </w:r>
            <w:r w:rsidRPr="00410ECF">
              <w:rPr>
                <w:rFonts w:ascii="Arial" w:hAnsi="Arial" w:cs="Arial"/>
              </w:rPr>
              <w:fldChar w:fldCharType="end"/>
            </w:r>
            <w:r w:rsidRPr="00410ECF">
              <w:rPr>
                <w:rFonts w:ascii="Arial" w:hAnsi="Arial" w:cs="Arial"/>
              </w:rPr>
              <w:t>.</w:t>
            </w:r>
          </w:p>
        </w:tc>
        <w:tc>
          <w:tcPr>
            <w:tcW w:w="1134" w:type="dxa"/>
          </w:tcPr>
          <w:p w:rsidR="00C048DC" w:rsidRPr="00410ECF" w:rsidRDefault="00C048DC" w:rsidP="00F555A3">
            <w:pPr>
              <w:spacing w:after="160" w:line="259" w:lineRule="auto"/>
              <w:cnfStyle w:val="000000100000" w:firstRow="0" w:lastRow="0" w:firstColumn="0" w:lastColumn="0" w:oddVBand="0" w:evenVBand="0" w:oddHBand="1" w:evenHBand="0" w:firstRowFirstColumn="0" w:firstRowLastColumn="0" w:lastRowFirstColumn="0" w:lastRowLastColumn="0"/>
              <w:rPr>
                <w:rFonts w:ascii="Arial" w:hAnsi="Arial" w:cs="Arial"/>
              </w:rPr>
            </w:pPr>
            <w:r w:rsidRPr="00410ECF">
              <w:rPr>
                <w:rFonts w:ascii="Arial" w:hAnsi="Arial" w:cs="Arial"/>
              </w:rPr>
              <w:t>2,410</w:t>
            </w:r>
          </w:p>
        </w:tc>
        <w:tc>
          <w:tcPr>
            <w:tcW w:w="1275" w:type="dxa"/>
          </w:tcPr>
          <w:p w:rsidR="00C048DC" w:rsidRPr="00410ECF" w:rsidRDefault="00C048DC" w:rsidP="00F555A3">
            <w:pPr>
              <w:spacing w:after="160" w:line="259" w:lineRule="auto"/>
              <w:cnfStyle w:val="000000100000" w:firstRow="0" w:lastRow="0" w:firstColumn="0" w:lastColumn="0" w:oddVBand="0" w:evenVBand="0" w:oddHBand="1" w:evenHBand="0" w:firstRowFirstColumn="0" w:firstRowLastColumn="0" w:lastRowFirstColumn="0" w:lastRowLastColumn="0"/>
              <w:rPr>
                <w:rFonts w:ascii="Arial" w:hAnsi="Arial" w:cs="Arial"/>
              </w:rPr>
            </w:pPr>
            <w:r w:rsidRPr="00410ECF">
              <w:rPr>
                <w:rFonts w:ascii="Arial" w:hAnsi="Arial" w:cs="Arial"/>
              </w:rPr>
              <w:t>&lt;0,0001</w:t>
            </w:r>
          </w:p>
        </w:tc>
        <w:tc>
          <w:tcPr>
            <w:tcW w:w="1134" w:type="dxa"/>
          </w:tcPr>
          <w:p w:rsidR="00C048DC" w:rsidRPr="00410ECF" w:rsidRDefault="00C048DC" w:rsidP="00F555A3">
            <w:pPr>
              <w:spacing w:after="160" w:line="259" w:lineRule="auto"/>
              <w:cnfStyle w:val="000000100000" w:firstRow="0" w:lastRow="0" w:firstColumn="0" w:lastColumn="0" w:oddVBand="0" w:evenVBand="0" w:oddHBand="1" w:evenHBand="0" w:firstRowFirstColumn="0" w:firstRowLastColumn="0" w:lastRowFirstColumn="0" w:lastRowLastColumn="0"/>
              <w:rPr>
                <w:rFonts w:ascii="Arial" w:hAnsi="Arial" w:cs="Arial"/>
              </w:rPr>
            </w:pPr>
            <w:r w:rsidRPr="00410ECF">
              <w:rPr>
                <w:rFonts w:ascii="Arial" w:hAnsi="Arial" w:cs="Arial"/>
              </w:rPr>
              <w:t>2,771</w:t>
            </w:r>
          </w:p>
        </w:tc>
        <w:tc>
          <w:tcPr>
            <w:tcW w:w="1276" w:type="dxa"/>
          </w:tcPr>
          <w:p w:rsidR="00C048DC" w:rsidRPr="00410ECF" w:rsidRDefault="00C048DC" w:rsidP="00F555A3">
            <w:pPr>
              <w:spacing w:after="160" w:line="259" w:lineRule="auto"/>
              <w:cnfStyle w:val="000000100000" w:firstRow="0" w:lastRow="0" w:firstColumn="0" w:lastColumn="0" w:oddVBand="0" w:evenVBand="0" w:oddHBand="1" w:evenHBand="0" w:firstRowFirstColumn="0" w:firstRowLastColumn="0" w:lastRowFirstColumn="0" w:lastRowLastColumn="0"/>
              <w:rPr>
                <w:rFonts w:ascii="Arial" w:hAnsi="Arial" w:cs="Arial"/>
              </w:rPr>
            </w:pPr>
            <w:r w:rsidRPr="00410ECF">
              <w:rPr>
                <w:rFonts w:ascii="Arial" w:hAnsi="Arial" w:cs="Arial"/>
              </w:rPr>
              <w:t>0,0002</w:t>
            </w:r>
          </w:p>
        </w:tc>
      </w:tr>
      <w:tr w:rsidR="00C048DC" w:rsidRPr="00410ECF" w:rsidTr="00F555A3">
        <w:trPr>
          <w:gridBefore w:val="1"/>
          <w:wBefore w:w="998" w:type="dxa"/>
        </w:trPr>
        <w:tc>
          <w:tcPr>
            <w:cnfStyle w:val="001000000000" w:firstRow="0" w:lastRow="0" w:firstColumn="1" w:lastColumn="0" w:oddVBand="0" w:evenVBand="0" w:oddHBand="0" w:evenHBand="0" w:firstRowFirstColumn="0" w:firstRowLastColumn="0" w:lastRowFirstColumn="0" w:lastRowLastColumn="0"/>
            <w:tcW w:w="1271" w:type="dxa"/>
          </w:tcPr>
          <w:p w:rsidR="00C048DC" w:rsidRPr="00410ECF" w:rsidRDefault="00C048DC" w:rsidP="00F555A3">
            <w:pPr>
              <w:spacing w:after="160" w:line="259" w:lineRule="auto"/>
              <w:jc w:val="left"/>
              <w:rPr>
                <w:rFonts w:ascii="Arial" w:hAnsi="Arial" w:cs="Arial"/>
                <w:b/>
              </w:rPr>
            </w:pPr>
            <w:r w:rsidRPr="00410ECF">
              <w:rPr>
                <w:rFonts w:ascii="Arial" w:hAnsi="Arial" w:cs="Arial"/>
                <w:b/>
              </w:rPr>
              <w:t>NOX4</w:t>
            </w:r>
          </w:p>
        </w:tc>
        <w:tc>
          <w:tcPr>
            <w:tcW w:w="4253" w:type="dxa"/>
          </w:tcPr>
          <w:p w:rsidR="00C048DC" w:rsidRPr="00410ECF" w:rsidRDefault="00C048DC" w:rsidP="00F555A3">
            <w:pPr>
              <w:spacing w:after="160" w:line="259" w:lineRule="auto"/>
              <w:cnfStyle w:val="000000000000" w:firstRow="0" w:lastRow="0" w:firstColumn="0" w:lastColumn="0" w:oddVBand="0" w:evenVBand="0" w:oddHBand="0" w:evenHBand="0" w:firstRowFirstColumn="0" w:firstRowLastColumn="0" w:lastRowFirstColumn="0" w:lastRowLastColumn="0"/>
              <w:rPr>
                <w:rFonts w:ascii="Arial" w:hAnsi="Arial" w:cs="Arial"/>
              </w:rPr>
            </w:pPr>
            <w:proofErr w:type="spellStart"/>
            <w:r w:rsidRPr="00410ECF">
              <w:rPr>
                <w:rFonts w:ascii="Arial" w:hAnsi="Arial" w:cs="Arial"/>
              </w:rPr>
              <w:t>Nox</w:t>
            </w:r>
            <w:proofErr w:type="spellEnd"/>
            <w:r w:rsidRPr="00410ECF">
              <w:rPr>
                <w:rFonts w:ascii="Arial" w:hAnsi="Arial" w:cs="Arial"/>
              </w:rPr>
              <w:t xml:space="preserve"> is a distinct class of enzymes dedicated exclusively to the generation and regulation of </w:t>
            </w:r>
            <w:r w:rsidRPr="00410ECF">
              <w:rPr>
                <w:rFonts w:ascii="Arial" w:hAnsi="Arial" w:cs="Arial"/>
                <w:bCs/>
                <w:iCs/>
              </w:rPr>
              <w:t>oxidative stress in mitochondria</w:t>
            </w:r>
            <w:r w:rsidRPr="00410ECF">
              <w:rPr>
                <w:rFonts w:ascii="Arial" w:hAnsi="Arial" w:cs="Arial"/>
                <w:i/>
              </w:rPr>
              <w:t>.</w:t>
            </w:r>
            <w:r w:rsidRPr="00410ECF">
              <w:rPr>
                <w:rFonts w:ascii="Arial" w:hAnsi="Arial" w:cs="Arial"/>
              </w:rPr>
              <w:t xml:space="preserve"> </w:t>
            </w:r>
            <w:proofErr w:type="spellStart"/>
            <w:r w:rsidRPr="00410ECF">
              <w:rPr>
                <w:rFonts w:ascii="Arial" w:hAnsi="Arial" w:cs="Arial"/>
              </w:rPr>
              <w:t>Nox</w:t>
            </w:r>
            <w:proofErr w:type="spellEnd"/>
            <w:r w:rsidRPr="00410ECF">
              <w:rPr>
                <w:rFonts w:ascii="Arial" w:hAnsi="Arial" w:cs="Arial"/>
              </w:rPr>
              <w:t xml:space="preserve">-derived ROS are important in cellular physiology </w:t>
            </w:r>
            <w:r w:rsidRPr="00410ECF">
              <w:rPr>
                <w:rFonts w:ascii="Arial" w:hAnsi="Arial" w:cs="Arial"/>
              </w:rPr>
              <w:fldChar w:fldCharType="begin"/>
            </w:r>
            <w:r w:rsidRPr="00410ECF">
              <w:rPr>
                <w:rFonts w:ascii="Arial" w:hAnsi="Arial" w:cs="Arial"/>
              </w:rPr>
              <w:instrText xml:space="preserve"> ADDIN ZOTERO_ITEM CSL_CITATION {"citationID":"8WUzW5T6","properties":{"formattedCitation":"(7)","plainCitation":"(7)","noteIndex":0},"citationItems":[{"id":2401,"uris":["http://zotero.org/users/14389580/items/2944YQES"],"itemData":{"id":2401,"type":"article-journal","abstract":"NADPH oxidases (Nox) represent a family of hetero-oligomeric enzymes whose exclusive biological function is the generation of reactive oxygen species (ROS). Nox-derived ROS are essential modulators of signal transduction pathways that control key physiological activities such as cell growth, proliferation, migration, differentiation, and apoptosis, immune responses, and biochemical pathways. Enhanced formation of Nox-derived ROS, which is generally associated with the up-regulation of different Nox subtypes, has been established in various pathologies, namely cardiovascular diseases, diabetes, obesity, cancer, and neurodegeneration. The detrimental effects of Nox-derived ROS are related to alterations in cell signalling and/or direct irreversible oxidative damage of nucleic acids, proteins, carbohydrates, and lipids. Thus, understanding of transcriptional regulation mechanisms of Nox enzymes have been extensively investigated in an attempt to find ways to counteract the excessive formation of Nox-derived ROS in various pathological states. Despite the numerous existing data, the molecular pathways responsible for Nox up-regulation are not completely understood. This review article summarizes some of the recent advances and concepts related to the regulation of Nox expression in the vascular pathophysiology. It highlights the role of transcription factors and epigenetic mechanisms in this process. Identification of the signalling molecules involved in Nox up-regulation, which is associated with the onset and development of cardiovascular dysfunction may contribute to the development of novel strategies for the treatment of cardiovascular diseases., \n          \n            \n              •\n              Nox is a unique class of enzymes whose sole function is the generation of ROS.\n            \n            \n              •\n              Nox-derived ROS play a major role in cell physiology.\n            \n            \n              •\n              Enhanced expression and activation of Nox has been reported in numerous pathologies.\n            \n            \n              •\n              Nox expression is regulated via complex transcription factor-epigenetic mechanisms.\n            \n            \n              •\n              Understanding of Nox regulation is essential to counteract ROS-induced cell damage.","container-title":"Redox Biology","DOI":"10.1016/j.redox.2015.06.012","ISSN":"2213-2317","journalAbbreviation":"Redox Biol","note":"PMID: 26133261\nPMCID: PMC4501559","page":"358-366","source":"PubMed Central","title":"Regulation of Nox enzymes expression in vascular pathophysiology: Focusing on transcription factors and epigenetic mechanisms","title-short":"Regulation of Nox enzymes expression in vascular pathophysiology","volume":"5","author":[{"family":"Manea","given":"Simona-Adriana"},{"family":"Constantin","given":"Alina"},{"family":"Manda","given":"Gina"},{"family":"Sasson","given":"Shlomo"},{"family":"Manea","given":"Adrian"}],"issued":{"date-parts":[["2015",6,25]]}}}],"schema":"https://github.com/citation-style-language/schema/raw/master/csl-citation.json"} </w:instrText>
            </w:r>
            <w:r w:rsidRPr="00410ECF">
              <w:rPr>
                <w:rFonts w:ascii="Arial" w:hAnsi="Arial" w:cs="Arial"/>
              </w:rPr>
              <w:fldChar w:fldCharType="separate"/>
            </w:r>
            <w:r w:rsidRPr="00410ECF">
              <w:rPr>
                <w:rFonts w:ascii="Arial" w:hAnsi="Arial" w:cs="Arial"/>
              </w:rPr>
              <w:t>(7)</w:t>
            </w:r>
            <w:r w:rsidRPr="00410ECF">
              <w:rPr>
                <w:rFonts w:ascii="Arial" w:hAnsi="Arial" w:cs="Arial"/>
              </w:rPr>
              <w:fldChar w:fldCharType="end"/>
            </w:r>
            <w:r w:rsidRPr="00410ECF">
              <w:rPr>
                <w:rFonts w:ascii="Arial" w:hAnsi="Arial" w:cs="Arial"/>
              </w:rPr>
              <w:t xml:space="preserve">. </w:t>
            </w:r>
          </w:p>
          <w:p w:rsidR="00C048DC" w:rsidRPr="00410ECF" w:rsidRDefault="00C048DC" w:rsidP="00F555A3">
            <w:pPr>
              <w:spacing w:after="160" w:line="259"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sidRPr="00410ECF">
              <w:rPr>
                <w:rFonts w:ascii="Arial" w:hAnsi="Arial" w:cs="Arial"/>
              </w:rPr>
              <w:t xml:space="preserve">An increase in </w:t>
            </w:r>
            <w:proofErr w:type="spellStart"/>
            <w:r w:rsidRPr="00410ECF">
              <w:rPr>
                <w:rFonts w:ascii="Arial" w:hAnsi="Arial" w:cs="Arial"/>
              </w:rPr>
              <w:t>Nox</w:t>
            </w:r>
            <w:proofErr w:type="spellEnd"/>
            <w:r w:rsidRPr="00410ECF">
              <w:rPr>
                <w:rFonts w:ascii="Arial" w:hAnsi="Arial" w:cs="Arial"/>
              </w:rPr>
              <w:t xml:space="preserve"> expression and activation has been reported to enhance protein oxidation, resulting in impaired respiratory chain complex activity, altered mitochondrial function and bioenergetics, and enhanced oxidative stress </w:t>
            </w:r>
            <w:r w:rsidRPr="00410ECF">
              <w:rPr>
                <w:rFonts w:ascii="Arial" w:hAnsi="Arial" w:cs="Arial"/>
              </w:rPr>
              <w:fldChar w:fldCharType="begin"/>
            </w:r>
            <w:r w:rsidRPr="00410ECF">
              <w:rPr>
                <w:rFonts w:ascii="Arial" w:hAnsi="Arial" w:cs="Arial"/>
              </w:rPr>
              <w:instrText xml:space="preserve"> ADDIN ZOTERO_ITEM CSL_CITATION {"citationID":"zl2vDuTq","properties":{"formattedCitation":"(8)","plainCitation":"(8)","noteIndex":0},"citationItems":[{"id":2398,"uris":["http://zotero.org/users/14389580/items/AI2N6FDS"],"itemData":{"id":2398,"type":"article-journal","abstract":"AIMS: Increased oxidative stress and vascular inflammation are implicated in increased cardiovascular disease (CVD) incidence with age. We and others demonstrated that NOX1/2 NADPH oxidase inhibition, by genetic deletion of p47phox, in Apoe(-/-) mice decreases vascular reactive oxygen species (ROS) generation and atherosclerosis in young age. The present study examined whether NOX1/2 NADPH oxidases are also pivotal to aging-associated CVD.\nRESULTS: Both aged (16 months) Apoe(-/-) and Apoe(-/-)/p47phox(-/-) mice had increased atherosclerotic lesion area, aortic stiffness, and systolic dysfunction compared with young (4 months) cohorts. Cellular and mitochondrial ROS (mtROS) levels were significantly higher in aortic wall and vascular smooth muscle cells (VSMCs) from aged wild-type and p47phox(-/-) mice. VSMCs from aged mice had increased mitochondrial protein oxidation and dysfunction and increased vascular cell adhesion molecule 1 expression, which was abrogated with (2-(2,2,6,6-Tetramethylpiperidin-1-oxyl-4-ylamino)-2-oxoethyl)triphenylphosphonium chloride (MitoTEMPO) treatment. NOX4 expression was increased in the vasculature and mitochondria of aged mice and its suppression with shRNA in VSMCs from aged mice decreased mtROS levels and improved function. Increased mtROS levels were associated with enhanced mitochondrial NOX4 expression in aortic VSMCs from aged subjects, and NOX4 expression levels in arterial wall correlated with age and atherosclerotic severity. Aged Apoe(-/-) mice treated with MitoTEMPO and 2-(2-chlorophenyl)-4-methyl-5-(pyridin-2-ylmethyl)-1H-pyrazolo[4,3-c]pyridine-3,6(2H,5H)-dione had decreased vascular ROS levels and atherosclerosis and preserved vascular and cardiac function.\nINNOVATION AND CONCLUSION: These data suggest that NOX4, but not NOX1/2, and mitochondrial oxidative stress are mediators of CVD in aging under hyperlipidemic conditions. Regulating NOX4 activity/expression and using mitochondrial antioxidants are potential approaches to reducing aging-associated CVD.","container-title":"Antioxidants &amp; Redox Signaling","DOI":"10.1089/ars.2014.6221","ISSN":"1557-7716","issue":"18","journalAbbreviation":"Antioxid Redox Signal","language":"eng","note":"PMID: 26054376\nPMCID: PMC4692134","page":"1389-1409","source":"PubMed","title":"NOX4 NADPH Oxidase-Dependent Mitochondrial Oxidative Stress in Aging-Associated Cardiovascular Disease","volume":"23","author":[{"family":"Vendrov","given":"Aleksandr E."},{"family":"Vendrov","given":"Kimberly C."},{"family":"Smith","given":"Alberto"},{"family":"Yuan","given":"Jinling"},{"family":"Sumida","given":"Arihiro"},{"family":"Robidoux","given":"Jacques"},{"family":"Runge","given":"Marschall S."},{"family":"Madamanchi","given":"Nageswara R."}],"issued":{"date-parts":[["2015",12,20]]}}}],"schema":"https://github.com/citation-style-language/schema/raw/master/csl-citation.json"} </w:instrText>
            </w:r>
            <w:r w:rsidRPr="00410ECF">
              <w:rPr>
                <w:rFonts w:ascii="Arial" w:hAnsi="Arial" w:cs="Arial"/>
              </w:rPr>
              <w:fldChar w:fldCharType="separate"/>
            </w:r>
            <w:r w:rsidRPr="00410ECF">
              <w:rPr>
                <w:rFonts w:ascii="Arial" w:hAnsi="Arial" w:cs="Arial"/>
              </w:rPr>
              <w:t>(8)</w:t>
            </w:r>
            <w:r w:rsidRPr="00410ECF">
              <w:rPr>
                <w:rFonts w:ascii="Arial" w:hAnsi="Arial" w:cs="Arial"/>
              </w:rPr>
              <w:fldChar w:fldCharType="end"/>
            </w:r>
            <w:r w:rsidRPr="00410ECF">
              <w:rPr>
                <w:rFonts w:ascii="Arial" w:hAnsi="Arial" w:cs="Arial"/>
              </w:rPr>
              <w:t xml:space="preserve">. </w:t>
            </w:r>
          </w:p>
        </w:tc>
        <w:tc>
          <w:tcPr>
            <w:tcW w:w="1134" w:type="dxa"/>
          </w:tcPr>
          <w:p w:rsidR="00C048DC" w:rsidRPr="00410ECF" w:rsidRDefault="00C048DC" w:rsidP="00F555A3">
            <w:pPr>
              <w:spacing w:after="160" w:line="259"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sidRPr="00410ECF">
              <w:rPr>
                <w:rFonts w:ascii="Arial" w:hAnsi="Arial" w:cs="Arial"/>
              </w:rPr>
              <w:t>4,437</w:t>
            </w:r>
          </w:p>
        </w:tc>
        <w:tc>
          <w:tcPr>
            <w:tcW w:w="1275" w:type="dxa"/>
          </w:tcPr>
          <w:p w:rsidR="00C048DC" w:rsidRPr="00410ECF" w:rsidRDefault="00C048DC" w:rsidP="00F555A3">
            <w:pPr>
              <w:spacing w:after="160" w:line="259"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sidRPr="00410ECF">
              <w:rPr>
                <w:rFonts w:ascii="Arial" w:hAnsi="Arial" w:cs="Arial"/>
              </w:rPr>
              <w:t>&lt;0,0001</w:t>
            </w:r>
          </w:p>
        </w:tc>
        <w:tc>
          <w:tcPr>
            <w:tcW w:w="1134" w:type="dxa"/>
          </w:tcPr>
          <w:p w:rsidR="00C048DC" w:rsidRPr="00410ECF" w:rsidRDefault="00C048DC" w:rsidP="00F555A3">
            <w:pPr>
              <w:spacing w:after="160" w:line="259"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sidRPr="00410ECF">
              <w:rPr>
                <w:rFonts w:ascii="Arial" w:hAnsi="Arial" w:cs="Arial"/>
              </w:rPr>
              <w:t>6,646</w:t>
            </w:r>
          </w:p>
        </w:tc>
        <w:tc>
          <w:tcPr>
            <w:tcW w:w="1276" w:type="dxa"/>
          </w:tcPr>
          <w:p w:rsidR="00C048DC" w:rsidRPr="00410ECF" w:rsidRDefault="00C048DC" w:rsidP="00F555A3">
            <w:pPr>
              <w:spacing w:after="160" w:line="259"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sidRPr="00410ECF">
              <w:rPr>
                <w:rFonts w:ascii="Arial" w:hAnsi="Arial" w:cs="Arial"/>
              </w:rPr>
              <w:t>&lt;0,0001</w:t>
            </w:r>
          </w:p>
        </w:tc>
      </w:tr>
      <w:tr w:rsidR="00C048DC" w:rsidRPr="00410ECF" w:rsidTr="00F555A3">
        <w:trPr>
          <w:gridBefore w:val="1"/>
          <w:cnfStyle w:val="000000100000" w:firstRow="0" w:lastRow="0" w:firstColumn="0" w:lastColumn="0" w:oddVBand="0" w:evenVBand="0" w:oddHBand="1" w:evenHBand="0" w:firstRowFirstColumn="0" w:firstRowLastColumn="0" w:lastRowFirstColumn="0" w:lastRowLastColumn="0"/>
          <w:wBefore w:w="998" w:type="dxa"/>
        </w:trPr>
        <w:tc>
          <w:tcPr>
            <w:cnfStyle w:val="001000000000" w:firstRow="0" w:lastRow="0" w:firstColumn="1" w:lastColumn="0" w:oddVBand="0" w:evenVBand="0" w:oddHBand="0" w:evenHBand="0" w:firstRowFirstColumn="0" w:firstRowLastColumn="0" w:lastRowFirstColumn="0" w:lastRowLastColumn="0"/>
            <w:tcW w:w="1271" w:type="dxa"/>
          </w:tcPr>
          <w:p w:rsidR="00C048DC" w:rsidRPr="00410ECF" w:rsidRDefault="00C048DC" w:rsidP="00F555A3">
            <w:pPr>
              <w:spacing w:after="160" w:line="259" w:lineRule="auto"/>
              <w:jc w:val="left"/>
              <w:rPr>
                <w:rFonts w:ascii="Arial" w:hAnsi="Arial" w:cs="Arial"/>
                <w:b/>
              </w:rPr>
            </w:pPr>
            <w:r w:rsidRPr="00410ECF">
              <w:rPr>
                <w:rFonts w:ascii="Arial" w:hAnsi="Arial" w:cs="Arial"/>
                <w:b/>
              </w:rPr>
              <w:t>FASTK</w:t>
            </w:r>
          </w:p>
        </w:tc>
        <w:tc>
          <w:tcPr>
            <w:tcW w:w="4253" w:type="dxa"/>
          </w:tcPr>
          <w:p w:rsidR="00C048DC" w:rsidRPr="00410ECF" w:rsidRDefault="00C048DC" w:rsidP="00F555A3">
            <w:pPr>
              <w:spacing w:after="160" w:line="259" w:lineRule="auto"/>
              <w:cnfStyle w:val="000000100000" w:firstRow="0" w:lastRow="0" w:firstColumn="0" w:lastColumn="0" w:oddVBand="0" w:evenVBand="0" w:oddHBand="1" w:evenHBand="0" w:firstRowFirstColumn="0" w:firstRowLastColumn="0" w:lastRowFirstColumn="0" w:lastRowLastColumn="0"/>
              <w:rPr>
                <w:rFonts w:ascii="Arial" w:hAnsi="Arial" w:cs="Arial"/>
              </w:rPr>
            </w:pPr>
            <w:r w:rsidRPr="00410ECF">
              <w:rPr>
                <w:rFonts w:ascii="Arial" w:hAnsi="Arial" w:cs="Arial"/>
              </w:rPr>
              <w:t xml:space="preserve">A mitochondria-specific isoform of FASTK is found in mitochondrial RNA granules and is involved in the biogenesis of ND6 mRNA, a subunit of the mitochondria-encoded NADH dehydrogenase complex (complex I) governing mitochondrial gene expression and function </w:t>
            </w:r>
            <w:r w:rsidRPr="00410ECF">
              <w:rPr>
                <w:rFonts w:ascii="Arial" w:hAnsi="Arial" w:cs="Arial"/>
              </w:rPr>
              <w:fldChar w:fldCharType="begin"/>
            </w:r>
            <w:r w:rsidRPr="00410ECF">
              <w:rPr>
                <w:rFonts w:ascii="Arial" w:hAnsi="Arial" w:cs="Arial"/>
              </w:rPr>
              <w:instrText xml:space="preserve"> ADDIN ZOTERO_ITEM CSL_CITATION {"citationID":"KGjlvE3D","properties":{"formattedCitation":"(9)","plainCitation":"(9)","noteIndex":0},"citationItems":[{"id":2404,"uris":["http://zotero.org/users/14389580/items/2AH76IR6"],"itemData":{"id":2404,"type":"article-journal","abstract":"The mitochondrial genome relies heavily on post-transcriptional events for its proper expression, and misregulation of this process can cause mitochondrial genetic diseases in humans. Here, we report that a novel translational variant of Fas-activated serine/threonine kinase (FASTK) co-localizes with mitochondrial RNA granules and is required for the biogenesis of ND6 mRNA, a mitochondrial-encoded subunit of the NADH dehydrogenase complex (complex I). We show that ablating FASTK expression in cultured cells and mice results specifically in loss of ND6 mRNA and reduced complex I activity in vivo. FASTK binds at multiple sites along the ND6 mRNA and its precursors and cooperates with the mitochondrial degradosome to ensure regulated ND6 mRNA biogenesis. These data provide insights into the mechanism and control of mitochondrial RNA processing within mitochondrial RNA granules.","container-title":"Cell Reports","DOI":"10.1016/j.celrep.2015.01.063","ISSN":"2211-1247","issue":"7","journalAbbreviation":"Cell Rep","language":"eng","note":"PMID: 25704814","page":"1110-1121","source":"PubMed","title":"A mitochondria-specific isoform of FASTK is present in mitochondrial RNA granules and regulates gene expression and function","volume":"10","author":[{"family":"Jourdain","given":"Alexis A."},{"family":"Koppen","given":"Mirko"},{"family":"Rodley","given":"Christopher D."},{"family":"Maundrell","given":"Kinsey"},{"family":"Gueguen","given":"Naïg"},{"family":"Reynier","given":"Pascal"},{"family":"Guaras","given":"Adela M."},{"family":"Enriquez","given":"José A."},{"family":"Anderson","given":"Paul"},{"family":"Simarro","given":"Maria"},{"family":"Martinou","given":"Jean-Claude"}],"issued":{"date-parts":[["2015",2,24]]}}}],"schema":"https://github.com/citation-style-language/schema/raw/master/csl-citation.json"} </w:instrText>
            </w:r>
            <w:r w:rsidRPr="00410ECF">
              <w:rPr>
                <w:rFonts w:ascii="Arial" w:hAnsi="Arial" w:cs="Arial"/>
              </w:rPr>
              <w:fldChar w:fldCharType="separate"/>
            </w:r>
            <w:r w:rsidRPr="00410ECF">
              <w:rPr>
                <w:rFonts w:ascii="Arial" w:hAnsi="Arial" w:cs="Arial"/>
              </w:rPr>
              <w:t>(9)</w:t>
            </w:r>
            <w:r w:rsidRPr="00410ECF">
              <w:rPr>
                <w:rFonts w:ascii="Arial" w:hAnsi="Arial" w:cs="Arial"/>
              </w:rPr>
              <w:fldChar w:fldCharType="end"/>
            </w:r>
            <w:r w:rsidRPr="00410ECF">
              <w:rPr>
                <w:rFonts w:ascii="Arial" w:hAnsi="Arial" w:cs="Arial"/>
              </w:rPr>
              <w:t>.</w:t>
            </w:r>
          </w:p>
        </w:tc>
        <w:tc>
          <w:tcPr>
            <w:tcW w:w="1134" w:type="dxa"/>
          </w:tcPr>
          <w:p w:rsidR="00C048DC" w:rsidRPr="00410ECF" w:rsidRDefault="00C048DC" w:rsidP="00F555A3">
            <w:pPr>
              <w:spacing w:after="160" w:line="259" w:lineRule="auto"/>
              <w:cnfStyle w:val="000000100000" w:firstRow="0" w:lastRow="0" w:firstColumn="0" w:lastColumn="0" w:oddVBand="0" w:evenVBand="0" w:oddHBand="1" w:evenHBand="0" w:firstRowFirstColumn="0" w:firstRowLastColumn="0" w:lastRowFirstColumn="0" w:lastRowLastColumn="0"/>
              <w:rPr>
                <w:rFonts w:ascii="Arial" w:hAnsi="Arial" w:cs="Arial"/>
              </w:rPr>
            </w:pPr>
            <w:r w:rsidRPr="00410ECF">
              <w:rPr>
                <w:rFonts w:ascii="Arial" w:hAnsi="Arial" w:cs="Arial"/>
              </w:rPr>
              <w:t>2,149</w:t>
            </w:r>
          </w:p>
        </w:tc>
        <w:tc>
          <w:tcPr>
            <w:tcW w:w="1275" w:type="dxa"/>
          </w:tcPr>
          <w:p w:rsidR="00C048DC" w:rsidRPr="00410ECF" w:rsidRDefault="00C048DC" w:rsidP="00F555A3">
            <w:pPr>
              <w:spacing w:after="160" w:line="259" w:lineRule="auto"/>
              <w:cnfStyle w:val="000000100000" w:firstRow="0" w:lastRow="0" w:firstColumn="0" w:lastColumn="0" w:oddVBand="0" w:evenVBand="0" w:oddHBand="1" w:evenHBand="0" w:firstRowFirstColumn="0" w:firstRowLastColumn="0" w:lastRowFirstColumn="0" w:lastRowLastColumn="0"/>
              <w:rPr>
                <w:rFonts w:ascii="Arial" w:hAnsi="Arial" w:cs="Arial"/>
              </w:rPr>
            </w:pPr>
            <w:r w:rsidRPr="00410ECF">
              <w:rPr>
                <w:rFonts w:ascii="Arial" w:hAnsi="Arial" w:cs="Arial"/>
              </w:rPr>
              <w:t>&lt;0,0001</w:t>
            </w:r>
          </w:p>
        </w:tc>
        <w:tc>
          <w:tcPr>
            <w:tcW w:w="1134" w:type="dxa"/>
          </w:tcPr>
          <w:p w:rsidR="00C048DC" w:rsidRPr="00410ECF" w:rsidRDefault="00C048DC" w:rsidP="00F555A3">
            <w:pPr>
              <w:spacing w:after="160" w:line="259" w:lineRule="auto"/>
              <w:cnfStyle w:val="000000100000" w:firstRow="0" w:lastRow="0" w:firstColumn="0" w:lastColumn="0" w:oddVBand="0" w:evenVBand="0" w:oddHBand="1" w:evenHBand="0" w:firstRowFirstColumn="0" w:firstRowLastColumn="0" w:lastRowFirstColumn="0" w:lastRowLastColumn="0"/>
              <w:rPr>
                <w:rFonts w:ascii="Arial" w:hAnsi="Arial" w:cs="Arial"/>
              </w:rPr>
            </w:pPr>
            <w:r w:rsidRPr="00410ECF">
              <w:rPr>
                <w:rFonts w:ascii="Arial" w:hAnsi="Arial" w:cs="Arial"/>
              </w:rPr>
              <w:t>4,575</w:t>
            </w:r>
          </w:p>
        </w:tc>
        <w:tc>
          <w:tcPr>
            <w:tcW w:w="1276" w:type="dxa"/>
          </w:tcPr>
          <w:p w:rsidR="00C048DC" w:rsidRPr="00410ECF" w:rsidRDefault="00C048DC" w:rsidP="00F555A3">
            <w:pPr>
              <w:spacing w:after="160" w:line="259" w:lineRule="auto"/>
              <w:cnfStyle w:val="000000100000" w:firstRow="0" w:lastRow="0" w:firstColumn="0" w:lastColumn="0" w:oddVBand="0" w:evenVBand="0" w:oddHBand="1" w:evenHBand="0" w:firstRowFirstColumn="0" w:firstRowLastColumn="0" w:lastRowFirstColumn="0" w:lastRowLastColumn="0"/>
              <w:rPr>
                <w:rFonts w:ascii="Arial" w:hAnsi="Arial" w:cs="Arial"/>
              </w:rPr>
            </w:pPr>
            <w:r w:rsidRPr="00410ECF">
              <w:rPr>
                <w:rFonts w:ascii="Arial" w:hAnsi="Arial" w:cs="Arial"/>
              </w:rPr>
              <w:t>&lt;0,0001</w:t>
            </w:r>
          </w:p>
        </w:tc>
      </w:tr>
    </w:tbl>
    <w:p w:rsidR="00C048DC" w:rsidRPr="00AC3F05" w:rsidRDefault="00C048DC" w:rsidP="00C048DC">
      <w:pPr>
        <w:rPr>
          <w:rFonts w:ascii="Arial" w:hAnsi="Arial" w:cs="Arial"/>
          <w:lang w:bidi="en-US"/>
        </w:rPr>
      </w:pPr>
    </w:p>
    <w:p w:rsidR="00C048DC" w:rsidRPr="00AC3F05" w:rsidRDefault="00B60865" w:rsidP="00C048DC">
      <w:pPr>
        <w:rPr>
          <w:rFonts w:ascii="Arial" w:hAnsi="Arial" w:cs="Arial"/>
        </w:rPr>
      </w:pPr>
      <w:r>
        <w:rPr>
          <w:rFonts w:ascii="Arial" w:hAnsi="Arial" w:cs="Arial"/>
          <w:b/>
          <w:lang w:bidi="en-US"/>
        </w:rPr>
        <w:t>Supplementary Table S5</w:t>
      </w:r>
      <w:bookmarkStart w:id="0" w:name="_GoBack"/>
      <w:bookmarkEnd w:id="0"/>
      <w:r w:rsidR="00C048DC" w:rsidRPr="00AC3F05">
        <w:rPr>
          <w:rFonts w:ascii="Arial" w:hAnsi="Arial" w:cs="Arial"/>
          <w:b/>
        </w:rPr>
        <w:t>.</w:t>
      </w:r>
      <w:r w:rsidR="00C048DC" w:rsidRPr="00AC3F05">
        <w:rPr>
          <w:rFonts w:ascii="Arial" w:hAnsi="Arial" w:cs="Arial"/>
        </w:rPr>
        <w:t xml:space="preserve"> Summary of the key characteristics of the seven prognosis-related genes identified as being significantly associated with glioma patient prognosis. For each gene, the hazard ratio (HR), and p-value in TCGA and CGGA are provided to show their individual prognostic significance.</w:t>
      </w:r>
    </w:p>
    <w:p w:rsidR="00C048DC" w:rsidRPr="00AC3F05" w:rsidRDefault="00C048DC" w:rsidP="00C048DC">
      <w:pPr>
        <w:rPr>
          <w:rFonts w:ascii="Arial" w:hAnsi="Arial" w:cs="Arial"/>
          <w:b/>
        </w:rPr>
      </w:pPr>
    </w:p>
    <w:p w:rsidR="00C048DC" w:rsidRPr="00AC3F05" w:rsidRDefault="00C048DC" w:rsidP="00C048DC">
      <w:pPr>
        <w:rPr>
          <w:rFonts w:ascii="Arial" w:hAnsi="Arial" w:cs="Arial"/>
          <w:b/>
        </w:rPr>
      </w:pPr>
    </w:p>
    <w:p w:rsidR="00C048DC" w:rsidRPr="00AC3F05" w:rsidRDefault="00C048DC" w:rsidP="00C048DC">
      <w:pPr>
        <w:rPr>
          <w:rFonts w:ascii="Arial" w:hAnsi="Arial" w:cs="Arial"/>
          <w:b/>
        </w:rPr>
      </w:pPr>
      <w:r w:rsidRPr="00AC3F05">
        <w:rPr>
          <w:rFonts w:ascii="Arial" w:hAnsi="Arial" w:cs="Arial"/>
          <w:b/>
        </w:rPr>
        <w:br w:type="page"/>
      </w:r>
    </w:p>
    <w:p w:rsidR="00C048DC" w:rsidRPr="00AC3F05" w:rsidRDefault="00C048DC" w:rsidP="00C048DC">
      <w:pPr>
        <w:rPr>
          <w:rFonts w:ascii="Arial" w:hAnsi="Arial" w:cs="Arial"/>
          <w:b/>
        </w:rPr>
      </w:pPr>
      <w:r w:rsidRPr="00AC3F05">
        <w:rPr>
          <w:rFonts w:ascii="Arial" w:hAnsi="Arial" w:cs="Arial"/>
          <w:b/>
        </w:rPr>
        <w:lastRenderedPageBreak/>
        <w:t>References</w:t>
      </w:r>
    </w:p>
    <w:p w:rsidR="00C048DC" w:rsidRPr="00AC3F05" w:rsidRDefault="00C048DC" w:rsidP="00C048DC">
      <w:pPr>
        <w:rPr>
          <w:rFonts w:ascii="Arial" w:hAnsi="Arial" w:cs="Arial"/>
        </w:rPr>
      </w:pPr>
      <w:r w:rsidRPr="00AC3F05">
        <w:rPr>
          <w:rFonts w:ascii="Arial" w:hAnsi="Arial" w:cs="Arial"/>
        </w:rPr>
        <w:fldChar w:fldCharType="begin"/>
      </w:r>
      <w:r w:rsidRPr="00AC3F05">
        <w:rPr>
          <w:rFonts w:ascii="Arial" w:hAnsi="Arial" w:cs="Arial"/>
        </w:rPr>
        <w:instrText xml:space="preserve"> ADDIN ZOTERO_BIBL {"uncited":[],"omitted":[],"custom":[]} CSL_BIBLIOGRAPHY </w:instrText>
      </w:r>
      <w:r w:rsidRPr="00AC3F05">
        <w:rPr>
          <w:rFonts w:ascii="Arial" w:hAnsi="Arial" w:cs="Arial"/>
        </w:rPr>
        <w:fldChar w:fldCharType="separate"/>
      </w:r>
      <w:r w:rsidRPr="00AC3F05">
        <w:rPr>
          <w:rFonts w:ascii="Arial" w:hAnsi="Arial" w:cs="Arial"/>
        </w:rPr>
        <w:t xml:space="preserve">1. </w:t>
      </w:r>
      <w:r w:rsidRPr="00AC3F05">
        <w:rPr>
          <w:rFonts w:ascii="Arial" w:hAnsi="Arial" w:cs="Arial"/>
        </w:rPr>
        <w:tab/>
        <w:t xml:space="preserve">Tong MKH, Lam C-S, Mak TWL, Fu MYP, Ng S-H, Wanders RJA, Tang NLS. Very long-chain acyl-CoA dehydrogenase deficiency presenting as acute hypercapnic respiratory failure. </w:t>
      </w:r>
      <w:r w:rsidRPr="00AC3F05">
        <w:rPr>
          <w:rFonts w:ascii="Arial" w:hAnsi="Arial" w:cs="Arial"/>
          <w:i/>
          <w:iCs/>
        </w:rPr>
        <w:t>Eur Respir J</w:t>
      </w:r>
      <w:r w:rsidRPr="00AC3F05">
        <w:rPr>
          <w:rFonts w:ascii="Arial" w:hAnsi="Arial" w:cs="Arial"/>
        </w:rPr>
        <w:t xml:space="preserve"> (2006) 28:447–450. doi: 10.1183/09031936.06.00139205</w:t>
      </w:r>
    </w:p>
    <w:p w:rsidR="00C048DC" w:rsidRPr="00AC3F05" w:rsidRDefault="00C048DC" w:rsidP="00C048DC">
      <w:pPr>
        <w:rPr>
          <w:rFonts w:ascii="Arial" w:hAnsi="Arial" w:cs="Arial"/>
        </w:rPr>
      </w:pPr>
      <w:r w:rsidRPr="00AC3F05">
        <w:rPr>
          <w:rFonts w:ascii="Arial" w:hAnsi="Arial" w:cs="Arial"/>
        </w:rPr>
        <w:t xml:space="preserve">2. </w:t>
      </w:r>
      <w:r w:rsidRPr="00AC3F05">
        <w:rPr>
          <w:rFonts w:ascii="Arial" w:hAnsi="Arial" w:cs="Arial"/>
        </w:rPr>
        <w:tab/>
        <w:t xml:space="preserve">Sun B, Ding P, Song Y, Zhou J, Chen X, Peng C, Liu S. FDX1 downregulation activates mitophagy and the PI3K/AKT signaling pathway to promote hepatocellular carcinoma progression by inducing ROS production. </w:t>
      </w:r>
      <w:r w:rsidRPr="00AC3F05">
        <w:rPr>
          <w:rFonts w:ascii="Arial" w:hAnsi="Arial" w:cs="Arial"/>
          <w:i/>
          <w:iCs/>
        </w:rPr>
        <w:t>Redox Biol</w:t>
      </w:r>
      <w:r w:rsidRPr="00AC3F05">
        <w:rPr>
          <w:rFonts w:ascii="Arial" w:hAnsi="Arial" w:cs="Arial"/>
        </w:rPr>
        <w:t xml:space="preserve"> (2024) 75:103302. doi: 10.1016/j.redox.2024.103302</w:t>
      </w:r>
    </w:p>
    <w:p w:rsidR="00C048DC" w:rsidRPr="00AC3F05" w:rsidRDefault="00C048DC" w:rsidP="00C048DC">
      <w:pPr>
        <w:rPr>
          <w:rFonts w:ascii="Arial" w:hAnsi="Arial" w:cs="Arial"/>
          <w:lang w:val="fr-MA"/>
        </w:rPr>
      </w:pPr>
      <w:r w:rsidRPr="00AC3F05">
        <w:rPr>
          <w:rFonts w:ascii="Arial" w:hAnsi="Arial" w:cs="Arial"/>
        </w:rPr>
        <w:t xml:space="preserve">3. </w:t>
      </w:r>
      <w:r w:rsidRPr="00AC3F05">
        <w:rPr>
          <w:rFonts w:ascii="Arial" w:hAnsi="Arial" w:cs="Arial"/>
        </w:rPr>
        <w:tab/>
        <w:t xml:space="preserve">Rizzo WB. Genetics and prospective therapeutic targets for Sjögren-Larsson Syndrome. </w:t>
      </w:r>
      <w:r w:rsidRPr="00AC3F05">
        <w:rPr>
          <w:rFonts w:ascii="Arial" w:hAnsi="Arial" w:cs="Arial"/>
          <w:i/>
          <w:iCs/>
          <w:lang w:val="fr-MA"/>
        </w:rPr>
        <w:t>Expert Opin Orphan Drugs</w:t>
      </w:r>
      <w:r w:rsidRPr="00AC3F05">
        <w:rPr>
          <w:rFonts w:ascii="Arial" w:hAnsi="Arial" w:cs="Arial"/>
          <w:lang w:val="fr-MA"/>
        </w:rPr>
        <w:t xml:space="preserve"> (2016) 4:395–406. doi: 10.1517/21678707.2016.1154453</w:t>
      </w:r>
    </w:p>
    <w:p w:rsidR="00C048DC" w:rsidRPr="00AC3F05" w:rsidRDefault="00C048DC" w:rsidP="00C048DC">
      <w:pPr>
        <w:rPr>
          <w:rFonts w:ascii="Arial" w:hAnsi="Arial" w:cs="Arial"/>
        </w:rPr>
      </w:pPr>
      <w:r w:rsidRPr="00AC3F05">
        <w:rPr>
          <w:rFonts w:ascii="Arial" w:hAnsi="Arial" w:cs="Arial"/>
          <w:lang w:val="fr-MA"/>
        </w:rPr>
        <w:t xml:space="preserve">4. </w:t>
      </w:r>
      <w:r w:rsidRPr="00AC3F05">
        <w:rPr>
          <w:rFonts w:ascii="Arial" w:hAnsi="Arial" w:cs="Arial"/>
          <w:lang w:val="fr-MA"/>
        </w:rPr>
        <w:tab/>
        <w:t xml:space="preserve">Li M-M, Nilsen A, Shi Y, Fusser M, Ding Y-H, Fu Y, Liu B, Niu Y, Wu Y-S, Huang C-M, et al. </w:t>
      </w:r>
      <w:r w:rsidRPr="00AC3F05">
        <w:rPr>
          <w:rFonts w:ascii="Arial" w:hAnsi="Arial" w:cs="Arial"/>
        </w:rPr>
        <w:t xml:space="preserve">ALKBH4-dependent demethylation of actin regulates actomyosin dynamics. </w:t>
      </w:r>
      <w:r w:rsidRPr="00AC3F05">
        <w:rPr>
          <w:rFonts w:ascii="Arial" w:hAnsi="Arial" w:cs="Arial"/>
          <w:i/>
          <w:iCs/>
        </w:rPr>
        <w:t>Nat Commun</w:t>
      </w:r>
      <w:r w:rsidRPr="00AC3F05">
        <w:rPr>
          <w:rFonts w:ascii="Arial" w:hAnsi="Arial" w:cs="Arial"/>
        </w:rPr>
        <w:t xml:space="preserve"> (2013) 4:1832. doi: 10.1038/ncomms2863</w:t>
      </w:r>
    </w:p>
    <w:p w:rsidR="00C048DC" w:rsidRPr="00AC3F05" w:rsidRDefault="00C048DC" w:rsidP="00C048DC">
      <w:pPr>
        <w:rPr>
          <w:rFonts w:ascii="Arial" w:hAnsi="Arial" w:cs="Arial"/>
        </w:rPr>
      </w:pPr>
      <w:r w:rsidRPr="00AC3F05">
        <w:rPr>
          <w:rFonts w:ascii="Arial" w:hAnsi="Arial" w:cs="Arial"/>
        </w:rPr>
        <w:t xml:space="preserve">5. </w:t>
      </w:r>
      <w:r w:rsidRPr="00AC3F05">
        <w:rPr>
          <w:rFonts w:ascii="Arial" w:hAnsi="Arial" w:cs="Arial"/>
        </w:rPr>
        <w:tab/>
        <w:t xml:space="preserve">Kogaki T, Hase H, Tanimoto M, Tashiro A, Kitae K, Ueda Y, Jingushi K, Tsujikawa K. ALKBH4 is a novel enzyme that promotes translation through modified uridine regulation. </w:t>
      </w:r>
      <w:r w:rsidRPr="00AC3F05">
        <w:rPr>
          <w:rFonts w:ascii="Arial" w:hAnsi="Arial" w:cs="Arial"/>
          <w:i/>
          <w:iCs/>
        </w:rPr>
        <w:t>J Biol Chem</w:t>
      </w:r>
      <w:r w:rsidRPr="00AC3F05">
        <w:rPr>
          <w:rFonts w:ascii="Arial" w:hAnsi="Arial" w:cs="Arial"/>
        </w:rPr>
        <w:t xml:space="preserve"> (2023) 299:105093. doi: 10.1016/j.jbc.2023.105093</w:t>
      </w:r>
    </w:p>
    <w:p w:rsidR="00C048DC" w:rsidRPr="00AC3F05" w:rsidRDefault="00C048DC" w:rsidP="00C048DC">
      <w:pPr>
        <w:rPr>
          <w:rFonts w:ascii="Arial" w:hAnsi="Arial" w:cs="Arial"/>
        </w:rPr>
      </w:pPr>
      <w:r w:rsidRPr="00AC3F05">
        <w:rPr>
          <w:rFonts w:ascii="Arial" w:hAnsi="Arial" w:cs="Arial"/>
        </w:rPr>
        <w:t xml:space="preserve">6. </w:t>
      </w:r>
      <w:r w:rsidRPr="00AC3F05">
        <w:rPr>
          <w:rFonts w:ascii="Arial" w:hAnsi="Arial" w:cs="Arial"/>
        </w:rPr>
        <w:tab/>
        <w:t xml:space="preserve">Kato A, Ito M, Sanaki T, Okuda T, Tsuchiya N, Yoshimoto R, Yukioka H. Acsl1 is essential for skin barrier function through the activation of linoleic acid and biosynthesis of ω-O-acylceramide in mice. </w:t>
      </w:r>
      <w:r w:rsidRPr="00AC3F05">
        <w:rPr>
          <w:rFonts w:ascii="Arial" w:hAnsi="Arial" w:cs="Arial"/>
          <w:i/>
          <w:iCs/>
        </w:rPr>
        <w:t>Biochimica et Biophysica Acta (BBA) - Molecular and Cell Biology of Lipids</w:t>
      </w:r>
      <w:r w:rsidRPr="00AC3F05">
        <w:rPr>
          <w:rFonts w:ascii="Arial" w:hAnsi="Arial" w:cs="Arial"/>
        </w:rPr>
        <w:t xml:space="preserve"> (2022) 1867:159085. doi: 10.1016/j.bbalip.2021.159085</w:t>
      </w:r>
    </w:p>
    <w:p w:rsidR="00C048DC" w:rsidRPr="00AC3F05" w:rsidRDefault="00C048DC" w:rsidP="00C048DC">
      <w:pPr>
        <w:rPr>
          <w:rFonts w:ascii="Arial" w:hAnsi="Arial" w:cs="Arial"/>
        </w:rPr>
      </w:pPr>
      <w:r w:rsidRPr="00AC3F05">
        <w:rPr>
          <w:rFonts w:ascii="Arial" w:hAnsi="Arial" w:cs="Arial"/>
        </w:rPr>
        <w:t xml:space="preserve">7. </w:t>
      </w:r>
      <w:r w:rsidRPr="00AC3F05">
        <w:rPr>
          <w:rFonts w:ascii="Arial" w:hAnsi="Arial" w:cs="Arial"/>
        </w:rPr>
        <w:tab/>
        <w:t xml:space="preserve">Manea S-A, Constantin A, Manda G, Sasson S, Manea A. Regulation of Nox enzymes expression in vascular pathophysiology: Focusing on transcription factors and epigenetic mechanisms. </w:t>
      </w:r>
      <w:r w:rsidRPr="00AC3F05">
        <w:rPr>
          <w:rFonts w:ascii="Arial" w:hAnsi="Arial" w:cs="Arial"/>
          <w:i/>
          <w:iCs/>
        </w:rPr>
        <w:t>Redox Biol</w:t>
      </w:r>
      <w:r w:rsidRPr="00AC3F05">
        <w:rPr>
          <w:rFonts w:ascii="Arial" w:hAnsi="Arial" w:cs="Arial"/>
        </w:rPr>
        <w:t xml:space="preserve"> (2015) 5:358–366. doi: 10.1016/j.redox.2015.06.012</w:t>
      </w:r>
    </w:p>
    <w:p w:rsidR="00C048DC" w:rsidRPr="00AC3F05" w:rsidRDefault="00C048DC" w:rsidP="00C048DC">
      <w:pPr>
        <w:rPr>
          <w:rFonts w:ascii="Arial" w:hAnsi="Arial" w:cs="Arial"/>
        </w:rPr>
      </w:pPr>
      <w:r w:rsidRPr="00AC3F05">
        <w:rPr>
          <w:rFonts w:ascii="Arial" w:hAnsi="Arial" w:cs="Arial"/>
        </w:rPr>
        <w:t xml:space="preserve">8. </w:t>
      </w:r>
      <w:r w:rsidRPr="00AC3F05">
        <w:rPr>
          <w:rFonts w:ascii="Arial" w:hAnsi="Arial" w:cs="Arial"/>
        </w:rPr>
        <w:tab/>
        <w:t xml:space="preserve">Vendrov AE, Vendrov KC, Smith A, Yuan J, Sumida A, Robidoux J, Runge MS, Madamanchi NR. NOX4 NADPH Oxidase-Dependent Mitochondrial Oxidative Stress in Aging-Associated Cardiovascular Disease. </w:t>
      </w:r>
      <w:r w:rsidRPr="00AC3F05">
        <w:rPr>
          <w:rFonts w:ascii="Arial" w:hAnsi="Arial" w:cs="Arial"/>
          <w:i/>
          <w:iCs/>
        </w:rPr>
        <w:t>Antioxid Redox Signal</w:t>
      </w:r>
      <w:r w:rsidRPr="00AC3F05">
        <w:rPr>
          <w:rFonts w:ascii="Arial" w:hAnsi="Arial" w:cs="Arial"/>
        </w:rPr>
        <w:t xml:space="preserve"> (2015) 23:1389–1409. doi: 10.1089/ars.2014.6221</w:t>
      </w:r>
    </w:p>
    <w:p w:rsidR="00C048DC" w:rsidRPr="00AC3F05" w:rsidRDefault="00C048DC" w:rsidP="00C048DC">
      <w:pPr>
        <w:rPr>
          <w:rFonts w:ascii="Arial" w:hAnsi="Arial" w:cs="Arial"/>
        </w:rPr>
      </w:pPr>
      <w:r w:rsidRPr="00AC3F05">
        <w:rPr>
          <w:rFonts w:ascii="Arial" w:hAnsi="Arial" w:cs="Arial"/>
        </w:rPr>
        <w:t xml:space="preserve">9. </w:t>
      </w:r>
      <w:r w:rsidRPr="00AC3F05">
        <w:rPr>
          <w:rFonts w:ascii="Arial" w:hAnsi="Arial" w:cs="Arial"/>
        </w:rPr>
        <w:tab/>
        <w:t xml:space="preserve">Jourdain AA, Koppen M, Rodley CD, Maundrell K, Gueguen N, Reynier P, Guaras AM, Enriquez JA, Anderson P, Simarro M, et al. A mitochondria-specific isoform of FASTK is present in mitochondrial RNA granules and regulates gene expression and function. </w:t>
      </w:r>
      <w:r w:rsidRPr="00AC3F05">
        <w:rPr>
          <w:rFonts w:ascii="Arial" w:hAnsi="Arial" w:cs="Arial"/>
          <w:i/>
          <w:iCs/>
        </w:rPr>
        <w:t>Cell Rep</w:t>
      </w:r>
      <w:r w:rsidRPr="00AC3F05">
        <w:rPr>
          <w:rFonts w:ascii="Arial" w:hAnsi="Arial" w:cs="Arial"/>
        </w:rPr>
        <w:t xml:space="preserve"> (2015) 10:1110–1121. doi: 10.1016/j.celrep.2015.01.063</w:t>
      </w:r>
    </w:p>
    <w:p w:rsidR="00C048DC" w:rsidRPr="00AC3F05" w:rsidRDefault="00C048DC" w:rsidP="00C048DC">
      <w:pPr>
        <w:rPr>
          <w:rFonts w:ascii="Arial" w:hAnsi="Arial" w:cs="Arial"/>
        </w:rPr>
      </w:pPr>
      <w:r w:rsidRPr="00AC3F05">
        <w:rPr>
          <w:rFonts w:ascii="Arial" w:hAnsi="Arial" w:cs="Arial"/>
        </w:rPr>
        <w:fldChar w:fldCharType="end"/>
      </w:r>
    </w:p>
    <w:p w:rsidR="00C048DC" w:rsidRPr="00AC3F05" w:rsidRDefault="00C048DC" w:rsidP="00C048DC">
      <w:pPr>
        <w:rPr>
          <w:rFonts w:ascii="Arial" w:hAnsi="Arial" w:cs="Arial"/>
        </w:rPr>
      </w:pPr>
    </w:p>
    <w:p w:rsidR="008B5B6D" w:rsidRDefault="008B5B6D"/>
    <w:sectPr w:rsidR="008B5B6D">
      <w:pgSz w:w="12240" w:h="15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346A9"/>
    <w:rsid w:val="006346A9"/>
    <w:rsid w:val="008B5B6D"/>
    <w:rsid w:val="00B60865"/>
    <w:rsid w:val="00C048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D439CE"/>
  <w15:chartTrackingRefBased/>
  <w15:docId w15:val="{A44CAC1E-205E-435D-B410-7569688CD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048DC"/>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TableauGrille3-Accentuation3">
    <w:name w:val="Grid Table 3 Accent 3"/>
    <w:basedOn w:val="TableauNormal"/>
    <w:uiPriority w:val="48"/>
    <w:rsid w:val="00C048DC"/>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3</Pages>
  <Words>4285</Words>
  <Characters>24426</Characters>
  <Application>Microsoft Office Word</Application>
  <DocSecurity>0</DocSecurity>
  <Lines>203</Lines>
  <Paragraphs>57</Paragraphs>
  <ScaleCrop>false</ScaleCrop>
  <Company/>
  <LinksUpToDate>false</LinksUpToDate>
  <CharactersWithSpaces>28654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Eyes</dc:creator>
  <cp:keywords/>
  <dc:description/>
  <cp:lastModifiedBy>Eyes</cp:lastModifiedBy>
  <cp:revision>3</cp:revision>
  <dcterms:created xsi:type="dcterms:W3CDTF">2026-04-05T15:17:00Z</dcterms:created>
  <dcterms:modified xsi:type="dcterms:W3CDTF">2026-04-06T11:00:00Z</dcterms:modified>
</cp:coreProperties>
</file>