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Supplementary Table S1. Complete list of 38 entosis-related candidate genes used for signature construction.</w:t>
      </w:r>
    </w:p>
    <w:p/>
    <w:p>
      <w:r>
        <w:rPr>
          <w:rFonts w:ascii="Times New Roman" w:hAnsi="Times New Roman"/>
          <w:sz w:val="22"/>
        </w:rPr>
        <w:t>Genes were curated from published literature and the GeneCards database (https://www.genecards.org/). The gene set encompasses key regulators of entosis initiation (actomyosin contractility, cell-cell adhesion), execution (Rho GTPase signaling, metabolic sensing), and completion (lysosomal degradation). Four of these 38 genes (MYL2, CDKN2A, LAMP1, SPP1) were retained in the final ERS-14 signature after univariate Cox regression and LASSO-Cox regression.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1440"/>
            <w:shd w:val="clear" w:color="auto" w:fill="D9E1F2"/>
          </w:tcPr>
          <w:p>
            <w:r>
              <w:rPr>
                <w:rFonts w:ascii="Times New Roman" w:hAnsi="Times New Roman"/>
                <w:b/>
                <w:sz w:val="20"/>
              </w:rPr>
              <w:t>Gene Symbol</w:t>
            </w:r>
          </w:p>
        </w:tc>
        <w:tc>
          <w:tcPr>
            <w:tcW w:type="dxa" w:w="2880"/>
            <w:shd w:val="clear" w:color="auto" w:fill="D9E1F2"/>
          </w:tcPr>
          <w:p>
            <w:r>
              <w:rPr>
                <w:rFonts w:ascii="Times New Roman" w:hAnsi="Times New Roman"/>
                <w:b/>
                <w:sz w:val="20"/>
              </w:rPr>
              <w:t>Full Name</w:t>
            </w:r>
          </w:p>
        </w:tc>
        <w:tc>
          <w:tcPr>
            <w:tcW w:type="dxa" w:w="4608"/>
            <w:shd w:val="clear" w:color="auto" w:fill="D9E1F2"/>
          </w:tcPr>
          <w:p>
            <w:r>
              <w:rPr>
                <w:rFonts w:ascii="Times New Roman" w:hAnsi="Times New Roman"/>
                <w:b/>
                <w:sz w:val="20"/>
              </w:rPr>
              <w:t>Role in Entosis</w:t>
            </w:r>
          </w:p>
        </w:tc>
        <w:tc>
          <w:tcPr>
            <w:tcW w:type="dxa" w:w="1296"/>
            <w:shd w:val="clear" w:color="auto" w:fill="D9E1F2"/>
          </w:tcPr>
          <w:p>
            <w:r>
              <w:rPr>
                <w:rFonts w:ascii="Times New Roman" w:hAnsi="Times New Roman"/>
                <w:b/>
                <w:sz w:val="20"/>
              </w:rPr>
              <w:t>Source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RHOA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Ras homolog family member A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Actomyosin contractility; drives entotic cell internalization via RhoA-ROCK axis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ROCK1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Rho-associated coiled-coil containing protein kinase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Actomyosin contractility; phosphorylates MLC to promote cortical tension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ROCK2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Rho-associated coiled-coil containing protein kinase 2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Actomyosin contractility; redundant with ROCK1 in entosis initiation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DIAPH1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Diaphanous related formin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Actin polymerization at cell cortex during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MYH9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Myosin heavy chain 9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Non-muscle myosin IIA; cortical contractility driving cell-in-cell formation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MYH10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Myosin heavy chain 10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Non-muscle myosin IIB; cortical contractility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color w:val="00467F"/>
                <w:sz w:val="18"/>
              </w:rPr>
              <w:t>MYL2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color w:val="00467F"/>
                <w:sz w:val="18"/>
              </w:rPr>
              <w:t>Myosin light chain 2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color w:val="00467F"/>
                <w:sz w:val="18"/>
              </w:rPr>
              <w:t>Regulatory myosin light chain; essential for actomyosin force generation in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color w:val="00467F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MYL9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Myosin light chain 9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Smooth muscle myosin light chain; actomyosin regulation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ACTB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Actin beta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Cytoskeletal actin; structural component of cortical actomyosin ring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CDH1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Cadherin 1 (E-cadherin)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Cell-cell adhesion; mediates homotypic entosis initiation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CDH2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Cadherin 2 (N-cadherin)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Cell-cell adhesion; involved in mesenchymal-type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CDH3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Cadherin 3 (P-cadherin)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Cell-cell adhesion; cadherin family member in epithelial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CTNNA1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Catenin alpha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Links E-cadherin to actin cytoskeleton; required for entosis initiation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CTNNB1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Catenin beta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Wnt signaling and adherens junction; modulates entosis susceptibility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VCL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Vinculin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Focal adhesion and adherens junction; mechanical coupling in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PCDH7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Protocadherin 7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Cell-cell recognition; involved in cell-in-cell structure formation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CDC42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Cell division cycle 42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Rho GTPase; regulates actin dynamics and cell polarity during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RAC1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Rac family small GTPase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Rho GTPase; modulates actin polymerization in entotic cells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RND3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Rho family GTPase 3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Atypical Rho GTPase; regulates ROCK activity and cortical tension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IQGAP1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IQ motif containing GTPase activating protein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Scaffold for Rho GTPases and actin; regulates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TP53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Tumor protein p53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Tumor suppressor; modulates entosis sensitivity and cell fate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color w:val="00467F"/>
                <w:sz w:val="18"/>
              </w:rPr>
              <w:t>CDKN2A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color w:val="00467F"/>
                <w:sz w:val="18"/>
              </w:rPr>
              <w:t>Cyclin-dependent kinase inhibitor 2A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color w:val="00467F"/>
                <w:sz w:val="18"/>
              </w:rPr>
              <w:t>Cell cycle arrest; linked to cell fate decisions in cell-in-cell structures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color w:val="00467F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KRAS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KRAS proto-oncogene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Oncogenic signaling; modulates entosis susceptibility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MYC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MYC proto-oncogene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Transcription factor; regulates metabolic competition underlying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PRKAA1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Protein kinase AMP-activated catalytic subunit alpha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AMPK catalytic subunit; entosis induced by glucose starvation via AMPK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PRKAA2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Protein kinase AMP-activated catalytic subunit alpha 2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AMPK catalytic subunit; energy sensing in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PRKAB1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Protein kinase AMP-activated non-catalytic subunit beta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AMPK regulatory subunit; metabolic regulation of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PRKAG1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Protein kinase AMP-activated non-catalytic subunit gamma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AMPK regulatory subunit; metabolic regulation of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MAPK8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Mitogen-activated protein kinase 8 (JNK1)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Stress kinase; promotes entosis under metabolic stress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MAPK14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Mitogen-activated protein kinase 14 (p38)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Stress kinase; regulates cell fate after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color w:val="00467F"/>
                <w:sz w:val="18"/>
              </w:rPr>
              <w:t>LAMP1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color w:val="00467F"/>
                <w:sz w:val="18"/>
              </w:rPr>
              <w:t>Lysosomal-associated membrane protein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color w:val="00467F"/>
                <w:sz w:val="18"/>
              </w:rPr>
              <w:t>Lysosomal membrane; mediates degradation of internalized entotic cells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color w:val="00467F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RAB7A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RAB7A, member RAS oncogene family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Late endosome/lysosome trafficking; required for entotic cell degradation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LYST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Lysosomal trafficking regulator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Lysosome biogenesis; regulates entotic degradation pathway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EZR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Ezrin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ERM family; links plasma membrane to actin cytoskeleton in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Literature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ICAM1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Intercellular adhesion molecule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Cell surface adhesion; facilitates cell-cell contact in entosis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FAT1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FAT atypical cadherin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Atypical cadherin; regulates Hippo pathway and cell-in-cell interactions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sz w:val="18"/>
              </w:rPr>
              <w:t>SLC11A1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8"/>
              </w:rPr>
              <w:t>Solute carrier family 11 member 1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sz w:val="18"/>
              </w:rPr>
              <w:t>Phagolysosomal membrane; ion transport in lysosomal degradation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sz w:val="18"/>
              </w:rPr>
              <w:t>GeneCards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i/>
                <w:color w:val="00467F"/>
                <w:sz w:val="18"/>
              </w:rPr>
              <w:t>SPP1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color w:val="00467F"/>
                <w:sz w:val="18"/>
              </w:rPr>
              <w:t>Secreted phosphoprotein 1 (Osteopontin)</w:t>
            </w:r>
          </w:p>
        </w:tc>
        <w:tc>
          <w:tcPr>
            <w:tcW w:type="dxa" w:w="4608"/>
          </w:tcPr>
          <w:p>
            <w:r>
              <w:rPr>
                <w:rFonts w:ascii="Times New Roman" w:hAnsi="Times New Roman"/>
                <w:color w:val="00467F"/>
                <w:sz w:val="18"/>
              </w:rPr>
              <w:t>Immune modulation; macrophage polarization; implicated in entosis-related immune evasion</w:t>
            </w:r>
          </w:p>
        </w:tc>
        <w:tc>
          <w:tcPr>
            <w:tcW w:type="dxa" w:w="1296"/>
          </w:tcPr>
          <w:p>
            <w:r>
              <w:rPr>
                <w:rFonts w:ascii="Times New Roman" w:hAnsi="Times New Roman"/>
                <w:color w:val="00467F"/>
                <w:sz w:val="18"/>
              </w:rPr>
              <w:t>Literature</w:t>
            </w:r>
          </w:p>
        </w:tc>
      </w:tr>
    </w:tbl>
    <w:p/>
    <w:p>
      <w:r>
        <w:rPr>
          <w:rFonts w:ascii="Times New Roman" w:hAnsi="Times New Roman"/>
          <w:i/>
          <w:color w:val="00467F"/>
          <w:sz w:val="20"/>
        </w:rPr>
        <w:t>Blue: genes retained in the final ERS-14 signature.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Xie</dc:creator>
  <cp:keywords/>
  <dc:description/>
  <cp:lastModifiedBy>Pan Xie</cp:lastModifiedBy>
  <cp:revision>12</cp:revision>
  <dcterms:created xsi:type="dcterms:W3CDTF">2026-02-21T10:00:00Z</dcterms:created>
  <dcterms:modified xsi:type="dcterms:W3CDTF">2026-04-19T18:00:00Z</dcterms:modified>
  <cp:category/>
</cp:coreProperties>
</file>