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813371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sz w:val="20"/>
          <w:szCs w:val="20"/>
        </w:rPr>
        <w:t>Supplementary Table 1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STRING constructs PPI network correlation scores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1DCB6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07DEE689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node1</w:t>
            </w:r>
          </w:p>
        </w:tc>
        <w:tc>
          <w:tcPr>
            <w:tcW w:w="284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5F6946B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node2</w:t>
            </w:r>
          </w:p>
        </w:tc>
        <w:tc>
          <w:tcPr>
            <w:tcW w:w="284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0D0205D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combined_score</w:t>
            </w:r>
          </w:p>
        </w:tc>
      </w:tr>
      <w:tr w14:paraId="5A72E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899E2E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COL10A1</w:t>
            </w:r>
          </w:p>
        </w:tc>
        <w:tc>
          <w:tcPr>
            <w:tcW w:w="284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F958B7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MMP11</w:t>
            </w:r>
          </w:p>
        </w:tc>
        <w:tc>
          <w:tcPr>
            <w:tcW w:w="284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FCF2B5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0.812</w:t>
            </w:r>
          </w:p>
        </w:tc>
      </w:tr>
      <w:tr w14:paraId="7343E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6AF0B6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COL10A1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F10B1F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MMP13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1A5AB3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0.936</w:t>
            </w:r>
          </w:p>
        </w:tc>
      </w:tr>
      <w:tr w14:paraId="3971A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8FBD2A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COL10A1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B8CF56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COL8A1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044C89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0.770</w:t>
            </w:r>
          </w:p>
        </w:tc>
      </w:tr>
      <w:tr w14:paraId="6D6B3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799EDB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COL10A1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5142CA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COL5A2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912CF7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0.719</w:t>
            </w:r>
          </w:p>
        </w:tc>
      </w:tr>
      <w:tr w14:paraId="46870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180743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COL10A1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0D38F5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COL4A2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179AB9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0.802</w:t>
            </w:r>
          </w:p>
        </w:tc>
      </w:tr>
      <w:tr w14:paraId="735B5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FA4D77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THBS2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F91D50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ITGA3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E184A5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0.931</w:t>
            </w:r>
          </w:p>
        </w:tc>
      </w:tr>
      <w:tr w14:paraId="19BDF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935EDF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THBS2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0D7FA2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COL12A1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CD5AD3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0.733</w:t>
            </w:r>
          </w:p>
        </w:tc>
      </w:tr>
      <w:tr w14:paraId="2BDD6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E7ABAF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THBS2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C7E55D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ITGA11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834950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0.817</w:t>
            </w:r>
          </w:p>
        </w:tc>
      </w:tr>
      <w:tr w14:paraId="39363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BD5526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THBS2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E0EDFD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COL9A2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C01275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0.721</w:t>
            </w:r>
          </w:p>
        </w:tc>
      </w:tr>
      <w:tr w14:paraId="63B7D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767E3A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THBS2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1E68A2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ASPN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07FCDF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0.742</w:t>
            </w:r>
          </w:p>
        </w:tc>
      </w:tr>
      <w:tr w14:paraId="651B6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36E4BE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THBS2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A2A42F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COL9A3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41E5FC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0.756</w:t>
            </w:r>
          </w:p>
        </w:tc>
      </w:tr>
      <w:tr w14:paraId="6C2AF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C8A32D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THBS2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050EA4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COL5A2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1062CA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0.824</w:t>
            </w:r>
          </w:p>
        </w:tc>
      </w:tr>
      <w:tr w14:paraId="2C3F6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EAE5E1A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THBS2</w:t>
            </w:r>
          </w:p>
        </w:tc>
        <w:tc>
          <w:tcPr>
            <w:tcW w:w="284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A5E7B96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COL11A1</w:t>
            </w:r>
          </w:p>
        </w:tc>
        <w:tc>
          <w:tcPr>
            <w:tcW w:w="284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779DA58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0.898</w:t>
            </w:r>
          </w:p>
        </w:tc>
      </w:tr>
    </w:tbl>
    <w:p w14:paraId="57195B0B">
      <w:pP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</w:pPr>
    </w:p>
    <w:p w14:paraId="221C30B0">
      <w:pPr>
        <w:rPr>
          <w:rFonts w:hint="default" w:ascii="Times New Roman" w:hAnsi="Times New Roman" w:eastAsia="宋体" w:cs="Times New Roman"/>
          <w:sz w:val="20"/>
          <w:szCs w:val="20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C</w:t>
      </w:r>
      <w:r>
        <w:rPr>
          <w:rFonts w:hint="default" w:ascii="Times New Roman" w:hAnsi="Times New Roman" w:eastAsia="宋体" w:cs="Times New Roman"/>
          <w:sz w:val="20"/>
          <w:szCs w:val="20"/>
          <w:vertAlign w:val="baseline"/>
          <w:lang w:val="en-US" w:eastAsia="zh-CN"/>
        </w:rPr>
        <w:t>ombined</w:t>
      </w:r>
      <w:r>
        <w:rPr>
          <w:rFonts w:hint="default" w:ascii="Times New Roman" w:hAnsi="Times New Roman" w:eastAsia="宋体" w:cs="Times New Roman"/>
          <w:sz w:val="20"/>
          <w:szCs w:val="20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0"/>
          <w:szCs w:val="20"/>
          <w:vertAlign w:val="baseline"/>
          <w:lang w:val="en-US" w:eastAsia="zh-CN"/>
        </w:rPr>
        <w:t>scor</w:t>
      </w:r>
      <w:r>
        <w:rPr>
          <w:rFonts w:hint="default" w:ascii="Times New Roman" w:hAnsi="Times New Roman" w:eastAsia="宋体" w:cs="Times New Roman"/>
          <w:sz w:val="20"/>
          <w:szCs w:val="20"/>
          <w:vertAlign w:val="baseline"/>
          <w:lang w:val="en-US" w:eastAsia="zh-CN"/>
        </w:rPr>
        <w:t>e &gt; 0.700 indicates a strong correlation.</w:t>
      </w:r>
    </w:p>
    <w:p w14:paraId="77DA3F6C">
      <w:pPr>
        <w:rPr>
          <w:rFonts w:hint="default" w:ascii="Times New Roman" w:hAnsi="Times New Roman" w:eastAsia="宋体" w:cs="Times New Roman"/>
          <w:kern w:val="0"/>
          <w:sz w:val="20"/>
          <w:szCs w:val="20"/>
          <w:lang w:val="en-US" w:eastAsia="zh-CN" w:bidi="ar"/>
        </w:rPr>
      </w:pPr>
    </w:p>
    <w:p w14:paraId="14FDB565">
      <w:pPr>
        <w:rPr>
          <w:rFonts w:hint="default" w:ascii="Times New Roman" w:hAnsi="Times New Roman" w:eastAsia="宋体" w:cs="Times New Roman"/>
          <w:kern w:val="0"/>
          <w:sz w:val="20"/>
          <w:szCs w:val="20"/>
          <w:lang w:val="en-US" w:eastAsia="zh-CN" w:bidi="ar"/>
        </w:rPr>
      </w:pPr>
    </w:p>
    <w:p w14:paraId="3F9DC9AA">
      <w:pPr>
        <w:rPr>
          <w:rFonts w:hint="default" w:ascii="Times New Roman" w:hAnsi="Times New Roman" w:eastAsia="宋体" w:cs="Times New Roman"/>
          <w:kern w:val="0"/>
          <w:sz w:val="20"/>
          <w:szCs w:val="20"/>
          <w:lang w:val="en-US" w:eastAsia="zh-CN" w:bidi="ar"/>
        </w:rPr>
      </w:pPr>
    </w:p>
    <w:p w14:paraId="53A77BE6">
      <w:pPr>
        <w:rPr>
          <w:rFonts w:hint="default" w:ascii="Times New Roman" w:hAnsi="Times New Roman" w:eastAsia="宋体" w:cs="Times New Roman"/>
          <w:kern w:val="0"/>
          <w:sz w:val="20"/>
          <w:szCs w:val="20"/>
          <w:lang w:val="en-US" w:eastAsia="zh-CN" w:bidi="ar"/>
        </w:rPr>
      </w:pPr>
    </w:p>
    <w:p w14:paraId="1141660A">
      <w:pPr>
        <w:rPr>
          <w:rFonts w:hint="default" w:ascii="Times New Roman" w:hAnsi="Times New Roman" w:eastAsia="宋体" w:cs="Times New Roman"/>
          <w:kern w:val="0"/>
          <w:sz w:val="20"/>
          <w:szCs w:val="20"/>
          <w:lang w:val="en-US" w:eastAsia="zh-CN" w:bidi="ar"/>
        </w:rPr>
      </w:pPr>
    </w:p>
    <w:p w14:paraId="585E677B">
      <w:pPr>
        <w:rPr>
          <w:rFonts w:hint="default" w:ascii="Times New Roman" w:hAnsi="Times New Roman" w:eastAsia="宋体" w:cs="Times New Roman"/>
          <w:kern w:val="0"/>
          <w:sz w:val="20"/>
          <w:szCs w:val="20"/>
          <w:lang w:val="en-US" w:eastAsia="zh-CN" w:bidi="ar"/>
        </w:rPr>
      </w:pPr>
    </w:p>
    <w:p w14:paraId="66BC1285">
      <w:pPr>
        <w:rPr>
          <w:rFonts w:hint="default" w:ascii="Times New Roman" w:hAnsi="Times New Roman" w:eastAsia="宋体" w:cs="Times New Roman"/>
          <w:kern w:val="0"/>
          <w:sz w:val="20"/>
          <w:szCs w:val="20"/>
          <w:lang w:val="en-US" w:eastAsia="zh-CN" w:bidi="ar"/>
        </w:rPr>
      </w:pPr>
    </w:p>
    <w:p w14:paraId="18DA681D">
      <w:pPr>
        <w:rPr>
          <w:rFonts w:hint="default" w:ascii="Times New Roman" w:hAnsi="Times New Roman" w:eastAsia="宋体" w:cs="Times New Roman"/>
          <w:kern w:val="0"/>
          <w:sz w:val="20"/>
          <w:szCs w:val="20"/>
          <w:lang w:val="en-US" w:eastAsia="zh-CN" w:bidi="ar"/>
        </w:rPr>
      </w:pPr>
    </w:p>
    <w:p w14:paraId="6D7B07B1">
      <w:pPr>
        <w:rPr>
          <w:rFonts w:hint="default" w:ascii="Times New Roman" w:hAnsi="Times New Roman" w:eastAsia="宋体" w:cs="Times New Roman"/>
          <w:kern w:val="0"/>
          <w:sz w:val="20"/>
          <w:szCs w:val="20"/>
          <w:lang w:val="en-US" w:eastAsia="zh-CN" w:bidi="ar"/>
        </w:rPr>
      </w:pPr>
    </w:p>
    <w:p w14:paraId="2B1BFB22">
      <w:pPr>
        <w:rPr>
          <w:rFonts w:hint="default" w:ascii="Times New Roman" w:hAnsi="Times New Roman" w:eastAsia="宋体" w:cs="Times New Roman"/>
          <w:kern w:val="0"/>
          <w:sz w:val="20"/>
          <w:szCs w:val="20"/>
          <w:lang w:val="en-US" w:eastAsia="zh-CN" w:bidi="ar"/>
        </w:rPr>
      </w:pPr>
    </w:p>
    <w:p w14:paraId="1CBAACA4">
      <w:pPr>
        <w:rPr>
          <w:rFonts w:hint="default" w:ascii="Times New Roman" w:hAnsi="Times New Roman" w:eastAsia="宋体" w:cs="Times New Roman"/>
          <w:kern w:val="0"/>
          <w:sz w:val="20"/>
          <w:szCs w:val="20"/>
          <w:lang w:val="en-US" w:eastAsia="zh-CN" w:bidi="ar"/>
        </w:rPr>
      </w:pPr>
    </w:p>
    <w:p w14:paraId="15CF2FB6">
      <w:pPr>
        <w:rPr>
          <w:rFonts w:hint="default" w:ascii="Times New Roman" w:hAnsi="Times New Roman" w:eastAsia="宋体" w:cs="Times New Roman"/>
          <w:kern w:val="0"/>
          <w:sz w:val="20"/>
          <w:szCs w:val="20"/>
          <w:lang w:val="en-US" w:eastAsia="zh-CN" w:bidi="ar"/>
        </w:rPr>
      </w:pPr>
    </w:p>
    <w:p w14:paraId="4AE4CF02">
      <w:pPr>
        <w:rPr>
          <w:rFonts w:hint="default" w:ascii="Times New Roman" w:hAnsi="Times New Roman" w:eastAsia="宋体" w:cs="Times New Roman"/>
          <w:kern w:val="0"/>
          <w:sz w:val="20"/>
          <w:szCs w:val="20"/>
          <w:lang w:val="en-US" w:eastAsia="zh-CN" w:bidi="ar"/>
        </w:rPr>
      </w:pPr>
    </w:p>
    <w:p w14:paraId="2A273987">
      <w:pPr>
        <w:rPr>
          <w:rFonts w:hint="default" w:ascii="Times New Roman" w:hAnsi="Times New Roman" w:eastAsia="宋体" w:cs="Times New Roman"/>
          <w:kern w:val="0"/>
          <w:sz w:val="20"/>
          <w:szCs w:val="20"/>
          <w:lang w:val="en-US" w:eastAsia="zh-CN" w:bidi="ar"/>
        </w:rPr>
      </w:pPr>
    </w:p>
    <w:p w14:paraId="1B604966">
      <w:pPr>
        <w:rPr>
          <w:rFonts w:hint="default" w:ascii="Times New Roman" w:hAnsi="Times New Roman" w:eastAsia="宋体" w:cs="Times New Roman"/>
          <w:kern w:val="0"/>
          <w:sz w:val="20"/>
          <w:szCs w:val="20"/>
          <w:lang w:val="en-US" w:eastAsia="zh-CN" w:bidi="ar"/>
        </w:rPr>
      </w:pPr>
    </w:p>
    <w:p w14:paraId="6E526495">
      <w:pPr>
        <w:rPr>
          <w:rFonts w:hint="default" w:ascii="Times New Roman" w:hAnsi="Times New Roman" w:eastAsia="宋体" w:cs="Times New Roman"/>
          <w:kern w:val="0"/>
          <w:sz w:val="20"/>
          <w:szCs w:val="20"/>
          <w:lang w:val="en-US" w:eastAsia="zh-CN" w:bidi="ar"/>
        </w:rPr>
      </w:pPr>
    </w:p>
    <w:p w14:paraId="2A206E6B">
      <w:pPr>
        <w:rPr>
          <w:rFonts w:hint="default" w:ascii="Times New Roman" w:hAnsi="Times New Roman" w:eastAsia="宋体" w:cs="Times New Roman"/>
          <w:kern w:val="0"/>
          <w:sz w:val="20"/>
          <w:szCs w:val="20"/>
          <w:lang w:val="en-US" w:eastAsia="zh-CN" w:bidi="ar"/>
        </w:rPr>
      </w:pPr>
    </w:p>
    <w:p w14:paraId="12FC668A">
      <w:pPr>
        <w:rPr>
          <w:rFonts w:hint="default" w:ascii="Times New Roman" w:hAnsi="Times New Roman" w:eastAsia="宋体" w:cs="Times New Roman"/>
          <w:kern w:val="0"/>
          <w:sz w:val="20"/>
          <w:szCs w:val="20"/>
          <w:lang w:val="en-US" w:eastAsia="zh-CN" w:bidi="ar"/>
        </w:rPr>
      </w:pPr>
    </w:p>
    <w:p w14:paraId="45BD0067">
      <w:pPr>
        <w:rPr>
          <w:rFonts w:hint="default" w:ascii="Times New Roman" w:hAnsi="Times New Roman" w:eastAsia="宋体" w:cs="Times New Roman"/>
          <w:kern w:val="0"/>
          <w:sz w:val="20"/>
          <w:szCs w:val="20"/>
          <w:lang w:val="en-US" w:eastAsia="zh-CN" w:bidi="ar"/>
        </w:rPr>
      </w:pPr>
    </w:p>
    <w:p w14:paraId="4BCC5CA7">
      <w:pPr>
        <w:rPr>
          <w:rFonts w:hint="default" w:ascii="Times New Roman" w:hAnsi="Times New Roman" w:eastAsia="宋体" w:cs="Times New Roman"/>
          <w:kern w:val="0"/>
          <w:sz w:val="20"/>
          <w:szCs w:val="20"/>
          <w:lang w:val="en-US" w:eastAsia="zh-CN" w:bidi="ar"/>
        </w:rPr>
      </w:pPr>
    </w:p>
    <w:p w14:paraId="70556098">
      <w:pPr>
        <w:rPr>
          <w:rFonts w:hint="default" w:ascii="Times New Roman" w:hAnsi="Times New Roman" w:eastAsia="宋体" w:cs="Times New Roman"/>
          <w:kern w:val="0"/>
          <w:sz w:val="20"/>
          <w:szCs w:val="20"/>
          <w:lang w:val="en-US" w:eastAsia="zh-CN" w:bidi="ar"/>
        </w:rPr>
      </w:pPr>
    </w:p>
    <w:p w14:paraId="3EF394D0">
      <w:pPr>
        <w:rPr>
          <w:rFonts w:hint="default" w:ascii="Times New Roman" w:hAnsi="Times New Roman" w:eastAsia="宋体" w:cs="Times New Roman"/>
          <w:kern w:val="0"/>
          <w:sz w:val="20"/>
          <w:szCs w:val="20"/>
          <w:lang w:val="en-US" w:eastAsia="zh-CN" w:bidi="ar"/>
        </w:rPr>
      </w:pPr>
    </w:p>
    <w:p w14:paraId="0CD1E72E">
      <w:pPr>
        <w:rPr>
          <w:rFonts w:hint="default" w:ascii="Times New Roman" w:hAnsi="Times New Roman" w:eastAsia="宋体" w:cs="Times New Roman"/>
          <w:kern w:val="0"/>
          <w:sz w:val="20"/>
          <w:szCs w:val="20"/>
          <w:lang w:val="en-US" w:eastAsia="zh-CN" w:bidi="ar"/>
        </w:rPr>
      </w:pPr>
    </w:p>
    <w:p w14:paraId="19D19DFE">
      <w:pPr>
        <w:rPr>
          <w:rFonts w:hint="default" w:ascii="Times New Roman" w:hAnsi="Times New Roman" w:eastAsia="宋体" w:cs="Times New Roman"/>
          <w:kern w:val="0"/>
          <w:sz w:val="20"/>
          <w:szCs w:val="20"/>
          <w:lang w:val="en-US" w:eastAsia="zh-CN" w:bidi="ar"/>
        </w:rPr>
      </w:pPr>
    </w:p>
    <w:p w14:paraId="361CDE95">
      <w:pPr>
        <w:rPr>
          <w:rFonts w:hint="default" w:ascii="Times New Roman" w:hAnsi="Times New Roman" w:eastAsia="宋体" w:cs="Times New Roman"/>
          <w:kern w:val="0"/>
          <w:sz w:val="20"/>
          <w:szCs w:val="20"/>
          <w:lang w:val="en-US" w:eastAsia="zh-CN" w:bidi="ar"/>
        </w:rPr>
      </w:pPr>
    </w:p>
    <w:p w14:paraId="4DF57096">
      <w:pPr>
        <w:rPr>
          <w:rFonts w:hint="default" w:ascii="Times New Roman" w:hAnsi="Times New Roman" w:eastAsia="宋体" w:cs="Times New Roman"/>
          <w:kern w:val="0"/>
          <w:sz w:val="20"/>
          <w:szCs w:val="20"/>
          <w:lang w:val="en-US" w:eastAsia="zh-CN" w:bidi="ar"/>
        </w:rPr>
      </w:pPr>
    </w:p>
    <w:p w14:paraId="5C09D8BB">
      <w:pPr>
        <w:rPr>
          <w:rFonts w:hint="default" w:ascii="Times New Roman" w:hAnsi="Times New Roman" w:eastAsia="宋体" w:cs="Times New Roman"/>
          <w:kern w:val="0"/>
          <w:sz w:val="20"/>
          <w:szCs w:val="20"/>
          <w:lang w:val="en-US" w:eastAsia="zh-CN" w:bidi="ar"/>
        </w:rPr>
      </w:pPr>
    </w:p>
    <w:p w14:paraId="27952E11">
      <w:pPr>
        <w:rPr>
          <w:rFonts w:hint="eastAsia" w:ascii="宋体" w:hAnsi="宋体" w:eastAsia="宋体" w:cs="宋体"/>
          <w:sz w:val="24"/>
          <w:szCs w:val="32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kern w:val="0"/>
          <w:sz w:val="20"/>
          <w:szCs w:val="20"/>
          <w:lang w:val="en-US" w:eastAsia="zh-CN" w:bidi="ar"/>
        </w:rPr>
        <w:t xml:space="preserve">Supplementary Table </w:t>
      </w:r>
      <w:r>
        <w:rPr>
          <w:rFonts w:hint="eastAsia" w:ascii="Times New Roman" w:hAnsi="Times New Roman" w:eastAsia="宋体" w:cs="Times New Roman"/>
          <w:kern w:val="0"/>
          <w:sz w:val="20"/>
          <w:szCs w:val="20"/>
          <w:lang w:val="en-US" w:eastAsia="zh-CN" w:bidi="ar"/>
        </w:rPr>
        <w:t>2 Logistic regression analysis evaluated the association between COL10A1, THBS2, and ANKRD65 mutations and clinical-pathological characteristics.</w:t>
      </w:r>
    </w:p>
    <w:tbl>
      <w:tblPr>
        <w:tblStyle w:val="3"/>
        <w:tblpPr w:leftFromText="180" w:rightFromText="180" w:vertAnchor="text" w:horzAnchor="page" w:tblpXSpec="center" w:tblpY="413"/>
        <w:tblOverlap w:val="never"/>
        <w:tblW w:w="99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0"/>
        <w:gridCol w:w="1605"/>
        <w:gridCol w:w="825"/>
        <w:gridCol w:w="1710"/>
        <w:gridCol w:w="1110"/>
        <w:gridCol w:w="825"/>
        <w:gridCol w:w="1695"/>
        <w:gridCol w:w="990"/>
      </w:tblGrid>
      <w:tr w14:paraId="4FC15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1210" w:type="dxa"/>
            <w:vMerge w:val="restar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top"/>
          </w:tcPr>
          <w:p w14:paraId="2A1A4310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Gene_Mutation</w:t>
            </w:r>
          </w:p>
        </w:tc>
        <w:tc>
          <w:tcPr>
            <w:tcW w:w="1605" w:type="dxa"/>
            <w:vMerge w:val="restar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15C9AA91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Predictor</w:t>
            </w:r>
          </w:p>
        </w:tc>
        <w:tc>
          <w:tcPr>
            <w:tcW w:w="3645" w:type="dxa"/>
            <w:gridSpan w:val="3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3DA45B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Simple Logistic Regression</w:t>
            </w:r>
          </w:p>
        </w:tc>
        <w:tc>
          <w:tcPr>
            <w:tcW w:w="3510" w:type="dxa"/>
            <w:gridSpan w:val="3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2BAB67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Multivariate Logistic Regression</w:t>
            </w:r>
          </w:p>
        </w:tc>
      </w:tr>
      <w:tr w14:paraId="27A68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1210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B5472C1"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1605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4405CB7"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74D403C">
            <w:pPr>
              <w:widowControl w:val="0"/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OR</w:t>
            </w:r>
          </w:p>
        </w:tc>
        <w:tc>
          <w:tcPr>
            <w:tcW w:w="171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62DB1BD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95%CI</w:t>
            </w:r>
          </w:p>
        </w:tc>
        <w:tc>
          <w:tcPr>
            <w:tcW w:w="111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DA000FC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P_Value</w:t>
            </w:r>
          </w:p>
        </w:tc>
        <w:tc>
          <w:tcPr>
            <w:tcW w:w="82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739E14B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  <w:t>OR</w:t>
            </w:r>
          </w:p>
        </w:tc>
        <w:tc>
          <w:tcPr>
            <w:tcW w:w="169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ADDA830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95%CI</w:t>
            </w:r>
          </w:p>
        </w:tc>
        <w:tc>
          <w:tcPr>
            <w:tcW w:w="99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8CE44A1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P_Value</w:t>
            </w:r>
          </w:p>
        </w:tc>
      </w:tr>
      <w:tr w14:paraId="102FF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D5A08C4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COL10A1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D10E664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Vascular invasion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AA9B889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1.120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24BF667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0.439-2.872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4FA062C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0.812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704A782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1.319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556B5CB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0.411-4.233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799BD5D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0.641</w:t>
            </w:r>
          </w:p>
        </w:tc>
      </w:tr>
      <w:tr w14:paraId="2EAF0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4D27639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C8D386B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nerve involvement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F963583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0.725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8BDCE98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0.288-1.798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64E8324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0.488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85BB3E6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0.796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D9F3B02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0.289-2.194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31D7E3F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0.659</w:t>
            </w:r>
          </w:p>
        </w:tc>
      </w:tr>
      <w:tr w14:paraId="0DBD0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F3AE538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300A99B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p53 Mutation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324CE56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1.813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24EF04A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0.697-4.874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4D48C20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0.227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E638345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1.755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29430A5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0.589-5.228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E99D5A0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0.313</w:t>
            </w:r>
          </w:p>
        </w:tc>
      </w:tr>
      <w:tr w14:paraId="0D68E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261E73F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508501A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HER2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8745FA1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0.783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4800A29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0.437-1.370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838097D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0.396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A1D74D7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1.027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00437C7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0.499-2.111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68AB2E4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0.943</w:t>
            </w:r>
          </w:p>
        </w:tc>
      </w:tr>
      <w:tr w14:paraId="1CE59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1652B23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9E8E4CC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CD56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F0BD8A0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1.419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4CE7FE0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0.444-4.755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1B5BD8A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0.556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19E9EBB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1.783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A9B2333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0.459-6.924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04F241E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0.403</w:t>
            </w:r>
          </w:p>
        </w:tc>
      </w:tr>
      <w:tr w14:paraId="54733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FCE6BA2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4A547AC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Ki67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6CEDF89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0.775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FEDED3F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0.052-10.904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FF8E469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0.848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E0B21FA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0.543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7D2DE4D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0.025-11.661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F095C2F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0.697</w:t>
            </w:r>
          </w:p>
        </w:tc>
      </w:tr>
      <w:tr w14:paraId="541AC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127C24B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1A157BA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CD31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11762D5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0.629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F0F078F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0.149-2.397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3A1CEA2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0.501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E7EBE07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1.313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4BB524C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0.099-17.371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5DDC3ED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0.836</w:t>
            </w:r>
          </w:p>
        </w:tc>
      </w:tr>
      <w:tr w14:paraId="7BB7C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1157736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EB761E1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CD34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7179D2F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0.629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2223E6D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0.149-2.397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4A445C5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0.501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A8A7E99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0.900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53942FB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0.097-8.360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F74248E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0.926</w:t>
            </w:r>
          </w:p>
        </w:tc>
      </w:tr>
      <w:tr w14:paraId="36478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D259777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41E4CBE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S100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1ACA4B9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0.725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2BFF4D1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0.288-1.798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A4BA4C9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0.488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B3EEBFE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0.931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6B1F079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0.255-3.398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1003CCA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0.914</w:t>
            </w:r>
          </w:p>
        </w:tc>
      </w:tr>
      <w:tr w14:paraId="33841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724D314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BF91E3D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D240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6127C84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0.463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2763EE8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0.143-1.377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C864623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0.176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E5E51E6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0.449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ECD3F99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0.063-3.202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5D346AC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0.424</w:t>
            </w:r>
          </w:p>
        </w:tc>
      </w:tr>
      <w:tr w14:paraId="33ADE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C2F7730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THBS2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861BCA0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Vascular invasion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B8CAB99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1.290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18B1EC1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0.499-3.437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65FBAD0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0.603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F34B301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0.864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BBC78DE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0.246-3.030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D7C3D45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0.819</w:t>
            </w:r>
          </w:p>
        </w:tc>
      </w:tr>
      <w:tr w14:paraId="557DF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E58C279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151FEFC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nerve involvement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6D86AC3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0.681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FAEEA04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0.262-1.717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0953746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0.420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F6A4CA4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0.592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FEDF51A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0.197-1.778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CDB8685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0.350</w:t>
            </w:r>
          </w:p>
        </w:tc>
      </w:tr>
      <w:tr w14:paraId="2378F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32E08E7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E61D0A9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p53 Mutation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7FFCF72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0.734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5F7283C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0.267-1.933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068628D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0.536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1912805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0.599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BDF0F42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0.188-1.912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D958146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0.387</w:t>
            </w:r>
          </w:p>
        </w:tc>
      </w:tr>
      <w:tr w14:paraId="0A448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F194C31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B360728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HER2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B7173C2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0.749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8CABD92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0.417-1.321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192E5BC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0.320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95008C2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0.839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BBCA8B1">
            <w:pPr>
              <w:widowControl w:val="0"/>
              <w:numPr>
                <w:ilvl w:val="0"/>
                <w:numId w:val="0"/>
              </w:numPr>
              <w:tabs>
                <w:tab w:val="center" w:pos="732"/>
              </w:tabs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0.384-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ab/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1.835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F47EB7E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0.661</w:t>
            </w:r>
          </w:p>
        </w:tc>
      </w:tr>
      <w:tr w14:paraId="73431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2849FA7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A5BF26A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CD56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6834B17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1.944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F8F5B98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0.582-7.687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2C47D9E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0.301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AE9AF52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3.375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65F69A6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0.793-14.361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BEE6EF1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0.100</w:t>
            </w:r>
          </w:p>
        </w:tc>
      </w:tr>
      <w:tr w14:paraId="1F8FC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D6D4341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3C39D03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Ki67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F73B32F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1.066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217EEA6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0.067-15.155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DBB584D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0.962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7D0E131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0.851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557D600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0.032-22.300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D07ECDD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0.923</w:t>
            </w:r>
          </w:p>
        </w:tc>
      </w:tr>
      <w:tr w14:paraId="7A206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F282545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86C4ADA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CD31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0D0777B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1.519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664355C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0.388-5.948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CFFE1B7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0.539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94E8381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4.849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DD1AA37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0.339-69.395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21EA71E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0.245</w:t>
            </w:r>
          </w:p>
        </w:tc>
      </w:tr>
      <w:tr w14:paraId="5BC41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09FCB79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A637188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CD34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2E085B7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1.519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D3EFB92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0.388-5.948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110E234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0.539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1692019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1.281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36AC987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0.123-13.291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1BF70E9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0.836</w:t>
            </w:r>
          </w:p>
        </w:tc>
      </w:tr>
      <w:tr w14:paraId="106FB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1E9683F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E95D991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S100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74884E4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0.427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75FE8AC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0.157-1.096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FD4BCB8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0.083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665486F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0.219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7F37155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0.052-0.917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5CD47FB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0.038</w:t>
            </w:r>
          </w:p>
        </w:tc>
      </w:tr>
      <w:tr w14:paraId="6CC3C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1A9AA6D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4805391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D240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8AF43C0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0.734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1C21E70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0.227-2.193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8B522A3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0.588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4BC7765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0.782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6B38149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0.083-7.414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7187B6E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0.830</w:t>
            </w:r>
          </w:p>
        </w:tc>
      </w:tr>
      <w:tr w14:paraId="3E7B9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4C5B609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ANKRD65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C22377F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Vascular invasion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9E3391D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0.481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D8D9D3A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0.154-1.350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CD6F35D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0.180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9B8A220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0.502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4A62230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0.127-1.980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FAC9507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0.325</w:t>
            </w:r>
          </w:p>
        </w:tc>
      </w:tr>
      <w:tr w14:paraId="7DC71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B75967B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3792B41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nerve involvement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B62C943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1.629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B002255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0.611-4.604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B631F06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0.339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084F2CE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2.291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9484D93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0.704-7.460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5A3D98D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0.169</w:t>
            </w:r>
          </w:p>
        </w:tc>
      </w:tr>
      <w:tr w14:paraId="7C07D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BC8F77D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97109B6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p53 Mutation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BA6357B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1.770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D15FB7A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0.626-5.541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D0BE110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0.298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75DF222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1.568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8DEC9CA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0.451-5.454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61EC6B5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0.480</w:t>
            </w:r>
          </w:p>
        </w:tc>
      </w:tr>
      <w:tr w14:paraId="55736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8B30950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57A004C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HER2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500E2E8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0.821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43C1D50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0.434-1.495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02FA585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0.528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E636FFF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0.773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2B847B0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0.327-1.826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6470A2F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0.557</w:t>
            </w:r>
          </w:p>
        </w:tc>
      </w:tr>
      <w:tr w14:paraId="21375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3974761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A65C2B7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CD56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74B14B9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1.222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7C0BE9D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0.339-4.024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4BF0335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0.746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D382DC4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0.938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9A2E54F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0.218-4.030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5525843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0.931</w:t>
            </w:r>
          </w:p>
        </w:tc>
      </w:tr>
      <w:tr w14:paraId="4A023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ACF2184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495A677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Ki67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017033A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1.030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D2EAEA6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0.067-20.722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F6E632D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0.983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A5646CD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1.738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FC762E8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0.047-63.748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6E99506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0.763</w:t>
            </w:r>
          </w:p>
        </w:tc>
      </w:tr>
      <w:tr w14:paraId="18DB0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F60FE86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F1F014A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CD31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6AF3C8A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0.417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37E5912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0.105-1.647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0146585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0.202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C4BA530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1.053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11473DD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0.030-36.403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437AA30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0.977</w:t>
            </w:r>
          </w:p>
        </w:tc>
      </w:tr>
      <w:tr w14:paraId="5D852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1CCE9C5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2E7E4CC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CD34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707BA66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0.417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1BAE74A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0.105-1.647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D31B6A5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0.202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1401D9F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0.276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7809508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0.013-5.698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E806511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0.405</w:t>
            </w:r>
          </w:p>
        </w:tc>
      </w:tr>
      <w:tr w14:paraId="1FDAE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04D743F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D175A9D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S100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22F48AA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1.629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7A5220C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0.611-4.604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DB91A64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0.339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0C7122D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8.219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D34A51B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0.764-88.450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6E9E385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0.082</w:t>
            </w:r>
          </w:p>
        </w:tc>
      </w:tr>
      <w:tr w14:paraId="6D2DD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0" w:type="dxa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02D36628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4720EB1C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D240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338085CE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0.435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1346E6BF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0.142-1.330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088279E2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0.139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4AE1E6FF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0.161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4200877D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0.009-2.836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5AE5A13C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  <w:vertAlign w:val="baseline"/>
                <w:lang w:val="en-US" w:eastAsia="zh-CN"/>
              </w:rPr>
              <w:t>0.212</w:t>
            </w:r>
          </w:p>
        </w:tc>
      </w:tr>
    </w:tbl>
    <w:p w14:paraId="1BE29E91">
      <w:pPr>
        <w:rPr>
          <w:rFonts w:hint="default" w:ascii="宋体" w:hAnsi="宋体" w:eastAsia="宋体" w:cs="宋体"/>
          <w:sz w:val="24"/>
          <w:szCs w:val="32"/>
          <w:vertAlign w:val="baseline"/>
          <w:lang w:val="en-US" w:eastAsia="zh-CN"/>
        </w:rPr>
      </w:pPr>
    </w:p>
    <w:p w14:paraId="68C05D32">
      <w:pPr>
        <w:rPr>
          <w:rFonts w:hint="default" w:ascii="宋体" w:hAnsi="宋体" w:eastAsia="宋体" w:cs="宋体"/>
          <w:sz w:val="24"/>
          <w:szCs w:val="32"/>
          <w:vertAlign w:val="baseline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宋体" w:cs="Times New Roman"/>
          <w:sz w:val="22"/>
          <w:szCs w:val="28"/>
          <w:vertAlign w:val="baseline"/>
          <w:lang w:val="en-US" w:eastAsia="zh-CN"/>
        </w:rPr>
        <w:t>Odds ratio (OR): A statistical measure used to determine the strength of association between two events. 95% Confidence interval (CI): Methods for estimating the range of parameter values. P &lt; 0.05 is considered statistically significant.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801AC4"/>
    <w:rsid w:val="38A47A0B"/>
    <w:rsid w:val="3A7A1608"/>
    <w:rsid w:val="3C223E72"/>
    <w:rsid w:val="46E9584C"/>
    <w:rsid w:val="70981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2025-12-11T10:03:00Z</dcterms:created>
  <dc:creator>apple</dc:creator>
  <cp:lastModifiedBy>达拉芬奇</cp:lastModifiedBy>
  <dcterms:modified xsi:type="dcterms:W3CDTF">2025-12-11T11:50:11Z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eyJoZGlkIjoiNjYwMWM5MjU4ZWI4Y2EzODNmMTU5MDNhMjRjNDUwYjgiLCJ1c2VySWQiOiI0MjczMTAzODUifQ==</vt:lpwstr>
  </property>
  <property fmtid="{D5CDD505-2E9C-101B-9397-08002B2CF9AE}" pid="4" name="ICV">
    <vt:lpwstr>C90B0FD2D55946EF81A9F6054D4BB8B4_12</vt:lpwstr>
  </property>
</Properties>
</file>