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078FB" w14:textId="77777777" w:rsidR="00D457E2" w:rsidRDefault="00D457E2" w:rsidP="00D457E2">
      <w:pPr>
        <w:rPr>
          <w:rFonts w:ascii="Times New Roman Regular" w:hAnsi="Times New Roman Regular" w:cs="Times New Roman Regular"/>
          <w:bCs/>
          <w:sz w:val="24"/>
        </w:rPr>
      </w:pPr>
      <w:r>
        <w:rPr>
          <w:rFonts w:ascii="Times New Roman Regular" w:hAnsi="Times New Roman Regular" w:cs="Times New Roman Regular"/>
          <w:bCs/>
          <w:sz w:val="24"/>
        </w:rPr>
        <w:t>Supplementary Table S1. Comparison of baseline characteristics between NSCLC patients who provided EBC(n=60) and those who did not(n=31)</w:t>
      </w:r>
    </w:p>
    <w:tbl>
      <w:tblPr>
        <w:tblW w:w="9165" w:type="dxa"/>
        <w:jc w:val="center"/>
        <w:tblLayout w:type="fixed"/>
        <w:tblLook w:val="04A0" w:firstRow="1" w:lastRow="0" w:firstColumn="1" w:lastColumn="0" w:noHBand="0" w:noVBand="1"/>
      </w:tblPr>
      <w:tblGrid>
        <w:gridCol w:w="3144"/>
        <w:gridCol w:w="2553"/>
        <w:gridCol w:w="2349"/>
        <w:gridCol w:w="1119"/>
      </w:tblGrid>
      <w:tr w:rsidR="00D457E2" w14:paraId="2C014FAB" w14:textId="77777777" w:rsidTr="00D457E2">
        <w:trPr>
          <w:jc w:val="center"/>
        </w:trPr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1DF372" w14:textId="77777777" w:rsidR="00D457E2" w:rsidRDefault="00D457E2">
            <w:pPr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Variables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115A73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EBC provided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C78EF8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EBC not provided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C4ABD7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P value</w:t>
            </w:r>
          </w:p>
        </w:tc>
      </w:tr>
      <w:tr w:rsidR="00D457E2" w14:paraId="2B4BFC0E" w14:textId="77777777" w:rsidTr="00D457E2">
        <w:trPr>
          <w:trHeight w:val="371"/>
          <w:jc w:val="center"/>
        </w:trPr>
        <w:tc>
          <w:tcPr>
            <w:tcW w:w="31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5A10A3" w14:textId="77777777" w:rsidR="00D457E2" w:rsidRDefault="00D457E2">
            <w:pPr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Number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3D1BED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60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651D5B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sz w:val="24"/>
              </w:rPr>
              <w:t>31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3DFC2" w14:textId="77777777" w:rsidR="00D457E2" w:rsidRDefault="00D457E2">
            <w:pPr>
              <w:jc w:val="center"/>
              <w:rPr>
                <w:rFonts w:ascii="Times New Roman Regular" w:eastAsiaTheme="minorEastAsia" w:hAnsi="Times New Roman Regular" w:cs="Times New Roman Regular"/>
                <w:sz w:val="24"/>
              </w:rPr>
            </w:pPr>
          </w:p>
        </w:tc>
      </w:tr>
      <w:tr w:rsidR="00D457E2" w14:paraId="0AFF4476" w14:textId="77777777" w:rsidTr="00D457E2">
        <w:trPr>
          <w:jc w:val="center"/>
        </w:trPr>
        <w:tc>
          <w:tcPr>
            <w:tcW w:w="3143" w:type="dxa"/>
            <w:hideMark/>
          </w:tcPr>
          <w:p w14:paraId="1D117231" w14:textId="77777777" w:rsidR="00D457E2" w:rsidRDefault="00D457E2">
            <w:pPr>
              <w:ind w:firstLineChars="50" w:firstLine="120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Age(years)</w:t>
            </w:r>
          </w:p>
        </w:tc>
        <w:tc>
          <w:tcPr>
            <w:tcW w:w="2553" w:type="dxa"/>
            <w:hideMark/>
          </w:tcPr>
          <w:p w14:paraId="415671C1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63.72</w:t>
            </w:r>
            <w:r>
              <w:rPr>
                <w:rFonts w:ascii="Times New Roman Regular" w:hAnsi="Times New Roman Regular" w:cs="Times New Roman Regular"/>
                <w:sz w:val="24"/>
              </w:rPr>
              <w:sym w:font="Symbol" w:char="F0B1"/>
            </w:r>
            <w:r>
              <w:rPr>
                <w:rFonts w:ascii="Times New Roman Regular" w:hAnsi="Times New Roman Regular" w:cs="Times New Roman Regular"/>
                <w:sz w:val="24"/>
              </w:rPr>
              <w:t>12.18</w:t>
            </w:r>
          </w:p>
        </w:tc>
        <w:tc>
          <w:tcPr>
            <w:tcW w:w="2349" w:type="dxa"/>
            <w:hideMark/>
          </w:tcPr>
          <w:p w14:paraId="2C56DC8B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64.10</w:t>
            </w:r>
            <w:r>
              <w:rPr>
                <w:rFonts w:ascii="Times New Roman Regular" w:hAnsi="Times New Roman Regular" w:cs="Times New Roman Regular"/>
                <w:sz w:val="24"/>
              </w:rPr>
              <w:sym w:font="Symbol" w:char="F0B1"/>
            </w:r>
            <w:r>
              <w:rPr>
                <w:rFonts w:ascii="Times New Roman Regular" w:hAnsi="Times New Roman Regular" w:cs="Times New Roman Regular"/>
                <w:sz w:val="24"/>
              </w:rPr>
              <w:t>12.35</w:t>
            </w:r>
          </w:p>
        </w:tc>
        <w:tc>
          <w:tcPr>
            <w:tcW w:w="1119" w:type="dxa"/>
            <w:hideMark/>
          </w:tcPr>
          <w:p w14:paraId="1B579BC3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0.889</w:t>
            </w:r>
          </w:p>
        </w:tc>
      </w:tr>
      <w:tr w:rsidR="00D457E2" w14:paraId="4C45A778" w14:textId="77777777" w:rsidTr="00D457E2">
        <w:trPr>
          <w:jc w:val="center"/>
        </w:trPr>
        <w:tc>
          <w:tcPr>
            <w:tcW w:w="3143" w:type="dxa"/>
            <w:hideMark/>
          </w:tcPr>
          <w:p w14:paraId="7DF21451" w14:textId="77777777" w:rsidR="00D457E2" w:rsidRDefault="00D457E2">
            <w:pPr>
              <w:ind w:firstLineChars="50" w:firstLine="120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Gender (male/female)</w:t>
            </w:r>
          </w:p>
        </w:tc>
        <w:tc>
          <w:tcPr>
            <w:tcW w:w="2553" w:type="dxa"/>
          </w:tcPr>
          <w:p w14:paraId="4B026322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</w:p>
        </w:tc>
        <w:tc>
          <w:tcPr>
            <w:tcW w:w="2349" w:type="dxa"/>
          </w:tcPr>
          <w:p w14:paraId="35A1E4FF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</w:p>
        </w:tc>
        <w:tc>
          <w:tcPr>
            <w:tcW w:w="1119" w:type="dxa"/>
          </w:tcPr>
          <w:p w14:paraId="1EDAD5B8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</w:p>
        </w:tc>
      </w:tr>
      <w:tr w:rsidR="00D457E2" w14:paraId="3D465979" w14:textId="77777777" w:rsidTr="00D457E2">
        <w:trPr>
          <w:jc w:val="center"/>
        </w:trPr>
        <w:tc>
          <w:tcPr>
            <w:tcW w:w="3143" w:type="dxa"/>
            <w:hideMark/>
          </w:tcPr>
          <w:p w14:paraId="27368634" w14:textId="77777777" w:rsidR="00D457E2" w:rsidRDefault="00D457E2">
            <w:pPr>
              <w:ind w:firstLineChars="100" w:firstLine="240"/>
              <w:rPr>
                <w:rFonts w:ascii="Times New Roman Regular" w:eastAsia="SimSun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Male</w:t>
            </w:r>
          </w:p>
        </w:tc>
        <w:tc>
          <w:tcPr>
            <w:tcW w:w="2553" w:type="dxa"/>
            <w:hideMark/>
          </w:tcPr>
          <w:p w14:paraId="71C74A09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sz w:val="24"/>
              </w:rPr>
              <w:t>31</w:t>
            </w:r>
          </w:p>
        </w:tc>
        <w:tc>
          <w:tcPr>
            <w:tcW w:w="2349" w:type="dxa"/>
            <w:hideMark/>
          </w:tcPr>
          <w:p w14:paraId="0570309C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sz w:val="24"/>
              </w:rPr>
              <w:t>16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3C059588" w14:textId="77777777" w:rsidR="00D457E2" w:rsidRDefault="00D457E2">
            <w:pPr>
              <w:jc w:val="center"/>
              <w:rPr>
                <w:rFonts w:ascii="Times New Roman Regular" w:eastAsiaTheme="minorEastAsia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0.990</w:t>
            </w:r>
          </w:p>
        </w:tc>
      </w:tr>
      <w:tr w:rsidR="00D457E2" w14:paraId="7E480AC9" w14:textId="77777777" w:rsidTr="00D457E2">
        <w:trPr>
          <w:jc w:val="center"/>
        </w:trPr>
        <w:tc>
          <w:tcPr>
            <w:tcW w:w="3143" w:type="dxa"/>
            <w:hideMark/>
          </w:tcPr>
          <w:p w14:paraId="4EE35358" w14:textId="77777777" w:rsidR="00D457E2" w:rsidRDefault="00D457E2">
            <w:pPr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 xml:space="preserve">  Female</w:t>
            </w:r>
          </w:p>
        </w:tc>
        <w:tc>
          <w:tcPr>
            <w:tcW w:w="2553" w:type="dxa"/>
            <w:hideMark/>
          </w:tcPr>
          <w:p w14:paraId="02012F63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sz w:val="24"/>
              </w:rPr>
              <w:t>29</w:t>
            </w:r>
          </w:p>
        </w:tc>
        <w:tc>
          <w:tcPr>
            <w:tcW w:w="2349" w:type="dxa"/>
            <w:hideMark/>
          </w:tcPr>
          <w:p w14:paraId="0283A955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sz w:val="24"/>
              </w:rPr>
            </w:pPr>
            <w:r>
              <w:rPr>
                <w:rFonts w:ascii="Times New Roman Regular" w:eastAsia="SimSun" w:hAnsi="Times New Roman Regular" w:cs="Times New Roman Regular"/>
                <w:sz w:val="24"/>
              </w:rPr>
              <w:t>15</w:t>
            </w:r>
          </w:p>
        </w:tc>
        <w:tc>
          <w:tcPr>
            <w:tcW w:w="1119" w:type="dxa"/>
            <w:vMerge/>
            <w:vAlign w:val="center"/>
            <w:hideMark/>
          </w:tcPr>
          <w:p w14:paraId="1003D67C" w14:textId="77777777" w:rsidR="00D457E2" w:rsidRDefault="00D457E2">
            <w:pPr>
              <w:rPr>
                <w:rFonts w:ascii="Times New Roman Regular" w:eastAsiaTheme="minorEastAsia" w:hAnsi="Times New Roman Regular" w:cs="Times New Roman Regular"/>
                <w:kern w:val="2"/>
                <w:sz w:val="24"/>
                <w:szCs w:val="24"/>
                <w:lang w:eastAsia="zh-CN"/>
              </w:rPr>
            </w:pPr>
          </w:p>
        </w:tc>
      </w:tr>
      <w:tr w:rsidR="00D457E2" w14:paraId="0056825D" w14:textId="77777777" w:rsidTr="00D457E2">
        <w:trPr>
          <w:jc w:val="center"/>
        </w:trPr>
        <w:tc>
          <w:tcPr>
            <w:tcW w:w="3143" w:type="dxa"/>
            <w:hideMark/>
          </w:tcPr>
          <w:p w14:paraId="2CD2BEFF" w14:textId="77777777" w:rsidR="00D457E2" w:rsidRDefault="00D457E2">
            <w:pPr>
              <w:ind w:firstLineChars="50" w:firstLine="120"/>
              <w:rPr>
                <w:rFonts w:ascii="Times New Roman Regular" w:eastAsiaTheme="minorEastAsia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Smoking history(yes/no)</w:t>
            </w:r>
          </w:p>
        </w:tc>
        <w:tc>
          <w:tcPr>
            <w:tcW w:w="2553" w:type="dxa"/>
          </w:tcPr>
          <w:p w14:paraId="2BF5F55C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</w:p>
        </w:tc>
        <w:tc>
          <w:tcPr>
            <w:tcW w:w="2349" w:type="dxa"/>
          </w:tcPr>
          <w:p w14:paraId="15D29128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</w:p>
        </w:tc>
        <w:tc>
          <w:tcPr>
            <w:tcW w:w="1119" w:type="dxa"/>
          </w:tcPr>
          <w:p w14:paraId="4A1770FD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</w:p>
        </w:tc>
      </w:tr>
      <w:tr w:rsidR="00D457E2" w14:paraId="5608E510" w14:textId="77777777" w:rsidTr="00D457E2">
        <w:trPr>
          <w:jc w:val="center"/>
        </w:trPr>
        <w:tc>
          <w:tcPr>
            <w:tcW w:w="3143" w:type="dxa"/>
            <w:hideMark/>
          </w:tcPr>
          <w:p w14:paraId="11D3E535" w14:textId="77777777" w:rsidR="00D457E2" w:rsidRDefault="00D457E2">
            <w:pPr>
              <w:ind w:firstLineChars="100" w:firstLine="240"/>
              <w:rPr>
                <w:rFonts w:ascii="Times New Roman Regular" w:eastAsia="SimSun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Yes</w:t>
            </w:r>
          </w:p>
        </w:tc>
        <w:tc>
          <w:tcPr>
            <w:tcW w:w="2553" w:type="dxa"/>
            <w:hideMark/>
          </w:tcPr>
          <w:p w14:paraId="090CD74F" w14:textId="77777777" w:rsidR="00D457E2" w:rsidRDefault="00D457E2">
            <w:pPr>
              <w:jc w:val="center"/>
              <w:rPr>
                <w:rFonts w:ascii="Times New Roman Regular" w:eastAsiaTheme="minorEastAsia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15</w:t>
            </w:r>
          </w:p>
        </w:tc>
        <w:tc>
          <w:tcPr>
            <w:tcW w:w="2349" w:type="dxa"/>
            <w:hideMark/>
          </w:tcPr>
          <w:p w14:paraId="4CACA442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8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16264A9B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0.930</w:t>
            </w:r>
          </w:p>
        </w:tc>
      </w:tr>
      <w:tr w:rsidR="00D457E2" w14:paraId="112C2785" w14:textId="77777777" w:rsidTr="00D457E2">
        <w:trPr>
          <w:jc w:val="center"/>
        </w:trPr>
        <w:tc>
          <w:tcPr>
            <w:tcW w:w="3143" w:type="dxa"/>
            <w:hideMark/>
          </w:tcPr>
          <w:p w14:paraId="2E487EF7" w14:textId="77777777" w:rsidR="00D457E2" w:rsidRDefault="00D457E2">
            <w:pPr>
              <w:rPr>
                <w:rFonts w:ascii="Times New Roman Regular" w:eastAsia="SimSun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 xml:space="preserve">  No</w:t>
            </w:r>
          </w:p>
        </w:tc>
        <w:tc>
          <w:tcPr>
            <w:tcW w:w="2553" w:type="dxa"/>
            <w:hideMark/>
          </w:tcPr>
          <w:p w14:paraId="2E3B8FA4" w14:textId="77777777" w:rsidR="00D457E2" w:rsidRDefault="00D457E2">
            <w:pPr>
              <w:jc w:val="center"/>
              <w:rPr>
                <w:rFonts w:ascii="Times New Roman Regular" w:eastAsiaTheme="minorEastAsia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45</w:t>
            </w:r>
          </w:p>
        </w:tc>
        <w:tc>
          <w:tcPr>
            <w:tcW w:w="2349" w:type="dxa"/>
            <w:hideMark/>
          </w:tcPr>
          <w:p w14:paraId="3E024C1D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23</w:t>
            </w:r>
          </w:p>
        </w:tc>
        <w:tc>
          <w:tcPr>
            <w:tcW w:w="1119" w:type="dxa"/>
            <w:vMerge/>
            <w:vAlign w:val="center"/>
            <w:hideMark/>
          </w:tcPr>
          <w:p w14:paraId="792EBD96" w14:textId="77777777" w:rsidR="00D457E2" w:rsidRDefault="00D457E2">
            <w:pPr>
              <w:rPr>
                <w:rFonts w:ascii="Times New Roman Regular" w:eastAsiaTheme="minorEastAsia" w:hAnsi="Times New Roman Regular" w:cs="Times New Roman Regular"/>
                <w:kern w:val="2"/>
                <w:sz w:val="24"/>
                <w:szCs w:val="24"/>
                <w:lang w:eastAsia="zh-CN"/>
              </w:rPr>
            </w:pPr>
          </w:p>
        </w:tc>
      </w:tr>
      <w:tr w:rsidR="00D457E2" w14:paraId="1C0F9BB5" w14:textId="77777777" w:rsidTr="00D457E2">
        <w:trPr>
          <w:jc w:val="center"/>
        </w:trPr>
        <w:tc>
          <w:tcPr>
            <w:tcW w:w="3143" w:type="dxa"/>
            <w:hideMark/>
          </w:tcPr>
          <w:p w14:paraId="65F4CEE3" w14:textId="77777777" w:rsidR="00D457E2" w:rsidRDefault="00D457E2">
            <w:pPr>
              <w:ind w:firstLineChars="50" w:firstLine="120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Histology</w:t>
            </w:r>
          </w:p>
        </w:tc>
        <w:tc>
          <w:tcPr>
            <w:tcW w:w="2553" w:type="dxa"/>
          </w:tcPr>
          <w:p w14:paraId="7BB1D5CB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</w:p>
        </w:tc>
        <w:tc>
          <w:tcPr>
            <w:tcW w:w="2349" w:type="dxa"/>
          </w:tcPr>
          <w:p w14:paraId="7063CC32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</w:p>
        </w:tc>
        <w:tc>
          <w:tcPr>
            <w:tcW w:w="1119" w:type="dxa"/>
          </w:tcPr>
          <w:p w14:paraId="3F9D9951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</w:p>
        </w:tc>
      </w:tr>
      <w:tr w:rsidR="00D457E2" w14:paraId="17BD3C2C" w14:textId="77777777" w:rsidTr="00D457E2">
        <w:trPr>
          <w:jc w:val="center"/>
        </w:trPr>
        <w:tc>
          <w:tcPr>
            <w:tcW w:w="3143" w:type="dxa"/>
            <w:hideMark/>
          </w:tcPr>
          <w:p w14:paraId="1DD53C15" w14:textId="77777777" w:rsidR="00D457E2" w:rsidRDefault="00D457E2">
            <w:pPr>
              <w:ind w:firstLineChars="100" w:firstLine="240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Squamous cell carcinoma</w:t>
            </w:r>
          </w:p>
        </w:tc>
        <w:tc>
          <w:tcPr>
            <w:tcW w:w="2553" w:type="dxa"/>
            <w:hideMark/>
          </w:tcPr>
          <w:p w14:paraId="186EB67E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20</w:t>
            </w:r>
          </w:p>
        </w:tc>
        <w:tc>
          <w:tcPr>
            <w:tcW w:w="2349" w:type="dxa"/>
            <w:hideMark/>
          </w:tcPr>
          <w:p w14:paraId="6A5BB079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5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5A8E14B5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0.082</w:t>
            </w:r>
          </w:p>
        </w:tc>
      </w:tr>
      <w:tr w:rsidR="00D457E2" w14:paraId="6685835F" w14:textId="77777777" w:rsidTr="00D457E2">
        <w:trPr>
          <w:jc w:val="center"/>
        </w:trPr>
        <w:tc>
          <w:tcPr>
            <w:tcW w:w="3143" w:type="dxa"/>
            <w:hideMark/>
          </w:tcPr>
          <w:p w14:paraId="51BA2459" w14:textId="77777777" w:rsidR="00D457E2" w:rsidRDefault="00D457E2">
            <w:pPr>
              <w:ind w:firstLineChars="100" w:firstLine="240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Adenocarcinoma</w:t>
            </w:r>
          </w:p>
        </w:tc>
        <w:tc>
          <w:tcPr>
            <w:tcW w:w="2553" w:type="dxa"/>
            <w:hideMark/>
          </w:tcPr>
          <w:p w14:paraId="6D11454B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40</w:t>
            </w:r>
          </w:p>
        </w:tc>
        <w:tc>
          <w:tcPr>
            <w:tcW w:w="2349" w:type="dxa"/>
            <w:hideMark/>
          </w:tcPr>
          <w:p w14:paraId="4A9C3BB7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26</w:t>
            </w:r>
          </w:p>
        </w:tc>
        <w:tc>
          <w:tcPr>
            <w:tcW w:w="1119" w:type="dxa"/>
            <w:vMerge/>
            <w:vAlign w:val="center"/>
            <w:hideMark/>
          </w:tcPr>
          <w:p w14:paraId="66ABC3DB" w14:textId="77777777" w:rsidR="00D457E2" w:rsidRDefault="00D457E2">
            <w:pPr>
              <w:rPr>
                <w:rFonts w:ascii="Times New Roman Regular" w:eastAsiaTheme="minorEastAsia" w:hAnsi="Times New Roman Regular" w:cs="Times New Roman Regular"/>
                <w:kern w:val="2"/>
                <w:sz w:val="24"/>
                <w:szCs w:val="24"/>
                <w:lang w:eastAsia="zh-CN"/>
              </w:rPr>
            </w:pPr>
          </w:p>
        </w:tc>
      </w:tr>
      <w:tr w:rsidR="00D457E2" w14:paraId="073DFB39" w14:textId="77777777" w:rsidTr="00D457E2">
        <w:trPr>
          <w:jc w:val="center"/>
        </w:trPr>
        <w:tc>
          <w:tcPr>
            <w:tcW w:w="3143" w:type="dxa"/>
            <w:hideMark/>
          </w:tcPr>
          <w:p w14:paraId="2B0DB30C" w14:textId="77777777" w:rsidR="00D457E2" w:rsidRDefault="00D457E2">
            <w:pPr>
              <w:ind w:firstLineChars="50" w:firstLine="120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TNM stage</w:t>
            </w:r>
          </w:p>
        </w:tc>
        <w:tc>
          <w:tcPr>
            <w:tcW w:w="2553" w:type="dxa"/>
            <w:vAlign w:val="center"/>
          </w:tcPr>
          <w:p w14:paraId="479A9D8A" w14:textId="77777777" w:rsidR="00D457E2" w:rsidRDefault="00D457E2">
            <w:pPr>
              <w:jc w:val="center"/>
              <w:rPr>
                <w:rFonts w:ascii="Times New Roman Regular" w:eastAsiaTheme="minorEastAsia" w:hAnsi="Times New Roman Regular" w:cs="Times New Roman Regular"/>
                <w:sz w:val="24"/>
              </w:rPr>
            </w:pPr>
          </w:p>
        </w:tc>
        <w:tc>
          <w:tcPr>
            <w:tcW w:w="2349" w:type="dxa"/>
            <w:vAlign w:val="center"/>
          </w:tcPr>
          <w:p w14:paraId="119A8A3B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</w:p>
        </w:tc>
        <w:tc>
          <w:tcPr>
            <w:tcW w:w="1119" w:type="dxa"/>
            <w:vAlign w:val="center"/>
          </w:tcPr>
          <w:p w14:paraId="70B5BDC4" w14:textId="77777777" w:rsidR="00D457E2" w:rsidRDefault="00D457E2">
            <w:pPr>
              <w:jc w:val="center"/>
              <w:rPr>
                <w:rFonts w:ascii="Times New Roman Bold" w:hAnsi="Times New Roman Bold" w:cs="Times New Roman Bold"/>
                <w:b/>
                <w:bCs/>
                <w:sz w:val="24"/>
              </w:rPr>
            </w:pPr>
          </w:p>
        </w:tc>
      </w:tr>
      <w:tr w:rsidR="00D457E2" w14:paraId="5B85C8E7" w14:textId="77777777" w:rsidTr="00D457E2">
        <w:trPr>
          <w:jc w:val="center"/>
        </w:trPr>
        <w:tc>
          <w:tcPr>
            <w:tcW w:w="3143" w:type="dxa"/>
            <w:hideMark/>
          </w:tcPr>
          <w:p w14:paraId="6FDB6649" w14:textId="77777777" w:rsidR="00D457E2" w:rsidRDefault="00D457E2">
            <w:pPr>
              <w:ind w:firstLineChars="100" w:firstLine="240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Ⅰ-Ⅱ</w:t>
            </w:r>
          </w:p>
        </w:tc>
        <w:tc>
          <w:tcPr>
            <w:tcW w:w="2553" w:type="dxa"/>
            <w:vAlign w:val="center"/>
            <w:hideMark/>
          </w:tcPr>
          <w:p w14:paraId="4EF001A5" w14:textId="77777777" w:rsidR="00D457E2" w:rsidRDefault="00D457E2">
            <w:pPr>
              <w:jc w:val="center"/>
              <w:rPr>
                <w:rFonts w:ascii="Times New Roman Regular" w:eastAsiaTheme="minorEastAsia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35</w:t>
            </w:r>
          </w:p>
        </w:tc>
        <w:tc>
          <w:tcPr>
            <w:tcW w:w="2349" w:type="dxa"/>
            <w:vAlign w:val="center"/>
            <w:hideMark/>
          </w:tcPr>
          <w:p w14:paraId="687BEBFC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18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19029A" w14:textId="77777777" w:rsidR="00D457E2" w:rsidRDefault="00D457E2">
            <w:pPr>
              <w:jc w:val="center"/>
              <w:rPr>
                <w:rFonts w:ascii="Times New Roman Bold" w:hAnsi="Times New Roman Bold" w:cs="Times New Roman Bold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0.980</w:t>
            </w:r>
          </w:p>
        </w:tc>
      </w:tr>
      <w:tr w:rsidR="00D457E2" w14:paraId="5A1E421A" w14:textId="77777777" w:rsidTr="00D457E2">
        <w:trPr>
          <w:jc w:val="center"/>
        </w:trPr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79229B" w14:textId="77777777" w:rsidR="00D457E2" w:rsidRDefault="00D457E2">
            <w:pPr>
              <w:ind w:firstLineChars="100" w:firstLine="240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Ⅲ-Ⅳ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31623B" w14:textId="77777777" w:rsidR="00D457E2" w:rsidRDefault="00D457E2">
            <w:pPr>
              <w:jc w:val="center"/>
              <w:rPr>
                <w:rFonts w:ascii="Times New Roman Regular" w:eastAsiaTheme="minorEastAsia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25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926E0A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13</w:t>
            </w:r>
          </w:p>
        </w:tc>
        <w:tc>
          <w:tcPr>
            <w:tcW w:w="111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945218" w14:textId="77777777" w:rsidR="00D457E2" w:rsidRDefault="00D457E2">
            <w:pPr>
              <w:rPr>
                <w:rFonts w:ascii="Times New Roman Bold" w:eastAsiaTheme="minorEastAsia" w:hAnsi="Times New Roman Bold" w:cs="Times New Roman Bold"/>
                <w:b/>
                <w:bCs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55DAC20D" w14:textId="77777777" w:rsidR="00D457E2" w:rsidRDefault="00D457E2" w:rsidP="00D457E2">
      <w:pPr>
        <w:rPr>
          <w:rFonts w:ascii="Times New Roman Regular" w:eastAsiaTheme="minorEastAsia" w:hAnsi="Times New Roman Regular" w:cs="Times New Roman Regular"/>
          <w:kern w:val="2"/>
          <w:sz w:val="24"/>
          <w:lang w:eastAsia="zh-CN"/>
        </w:rPr>
      </w:pPr>
      <w:r>
        <w:rPr>
          <w:rFonts w:ascii="Times New Roman Regular" w:hAnsi="Times New Roman Regular" w:cs="Times New Roman Regular"/>
          <w:sz w:val="24"/>
        </w:rPr>
        <w:t>Data were expressed as number and mean ± standard deviation.</w:t>
      </w:r>
    </w:p>
    <w:p w14:paraId="4453480F" w14:textId="77777777" w:rsidR="00D457E2" w:rsidRDefault="00D457E2" w:rsidP="00D457E2">
      <w:pPr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>Binary logistic regression analysis with adjustment age and gender was used to control confounding factors.</w:t>
      </w:r>
    </w:p>
    <w:p w14:paraId="4A005166" w14:textId="77777777" w:rsidR="00D457E2" w:rsidRDefault="00D457E2" w:rsidP="00D457E2">
      <w:pPr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iCs/>
          <w:sz w:val="24"/>
        </w:rPr>
        <w:t>NSCLC</w:t>
      </w:r>
      <w:r>
        <w:rPr>
          <w:rFonts w:ascii="Times New Roman Regular" w:hAnsi="Times New Roman Regular" w:cs="Times New Roman Regular"/>
          <w:sz w:val="24"/>
        </w:rPr>
        <w:t xml:space="preserve"> non-small cell lung cancer.</w:t>
      </w:r>
    </w:p>
    <w:p w14:paraId="093F89C1" w14:textId="77777777" w:rsidR="00D457E2" w:rsidRDefault="00D457E2" w:rsidP="00D457E2">
      <w:pPr>
        <w:rPr>
          <w:rFonts w:ascii="Times New Roman Regular" w:eastAsia="SimSun" w:hAnsi="Times New Roman Regular" w:cs="Times New Roman Regular"/>
          <w:bCs/>
          <w:sz w:val="24"/>
        </w:rPr>
      </w:pPr>
      <w:r>
        <w:rPr>
          <w:rFonts w:ascii="Times New Roman Regular" w:eastAsia="SimSun" w:hAnsi="Times New Roman Regular" w:cs="Times New Roman Regular"/>
          <w:bCs/>
          <w:sz w:val="24"/>
        </w:rPr>
        <w:t xml:space="preserve">P values were calculated </w:t>
      </w:r>
      <w:r>
        <w:rPr>
          <w:rFonts w:ascii="Times New Roman Regular" w:hAnsi="Times New Roman Regular" w:cs="Times New Roman Regular"/>
          <w:bCs/>
          <w:sz w:val="24"/>
        </w:rPr>
        <w:t>by Mann-Whitney U test and χ2 tests</w:t>
      </w:r>
      <w:r>
        <w:rPr>
          <w:rFonts w:ascii="Times New Roman Regular" w:eastAsia="SimSun" w:hAnsi="Times New Roman Regular" w:cs="Times New Roman Regular"/>
          <w:bCs/>
          <w:sz w:val="24"/>
        </w:rPr>
        <w:t>.</w:t>
      </w:r>
    </w:p>
    <w:p w14:paraId="65946077" w14:textId="77777777" w:rsidR="00D457E2" w:rsidRDefault="00D457E2" w:rsidP="00D457E2">
      <w:pPr>
        <w:rPr>
          <w:rFonts w:ascii="Times New Roman Regular" w:eastAsia="SimSun" w:hAnsi="Times New Roman Regular" w:cs="Times New Roman Regular"/>
          <w:bCs/>
          <w:sz w:val="24"/>
        </w:rPr>
      </w:pPr>
      <w:r>
        <w:rPr>
          <w:rFonts w:ascii="Times New Roman Regular" w:eastAsia="SimSun" w:hAnsi="Times New Roman Regular" w:cs="Times New Roman Regular"/>
          <w:bCs/>
          <w:sz w:val="24"/>
        </w:rPr>
        <w:t>P &lt; 0.05 was considered significant.</w:t>
      </w:r>
    </w:p>
    <w:p w14:paraId="0845ADA5" w14:textId="77777777" w:rsidR="00D457E2" w:rsidRDefault="00D457E2" w:rsidP="00D457E2">
      <w:pPr>
        <w:rPr>
          <w:rFonts w:ascii="Times New Roman Regular" w:eastAsiaTheme="minorEastAsia" w:hAnsi="Times New Roman Regular" w:cs="Times New Roman Regular"/>
          <w:bCs/>
          <w:sz w:val="24"/>
        </w:rPr>
      </w:pPr>
    </w:p>
    <w:p w14:paraId="74234271" w14:textId="77777777" w:rsidR="00D457E2" w:rsidRDefault="00D457E2" w:rsidP="00D457E2">
      <w:pPr>
        <w:rPr>
          <w:rFonts w:ascii="Times New Roman Regular" w:hAnsi="Times New Roman Regular" w:cs="Times New Roman Regular"/>
          <w:bCs/>
          <w:sz w:val="24"/>
        </w:rPr>
      </w:pPr>
    </w:p>
    <w:p w14:paraId="07B8EF67" w14:textId="77777777" w:rsidR="00D457E2" w:rsidRDefault="00D457E2" w:rsidP="00D457E2">
      <w:pPr>
        <w:rPr>
          <w:rFonts w:ascii="Times New Roman Regular" w:hAnsi="Times New Roman Regular" w:cs="Times New Roman Regular"/>
          <w:bCs/>
          <w:sz w:val="24"/>
        </w:rPr>
      </w:pPr>
      <w:r>
        <w:rPr>
          <w:rFonts w:ascii="Times New Roman Regular" w:hAnsi="Times New Roman Regular" w:cs="Times New Roman Regular"/>
          <w:bCs/>
          <w:sz w:val="24"/>
        </w:rPr>
        <w:t>Supplementary Table S2. The diagnostic values of serum PGC-1α for non-small cell lung cancer according to histological type</w:t>
      </w:r>
    </w:p>
    <w:tbl>
      <w:tblPr>
        <w:tblW w:w="10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4"/>
        <w:gridCol w:w="1069"/>
        <w:gridCol w:w="1081"/>
        <w:gridCol w:w="1603"/>
        <w:gridCol w:w="1569"/>
        <w:gridCol w:w="1011"/>
        <w:gridCol w:w="1778"/>
      </w:tblGrid>
      <w:tr w:rsidR="00D457E2" w14:paraId="5D8E96A6" w14:textId="77777777" w:rsidTr="00D457E2">
        <w:trPr>
          <w:trHeight w:val="314"/>
          <w:jc w:val="center"/>
        </w:trPr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C4E9C1" w14:textId="77777777" w:rsidR="00D457E2" w:rsidRDefault="00D457E2">
            <w:pPr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Histological type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4878D1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Number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4FAC63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Cut-off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953039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sz w:val="24"/>
              </w:rPr>
              <w:t>Sensitivity,%</w:t>
            </w:r>
            <w:proofErr w:type="gramEnd"/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67E7E1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proofErr w:type="gramStart"/>
            <w:r>
              <w:rPr>
                <w:rFonts w:ascii="Times New Roman Regular" w:hAnsi="Times New Roman Regular" w:cs="Times New Roman Regular"/>
                <w:bCs/>
                <w:sz w:val="24"/>
              </w:rPr>
              <w:t>Specificity,%</w:t>
            </w:r>
            <w:proofErr w:type="gramEnd"/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376F2A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AUC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B08297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95</w:t>
            </w:r>
            <w:r>
              <w:rPr>
                <w:rFonts w:ascii="MS Mincho" w:eastAsia="MS Mincho" w:hAnsi="MS Mincho" w:cs="MS Mincho" w:hint="eastAsia"/>
                <w:bCs/>
                <w:sz w:val="24"/>
              </w:rPr>
              <w:t>％</w:t>
            </w:r>
            <w:r>
              <w:rPr>
                <w:rFonts w:ascii="Times New Roman Regular" w:hAnsi="Times New Roman Regular" w:cs="Times New Roman Regular"/>
                <w:bCs/>
                <w:sz w:val="24"/>
              </w:rPr>
              <w:t>CI</w:t>
            </w:r>
          </w:p>
        </w:tc>
      </w:tr>
      <w:tr w:rsidR="00D457E2" w14:paraId="639EA370" w14:textId="77777777" w:rsidTr="00D457E2">
        <w:trPr>
          <w:trHeight w:val="314"/>
          <w:jc w:val="center"/>
        </w:trPr>
        <w:tc>
          <w:tcPr>
            <w:tcW w:w="27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363632" w14:textId="77777777" w:rsidR="00D457E2" w:rsidRDefault="00D457E2">
            <w:pPr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Squamous cell carcinoma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C9F87A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30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4E31C4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293.4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D8170D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56.70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F9284F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96.70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8C4FB1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0.776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DA0FD8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0.642-0.878</w:t>
            </w:r>
          </w:p>
        </w:tc>
      </w:tr>
      <w:tr w:rsidR="00D457E2" w14:paraId="16BBE857" w14:textId="77777777" w:rsidTr="00D457E2">
        <w:trPr>
          <w:trHeight w:val="314"/>
          <w:jc w:val="center"/>
        </w:trPr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F0F4F3" w14:textId="77777777" w:rsidR="00D457E2" w:rsidRDefault="00D457E2">
            <w:pPr>
              <w:rPr>
                <w:rFonts w:ascii="Times New Roman Regular" w:eastAsiaTheme="minorEastAsia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Adenocarcinoma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F1F261" w14:textId="77777777" w:rsidR="00D457E2" w:rsidRDefault="00D457E2">
            <w:pPr>
              <w:jc w:val="center"/>
              <w:rPr>
                <w:rFonts w:ascii="Times New Roman Regular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61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EC66DA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293.4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329D74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63.90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CF1FF6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95.00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0A22BE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0.812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3AEF7" w14:textId="77777777" w:rsidR="00D457E2" w:rsidRDefault="00D457E2">
            <w:pPr>
              <w:jc w:val="center"/>
              <w:rPr>
                <w:rFonts w:ascii="Times New Roman Regular" w:eastAsia="SimSun" w:hAnsi="Times New Roman Regular" w:cs="Times New Roman Regular"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</w:rPr>
              <w:t>0.715-0.892</w:t>
            </w:r>
          </w:p>
        </w:tc>
      </w:tr>
    </w:tbl>
    <w:p w14:paraId="712C2098" w14:textId="54005D77" w:rsidR="00800035" w:rsidRPr="00D457E2" w:rsidRDefault="00D457E2">
      <w:pPr>
        <w:rPr>
          <w:rFonts w:ascii="Times New Roman Regular" w:eastAsiaTheme="minorEastAsia" w:hAnsi="Times New Roman Regular" w:cs="Times New Roman Regular"/>
          <w:kern w:val="2"/>
          <w:sz w:val="24"/>
          <w:szCs w:val="32"/>
          <w:lang w:eastAsia="zh-CN"/>
        </w:rPr>
      </w:pPr>
      <w:r>
        <w:rPr>
          <w:rFonts w:ascii="Times New Roman Regular" w:hAnsi="Times New Roman Regular" w:cs="Times New Roman Regular"/>
          <w:bCs/>
          <w:sz w:val="24"/>
        </w:rPr>
        <w:t>AUC</w:t>
      </w:r>
      <w:r>
        <w:rPr>
          <w:rFonts w:ascii="Times New Roman Regular" w:hAnsi="Times New Roman Regular" w:cs="Times New Roman Regular"/>
          <w:bCs/>
          <w:i/>
          <w:iCs/>
          <w:sz w:val="24"/>
        </w:rPr>
        <w:t xml:space="preserve"> </w:t>
      </w:r>
      <w:r>
        <w:rPr>
          <w:rFonts w:ascii="Times New Roman Regular" w:hAnsi="Times New Roman Regular" w:cs="Times New Roman Regular"/>
          <w:bCs/>
          <w:sz w:val="24"/>
        </w:rPr>
        <w:t>area under curve; CI</w:t>
      </w:r>
      <w:r>
        <w:rPr>
          <w:rFonts w:ascii="Times New Roman Regular" w:hAnsi="Times New Roman Regular" w:cs="Times New Roman Regular"/>
          <w:bCs/>
          <w:i/>
          <w:iCs/>
          <w:sz w:val="24"/>
        </w:rPr>
        <w:t xml:space="preserve"> </w:t>
      </w:r>
      <w:r>
        <w:rPr>
          <w:rFonts w:ascii="Times New Roman Regular" w:hAnsi="Times New Roman Regular" w:cs="Times New Roman Regular"/>
          <w:bCs/>
          <w:sz w:val="24"/>
        </w:rPr>
        <w:t>confidence interval.</w:t>
      </w:r>
    </w:p>
    <w:sectPr w:rsidR="00800035" w:rsidRPr="00D457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E2"/>
    <w:rsid w:val="00000AF3"/>
    <w:rsid w:val="000173A4"/>
    <w:rsid w:val="00024FE2"/>
    <w:rsid w:val="00046CBA"/>
    <w:rsid w:val="000B0407"/>
    <w:rsid w:val="000C1A7E"/>
    <w:rsid w:val="000D0D55"/>
    <w:rsid w:val="000D7563"/>
    <w:rsid w:val="000F46B8"/>
    <w:rsid w:val="001169E1"/>
    <w:rsid w:val="00124268"/>
    <w:rsid w:val="00124525"/>
    <w:rsid w:val="00136F83"/>
    <w:rsid w:val="0016119D"/>
    <w:rsid w:val="001704E1"/>
    <w:rsid w:val="001A6DD6"/>
    <w:rsid w:val="001A75B6"/>
    <w:rsid w:val="001B672D"/>
    <w:rsid w:val="001C6BA9"/>
    <w:rsid w:val="001D1385"/>
    <w:rsid w:val="001F4D7C"/>
    <w:rsid w:val="00201A9D"/>
    <w:rsid w:val="002072F2"/>
    <w:rsid w:val="002215FB"/>
    <w:rsid w:val="00224331"/>
    <w:rsid w:val="00285709"/>
    <w:rsid w:val="002A118A"/>
    <w:rsid w:val="002D7A3E"/>
    <w:rsid w:val="002E6A7E"/>
    <w:rsid w:val="002F262D"/>
    <w:rsid w:val="003813FE"/>
    <w:rsid w:val="003A7188"/>
    <w:rsid w:val="003B7D20"/>
    <w:rsid w:val="003C3421"/>
    <w:rsid w:val="003E6024"/>
    <w:rsid w:val="004039F9"/>
    <w:rsid w:val="00407096"/>
    <w:rsid w:val="00431BB9"/>
    <w:rsid w:val="0045506C"/>
    <w:rsid w:val="00461014"/>
    <w:rsid w:val="004700B3"/>
    <w:rsid w:val="00497FF9"/>
    <w:rsid w:val="00516CE0"/>
    <w:rsid w:val="00521013"/>
    <w:rsid w:val="0053447E"/>
    <w:rsid w:val="00541518"/>
    <w:rsid w:val="00554E88"/>
    <w:rsid w:val="005554A9"/>
    <w:rsid w:val="00556876"/>
    <w:rsid w:val="005658D3"/>
    <w:rsid w:val="005836FF"/>
    <w:rsid w:val="00594D7A"/>
    <w:rsid w:val="005C54D2"/>
    <w:rsid w:val="00616669"/>
    <w:rsid w:val="00645FBA"/>
    <w:rsid w:val="00707DFE"/>
    <w:rsid w:val="007230B9"/>
    <w:rsid w:val="00770E82"/>
    <w:rsid w:val="007746EF"/>
    <w:rsid w:val="0078140D"/>
    <w:rsid w:val="00785AC3"/>
    <w:rsid w:val="007A2A95"/>
    <w:rsid w:val="007C37FD"/>
    <w:rsid w:val="007E3620"/>
    <w:rsid w:val="007F5C5F"/>
    <w:rsid w:val="00800035"/>
    <w:rsid w:val="008138ED"/>
    <w:rsid w:val="00834C86"/>
    <w:rsid w:val="00852067"/>
    <w:rsid w:val="008531BF"/>
    <w:rsid w:val="008613F4"/>
    <w:rsid w:val="008A0ACA"/>
    <w:rsid w:val="008B00A7"/>
    <w:rsid w:val="008F5DC2"/>
    <w:rsid w:val="008F767C"/>
    <w:rsid w:val="00915F24"/>
    <w:rsid w:val="00943D10"/>
    <w:rsid w:val="00985786"/>
    <w:rsid w:val="009B518C"/>
    <w:rsid w:val="009C0461"/>
    <w:rsid w:val="00A146F9"/>
    <w:rsid w:val="00A31826"/>
    <w:rsid w:val="00A56479"/>
    <w:rsid w:val="00A82F54"/>
    <w:rsid w:val="00AA69E7"/>
    <w:rsid w:val="00AC79AA"/>
    <w:rsid w:val="00B34728"/>
    <w:rsid w:val="00BE1201"/>
    <w:rsid w:val="00C27435"/>
    <w:rsid w:val="00C93A48"/>
    <w:rsid w:val="00CA1BD3"/>
    <w:rsid w:val="00CB1912"/>
    <w:rsid w:val="00CD39FF"/>
    <w:rsid w:val="00CF27BA"/>
    <w:rsid w:val="00D006C5"/>
    <w:rsid w:val="00D109CC"/>
    <w:rsid w:val="00D20D0A"/>
    <w:rsid w:val="00D457E2"/>
    <w:rsid w:val="00D46DED"/>
    <w:rsid w:val="00D517D6"/>
    <w:rsid w:val="00D739AB"/>
    <w:rsid w:val="00D906A1"/>
    <w:rsid w:val="00DB31E4"/>
    <w:rsid w:val="00DC2ED1"/>
    <w:rsid w:val="00DF2FBB"/>
    <w:rsid w:val="00E53335"/>
    <w:rsid w:val="00E70676"/>
    <w:rsid w:val="00E94D9F"/>
    <w:rsid w:val="00EE40FA"/>
    <w:rsid w:val="00EE7F29"/>
    <w:rsid w:val="00EF5DD7"/>
    <w:rsid w:val="00F04E31"/>
    <w:rsid w:val="00F40619"/>
    <w:rsid w:val="00F8073D"/>
    <w:rsid w:val="00F900F8"/>
    <w:rsid w:val="00FF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E06EE"/>
  <w15:chartTrackingRefBased/>
  <w15:docId w15:val="{1937FB9C-3AD1-4280-8DC7-6F0926AEF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2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Company>Straive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N</dc:creator>
  <cp:keywords/>
  <dc:description/>
  <cp:lastModifiedBy>Sangeetha N</cp:lastModifiedBy>
  <cp:revision>1</cp:revision>
  <dcterms:created xsi:type="dcterms:W3CDTF">2026-08-23T03:30:00Z</dcterms:created>
  <dcterms:modified xsi:type="dcterms:W3CDTF">2026-08-23T03:31:00Z</dcterms:modified>
</cp:coreProperties>
</file>