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2F3" w:rsidRPr="00CA32D7" w:rsidRDefault="00DF52F3" w:rsidP="00DF52F3">
      <w:pPr>
        <w:spacing w:line="72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A32D7">
        <w:rPr>
          <w:rFonts w:ascii="Times New Roman" w:eastAsia="Arial Unicode MS" w:hAnsi="Times New Roman" w:cs="Times New Roman"/>
          <w:b/>
          <w:sz w:val="28"/>
          <w:szCs w:val="28"/>
        </w:rPr>
        <w:t>Supplementary Table S1 Baseline characteristics of the TCGA training and internal validation sets</w:t>
      </w:r>
    </w:p>
    <w:tbl>
      <w:tblPr>
        <w:tblW w:w="8519" w:type="dxa"/>
        <w:jc w:val="center"/>
        <w:tblLook w:val="04A0" w:firstRow="1" w:lastRow="0" w:firstColumn="1" w:lastColumn="0" w:noHBand="0" w:noVBand="1"/>
      </w:tblPr>
      <w:tblGrid>
        <w:gridCol w:w="1927"/>
        <w:gridCol w:w="1655"/>
        <w:gridCol w:w="1855"/>
        <w:gridCol w:w="2060"/>
        <w:gridCol w:w="1022"/>
      </w:tblGrid>
      <w:tr w:rsidR="00DF52F3" w:rsidRPr="00CA32D7" w:rsidTr="009C2AA9">
        <w:trPr>
          <w:tblHeader/>
          <w:jc w:val="center"/>
        </w:trPr>
        <w:tc>
          <w:tcPr>
            <w:tcW w:w="168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Characteristic</w:t>
            </w:r>
          </w:p>
        </w:tc>
        <w:tc>
          <w:tcPr>
            <w:tcW w:w="17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Level</w:t>
            </w:r>
          </w:p>
        </w:tc>
        <w:tc>
          <w:tcPr>
            <w:tcW w:w="19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Training</w:t>
            </w:r>
          </w:p>
        </w:tc>
        <w:tc>
          <w:tcPr>
            <w:tcW w:w="21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Internal validation</w:t>
            </w:r>
          </w:p>
        </w:tc>
        <w:tc>
          <w:tcPr>
            <w:tcW w:w="10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P value</w:t>
            </w: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Age, years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Median (IQR)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67.0 (60.0–73.0)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68.0 (59.5–73.0)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0.951</w:t>
            </w: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Sex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Male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418 (60.1%)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173 (58.6%)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0.731</w:t>
            </w: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Female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278 (39.9%)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122 (41.4%)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lastRenderedPageBreak/>
              <w:t>AJCC pathologic stage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362 (52.0%)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158 (53.6%)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0.500</w:t>
            </w: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190 (27.3%)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88 (29.8%)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119 (17.1%)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41 (13.9%)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25 (3.6%)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8 (2.7%)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lastRenderedPageBreak/>
              <w:t>Pathologic T category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T1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201 (28.9%)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80 (27.1%)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0.348</w:t>
            </w: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T2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389 (55.9%)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165 (55.9%)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T3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73 (10.5%)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41 (13.9%)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T4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30 (4.3%)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9 (3.1%)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TX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3 (0.4%)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0 (0.0%)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lastRenderedPageBreak/>
              <w:t>Pathologic N category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N0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441 (63.4%)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200 (67.8%)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0.268</w:t>
            </w: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N1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153 (22.0%)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65 (22.0%)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N2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84 (12.1%)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23 (7.8%)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N3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4 (0.6%)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3 (1.0%)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NX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14 (2.0%)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4 (1.4%)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lastRenderedPageBreak/>
              <w:t>Pathologic M category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M0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520 (74.7%)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221 (74.9%)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0.829</w:t>
            </w: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M1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24 (3.4%)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8 (2.7%)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F3" w:rsidRPr="00CA32D7" w:rsidTr="009C2AA9">
        <w:trPr>
          <w:jc w:val="center"/>
        </w:trPr>
        <w:tc>
          <w:tcPr>
            <w:tcW w:w="168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MX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152 (21.8%)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2D7">
              <w:rPr>
                <w:rFonts w:ascii="Times New Roman" w:eastAsia="Arial Unicode MS" w:hAnsi="Times New Roman" w:cs="Times New Roman"/>
                <w:sz w:val="28"/>
                <w:szCs w:val="28"/>
              </w:rPr>
              <w:t>66 (22.4%)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F52F3" w:rsidRPr="00CA32D7" w:rsidRDefault="00DF52F3" w:rsidP="009C2AA9">
            <w:pPr>
              <w:snapToGrid w:val="0"/>
              <w:spacing w:line="72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52F3" w:rsidRPr="00CA32D7" w:rsidRDefault="00DF52F3" w:rsidP="00DF52F3">
      <w:pPr>
        <w:spacing w:line="720" w:lineRule="auto"/>
        <w:rPr>
          <w:rFonts w:ascii="Times New Roman" w:hAnsi="Times New Roman" w:cs="Times New Roman"/>
          <w:sz w:val="28"/>
          <w:szCs w:val="28"/>
        </w:rPr>
      </w:pPr>
      <w:r w:rsidRPr="00CA32D7">
        <w:rPr>
          <w:rFonts w:ascii="Times New Roman" w:eastAsia="Arial Unicode MS" w:hAnsi="Times New Roman" w:cs="Times New Roman"/>
          <w:sz w:val="28"/>
          <w:szCs w:val="28"/>
        </w:rPr>
        <w:t>Data are median (IQR) or n (%) for matched cases (training, n = 696; validation, n = 295). AJCC pathologic stages were grouped as I-IV. P values used Wilcoxon rank-sum or Pearson chi-square tests, with Monte Carlo estimates for sparse tables.</w:t>
      </w:r>
    </w:p>
    <w:p w:rsidR="00DF52F3" w:rsidRPr="00CA32D7" w:rsidRDefault="00DF52F3" w:rsidP="00DF52F3">
      <w:pPr>
        <w:pageBreakBefore/>
        <w:spacing w:line="720" w:lineRule="auto"/>
        <w:rPr>
          <w:rFonts w:ascii="Times New Roman" w:hAnsi="Times New Roman" w:cs="Times New Roman"/>
          <w:sz w:val="28"/>
          <w:szCs w:val="28"/>
        </w:rPr>
      </w:pPr>
      <w:r w:rsidRPr="00CA32D7">
        <w:rPr>
          <w:rFonts w:ascii="Times New Roman" w:eastAsia="Arial Unicode MS" w:hAnsi="Times New Roman" w:cs="Times New Roman"/>
          <w:b/>
          <w:sz w:val="28"/>
          <w:szCs w:val="28"/>
        </w:rPr>
        <w:lastRenderedPageBreak/>
        <w:t>Supplementary Figure S1 Histology-specific validation in TCGA-LUAD and TCGA-LUSC</w:t>
      </w:r>
    </w:p>
    <w:p w:rsidR="00DF52F3" w:rsidRPr="00CA32D7" w:rsidRDefault="00DF52F3" w:rsidP="00DF52F3">
      <w:pPr>
        <w:spacing w:line="72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[IMAGE-Fig9_Print.png]"/>
      <w:r w:rsidRPr="00CA32D7">
        <w:rPr>
          <w:rFonts w:ascii="Times New Roman" w:hAnsi="Times New Roman" w:cs="Times New Roman"/>
          <w:noProof/>
          <w:sz w:val="28"/>
          <w:szCs w:val="28"/>
          <w:lang w:eastAsia="en-IN"/>
        </w:rPr>
        <w:drawing>
          <wp:inline distT="0" distB="0" distL="114300" distR="114300" wp14:anchorId="2773B833" wp14:editId="1D6E4F2D">
            <wp:extent cx="6035040" cy="5154295"/>
            <wp:effectExtent l="0" t="0" r="3810" b="8255"/>
            <wp:docPr id="1589642054" name="Picture 158964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642054" name="Picture 158964205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515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DF52F3" w:rsidRPr="00CA32D7" w:rsidRDefault="00DF52F3" w:rsidP="00DF52F3">
      <w:pPr>
        <w:spacing w:line="720" w:lineRule="auto"/>
        <w:rPr>
          <w:rFonts w:ascii="Times New Roman" w:hAnsi="Times New Roman" w:cs="Times New Roman"/>
          <w:sz w:val="28"/>
          <w:szCs w:val="28"/>
        </w:rPr>
      </w:pPr>
      <w:r w:rsidRPr="00CA32D7">
        <w:rPr>
          <w:rFonts w:ascii="Times New Roman" w:eastAsia="Arial Unicode MS" w:hAnsi="Times New Roman" w:cs="Times New Roman"/>
          <w:sz w:val="28"/>
          <w:szCs w:val="28"/>
        </w:rPr>
        <w:lastRenderedPageBreak/>
        <w:t>(A-B) Overall-survival curves for high- and low-risk groups defined by the median risk score within each histological subtype. (C-D) Time-dependent ROC curves at 1, 3, and 5 years. LUAD, lung adenocarcinoma; LUSC, lung squamous cell carcinoma.</w:t>
      </w:r>
    </w:p>
    <w:p w:rsidR="00C56D1F" w:rsidRDefault="00C56D1F"/>
    <w:sectPr w:rsidR="00C56D1F" w:rsidSect="00CA32D7">
      <w:pgSz w:w="15840" w:h="12240" w:orient="landscape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F3"/>
    <w:rsid w:val="00002A01"/>
    <w:rsid w:val="0005546C"/>
    <w:rsid w:val="0008298D"/>
    <w:rsid w:val="000D3C5B"/>
    <w:rsid w:val="000E0EE1"/>
    <w:rsid w:val="001E06DF"/>
    <w:rsid w:val="001E39A4"/>
    <w:rsid w:val="00210647"/>
    <w:rsid w:val="002715A6"/>
    <w:rsid w:val="002945E0"/>
    <w:rsid w:val="003015BC"/>
    <w:rsid w:val="003B2D23"/>
    <w:rsid w:val="003F5C13"/>
    <w:rsid w:val="0042694D"/>
    <w:rsid w:val="004C4407"/>
    <w:rsid w:val="004E6047"/>
    <w:rsid w:val="0056689B"/>
    <w:rsid w:val="00597BA6"/>
    <w:rsid w:val="005E1AB4"/>
    <w:rsid w:val="0084288E"/>
    <w:rsid w:val="009649B1"/>
    <w:rsid w:val="00A404F2"/>
    <w:rsid w:val="00A54A92"/>
    <w:rsid w:val="00A64B53"/>
    <w:rsid w:val="00AE2AA3"/>
    <w:rsid w:val="00B604B8"/>
    <w:rsid w:val="00BF7ADF"/>
    <w:rsid w:val="00C50C01"/>
    <w:rsid w:val="00C56D1F"/>
    <w:rsid w:val="00CE1437"/>
    <w:rsid w:val="00DA05BC"/>
    <w:rsid w:val="00DF52F3"/>
    <w:rsid w:val="00DF7D37"/>
    <w:rsid w:val="00E967D4"/>
    <w:rsid w:val="00EB289A"/>
    <w:rsid w:val="00F111DE"/>
    <w:rsid w:val="00F84685"/>
    <w:rsid w:val="00FB1CF6"/>
    <w:rsid w:val="00FB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2C5A70-4B06-43CF-972E-443C5444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Sharmila Thangavel</dc:creator>
  <cp:keywords/>
  <dc:description/>
  <cp:lastModifiedBy>Sharmila Thangavel</cp:lastModifiedBy>
  <cp:revision>1</cp:revision>
  <dcterms:created xsi:type="dcterms:W3CDTF">2026-08-27T13:04:00Z</dcterms:created>
  <dcterms:modified xsi:type="dcterms:W3CDTF">2026-08-27T13:08:00Z</dcterms:modified>
</cp:coreProperties>
</file>