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6C23B8" w14:textId="77777777" w:rsidR="004219A3" w:rsidRPr="00D91239" w:rsidRDefault="004219A3" w:rsidP="004219A3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91239">
        <w:rPr>
          <w:rFonts w:asciiTheme="majorBidi" w:hAnsiTheme="majorBidi" w:cstheme="majorBidi"/>
          <w:b/>
          <w:bCs/>
          <w:sz w:val="24"/>
          <w:szCs w:val="24"/>
        </w:rPr>
        <w:t xml:space="preserve">Supplementary Table S1. Evidence-weighted comparison of CCAT2 with major prostate cancer-associated </w:t>
      </w:r>
      <w:proofErr w:type="spellStart"/>
      <w:r w:rsidRPr="00D91239">
        <w:rPr>
          <w:rFonts w:asciiTheme="majorBidi" w:hAnsiTheme="majorBidi" w:cstheme="majorBidi"/>
          <w:b/>
          <w:bCs/>
          <w:sz w:val="24"/>
          <w:szCs w:val="24"/>
        </w:rPr>
        <w:t>lncRNAs</w:t>
      </w:r>
      <w:proofErr w:type="spellEnd"/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10"/>
        <w:gridCol w:w="3080"/>
        <w:gridCol w:w="2488"/>
        <w:gridCol w:w="2160"/>
        <w:gridCol w:w="2755"/>
        <w:gridCol w:w="1567"/>
      </w:tblGrid>
      <w:tr w:rsidR="00D91239" w:rsidRPr="00D91239" w14:paraId="49C70B9B" w14:textId="77777777" w:rsidTr="00567B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8A30EB3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lncRNA</w:t>
            </w:r>
          </w:p>
        </w:tc>
        <w:tc>
          <w:tcPr>
            <w:tcW w:w="0" w:type="auto"/>
            <w:vAlign w:val="center"/>
            <w:hideMark/>
          </w:tcPr>
          <w:p w14:paraId="2277E676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Predominant prostate cancer role</w:t>
            </w:r>
          </w:p>
        </w:tc>
        <w:tc>
          <w:tcPr>
            <w:tcW w:w="0" w:type="auto"/>
            <w:vAlign w:val="center"/>
            <w:hideMark/>
          </w:tcPr>
          <w:p w14:paraId="6CD0F30A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Strongest evidence and sample context</w:t>
            </w:r>
          </w:p>
        </w:tc>
        <w:tc>
          <w:tcPr>
            <w:tcW w:w="0" w:type="auto"/>
            <w:vAlign w:val="center"/>
            <w:hideMark/>
          </w:tcPr>
          <w:p w14:paraId="2708ACFD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Relative strength compared with CCAT2</w:t>
            </w:r>
          </w:p>
        </w:tc>
        <w:tc>
          <w:tcPr>
            <w:tcW w:w="0" w:type="auto"/>
            <w:vAlign w:val="center"/>
            <w:hideMark/>
          </w:tcPr>
          <w:p w14:paraId="12E11E2F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Principal limitation</w:t>
            </w:r>
          </w:p>
        </w:tc>
        <w:tc>
          <w:tcPr>
            <w:tcW w:w="0" w:type="auto"/>
            <w:vAlign w:val="center"/>
            <w:hideMark/>
          </w:tcPr>
          <w:p w14:paraId="614FB45C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Representative PMID(s)</w:t>
            </w:r>
          </w:p>
        </w:tc>
      </w:tr>
      <w:tr w:rsidR="00D91239" w:rsidRPr="00D91239" w14:paraId="372F77D0" w14:textId="77777777" w:rsidTr="0056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4151F82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CCAT2</w:t>
            </w:r>
          </w:p>
        </w:tc>
        <w:tc>
          <w:tcPr>
            <w:tcW w:w="0" w:type="auto"/>
            <w:vAlign w:val="center"/>
            <w:hideMark/>
          </w:tcPr>
          <w:p w14:paraId="6966B523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Candidate multilayer oncogenic regulator associated with VIRMA-dependent m6A regulation, EMT-associated plasticity, migration, invasion, metastasis, and adverse prognosis</w:t>
            </w:r>
          </w:p>
        </w:tc>
        <w:tc>
          <w:tcPr>
            <w:tcW w:w="0" w:type="auto"/>
            <w:vAlign w:val="center"/>
            <w:hideMark/>
          </w:tcPr>
          <w:p w14:paraId="243FE3BF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Retrospective tumor-tissue cohort; prostate cancer cell lines; CCAT2 loss-of-function and upstream VIRMA/m6A experiments</w:t>
            </w:r>
          </w:p>
        </w:tc>
        <w:tc>
          <w:tcPr>
            <w:tcW w:w="0" w:type="auto"/>
            <w:vAlign w:val="center"/>
            <w:hideMark/>
          </w:tcPr>
          <w:p w14:paraId="4210DCAB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 xml:space="preserve">Potential integration of genetic, </w:t>
            </w:r>
            <w:proofErr w:type="spellStart"/>
            <w:r w:rsidRPr="00D91239">
              <w:rPr>
                <w:rFonts w:asciiTheme="majorBidi" w:hAnsiTheme="majorBidi" w:cstheme="majorBidi"/>
                <w:sz w:val="16"/>
                <w:szCs w:val="16"/>
              </w:rPr>
              <w:t>epitranscriptomic</w:t>
            </w:r>
            <w:proofErr w:type="spellEnd"/>
            <w:r w:rsidRPr="00D91239">
              <w:rPr>
                <w:rFonts w:asciiTheme="majorBidi" w:hAnsiTheme="majorBidi" w:cstheme="majorBidi"/>
                <w:sz w:val="16"/>
                <w:szCs w:val="16"/>
              </w:rPr>
              <w:t>, and metastatic programs</w:t>
            </w:r>
          </w:p>
        </w:tc>
        <w:tc>
          <w:tcPr>
            <w:tcW w:w="0" w:type="auto"/>
            <w:vAlign w:val="center"/>
            <w:hideMark/>
          </w:tcPr>
          <w:p w14:paraId="1BEE7480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No validated prostate cancer biofluid assay; no prospective multicenter validation; several downstream mechanisms extrapolated from other cancers</w:t>
            </w:r>
          </w:p>
        </w:tc>
        <w:tc>
          <w:tcPr>
            <w:tcW w:w="0" w:type="auto"/>
            <w:vAlign w:val="center"/>
            <w:hideMark/>
          </w:tcPr>
          <w:p w14:paraId="25F806F4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27558961; 32218194</w:t>
            </w:r>
          </w:p>
        </w:tc>
      </w:tr>
      <w:tr w:rsidR="00D91239" w:rsidRPr="00D91239" w14:paraId="18F98C11" w14:textId="77777777" w:rsidTr="00567B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31430BE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PCA3</w:t>
            </w:r>
          </w:p>
        </w:tc>
        <w:tc>
          <w:tcPr>
            <w:tcW w:w="0" w:type="auto"/>
            <w:vAlign w:val="center"/>
            <w:hideMark/>
          </w:tcPr>
          <w:p w14:paraId="289EBC1F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Primarily a non-invasive diagnostic and biopsy-enrichment biomarker</w:t>
            </w:r>
          </w:p>
        </w:tc>
        <w:tc>
          <w:tcPr>
            <w:tcW w:w="0" w:type="auto"/>
            <w:vAlign w:val="center"/>
            <w:hideMark/>
          </w:tcPr>
          <w:p w14:paraId="6CA3B598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Post-digital-rectal-examination urine; prospective and multicenter diagnostic studies; repeat-biopsy cohorts</w:t>
            </w:r>
          </w:p>
        </w:tc>
        <w:tc>
          <w:tcPr>
            <w:tcW w:w="0" w:type="auto"/>
            <w:vAlign w:val="center"/>
            <w:hideMark/>
          </w:tcPr>
          <w:p w14:paraId="5F7A7B3B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Substantially greater non-invasive diagnostic and clinical-validation maturi</w:t>
            </w:r>
            <w:bookmarkStart w:id="0" w:name="_GoBack"/>
            <w:bookmarkEnd w:id="0"/>
            <w:r w:rsidRPr="00D91239">
              <w:rPr>
                <w:rFonts w:asciiTheme="majorBidi" w:hAnsiTheme="majorBidi" w:cstheme="majorBidi"/>
                <w:sz w:val="16"/>
                <w:szCs w:val="16"/>
              </w:rPr>
              <w:t>ty</w:t>
            </w:r>
          </w:p>
        </w:tc>
        <w:tc>
          <w:tcPr>
            <w:tcW w:w="0" w:type="auto"/>
            <w:vAlign w:val="center"/>
            <w:hideMark/>
          </w:tcPr>
          <w:p w14:paraId="78D67FBD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Limited and inconsistent discrimination of indolent versus aggressive disease; limited therapeutic relevance</w:t>
            </w:r>
          </w:p>
        </w:tc>
        <w:tc>
          <w:tcPr>
            <w:tcW w:w="0" w:type="auto"/>
            <w:vAlign w:val="center"/>
            <w:hideMark/>
          </w:tcPr>
          <w:p w14:paraId="57EF78C9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18295257; 23201468; 23416644</w:t>
            </w:r>
          </w:p>
        </w:tc>
      </w:tr>
      <w:tr w:rsidR="00D91239" w:rsidRPr="00D91239" w14:paraId="0506E334" w14:textId="77777777" w:rsidTr="0056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87F21DF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SChLAP1</w:t>
            </w:r>
          </w:p>
        </w:tc>
        <w:tc>
          <w:tcPr>
            <w:tcW w:w="0" w:type="auto"/>
            <w:vAlign w:val="center"/>
            <w:hideMark/>
          </w:tcPr>
          <w:p w14:paraId="00433C9C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Marker and candidate driver of aggressive, metastatic, and lethal prostate cancer</w:t>
            </w:r>
          </w:p>
        </w:tc>
        <w:tc>
          <w:tcPr>
            <w:tcW w:w="0" w:type="auto"/>
            <w:vAlign w:val="center"/>
            <w:hideMark/>
          </w:tcPr>
          <w:p w14:paraId="2E78E2EC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Tissue expression, RNA in situ hybridization, functional invasion models, and multi-institutional outcome cohorts</w:t>
            </w:r>
          </w:p>
        </w:tc>
        <w:tc>
          <w:tcPr>
            <w:tcW w:w="0" w:type="auto"/>
            <w:vAlign w:val="center"/>
            <w:hideMark/>
          </w:tcPr>
          <w:p w14:paraId="6EA63EB1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Stronger evidence for metastatic and postoperative prognostic stratification</w:t>
            </w:r>
          </w:p>
        </w:tc>
        <w:tc>
          <w:tcPr>
            <w:tcW w:w="0" w:type="auto"/>
            <w:vAlign w:val="center"/>
            <w:hideMark/>
          </w:tcPr>
          <w:p w14:paraId="7ABFF50C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Expression heterogeneity; debated SWI/SNF mechanism; no universal clinical implementation</w:t>
            </w:r>
          </w:p>
        </w:tc>
        <w:tc>
          <w:tcPr>
            <w:tcW w:w="0" w:type="auto"/>
            <w:vAlign w:val="center"/>
            <w:hideMark/>
          </w:tcPr>
          <w:p w14:paraId="3128CB2A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24076601; 25456366; 25499224; 30510238</w:t>
            </w:r>
          </w:p>
        </w:tc>
      </w:tr>
      <w:tr w:rsidR="00D91239" w:rsidRPr="00D91239" w14:paraId="734956E5" w14:textId="77777777" w:rsidTr="00567B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446E64E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PCAT1</w:t>
            </w:r>
          </w:p>
        </w:tc>
        <w:tc>
          <w:tcPr>
            <w:tcW w:w="0" w:type="auto"/>
            <w:vAlign w:val="center"/>
            <w:hideMark/>
          </w:tcPr>
          <w:p w14:paraId="5EFE22D0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Oncogenic 8q24 lncRNA associated with BRCA2 repression, homologous-recombination deficiency, and PARP-inhibitor sensitivity</w:t>
            </w:r>
          </w:p>
        </w:tc>
        <w:tc>
          <w:tcPr>
            <w:tcW w:w="0" w:type="auto"/>
            <w:vAlign w:val="center"/>
            <w:hideMark/>
          </w:tcPr>
          <w:p w14:paraId="568A75BB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Transcriptomic discovery cohorts, prostate cancer tissues, cell models, and DNA-repair functional assays</w:t>
            </w:r>
          </w:p>
        </w:tc>
        <w:tc>
          <w:tcPr>
            <w:tcW w:w="0" w:type="auto"/>
            <w:vAlign w:val="center"/>
            <w:hideMark/>
          </w:tcPr>
          <w:p w14:paraId="18D35D8E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More clearly defined DNA-repair-associated therapeutic hypothesis</w:t>
            </w:r>
          </w:p>
        </w:tc>
        <w:tc>
          <w:tcPr>
            <w:tcW w:w="0" w:type="auto"/>
            <w:vAlign w:val="center"/>
            <w:hideMark/>
          </w:tcPr>
          <w:p w14:paraId="7FB8C329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Limited prospective biomarker validation and no established PCAT1-directed clinical selection strategy</w:t>
            </w:r>
          </w:p>
        </w:tc>
        <w:tc>
          <w:tcPr>
            <w:tcW w:w="0" w:type="auto"/>
            <w:vAlign w:val="center"/>
            <w:hideMark/>
          </w:tcPr>
          <w:p w14:paraId="6E23ED09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21804560; 24473064</w:t>
            </w:r>
          </w:p>
        </w:tc>
      </w:tr>
      <w:tr w:rsidR="00D91239" w:rsidRPr="00D91239" w14:paraId="73BC57B0" w14:textId="77777777" w:rsidTr="0056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F978D4B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PCAT14</w:t>
            </w:r>
          </w:p>
        </w:tc>
        <w:tc>
          <w:tcPr>
            <w:tcW w:w="0" w:type="auto"/>
            <w:vAlign w:val="center"/>
            <w:hideMark/>
          </w:tcPr>
          <w:p w14:paraId="54146B0F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Androgen-regulated, differentiation-associated lncRNA whose loss is linked to aggressive disease and recurrence</w:t>
            </w:r>
          </w:p>
        </w:tc>
        <w:tc>
          <w:tcPr>
            <w:tcW w:w="0" w:type="auto"/>
            <w:vAlign w:val="center"/>
            <w:hideMark/>
          </w:tcPr>
          <w:p w14:paraId="2E5BFF1C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Prostate tissue cohorts, RNA in situ hybridization, and recurrence analysis</w:t>
            </w:r>
          </w:p>
        </w:tc>
        <w:tc>
          <w:tcPr>
            <w:tcW w:w="0" w:type="auto"/>
            <w:vAlign w:val="center"/>
            <w:hideMark/>
          </w:tcPr>
          <w:p w14:paraId="1A5694CA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More clearly defined prostate lineage and prognostic association</w:t>
            </w:r>
          </w:p>
        </w:tc>
        <w:tc>
          <w:tcPr>
            <w:tcW w:w="0" w:type="auto"/>
            <w:vAlign w:val="center"/>
            <w:hideMark/>
          </w:tcPr>
          <w:p w14:paraId="0696C508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Limited biofluid, interventional, and prospective validation; not an established therapeutic target</w:t>
            </w:r>
          </w:p>
        </w:tc>
        <w:tc>
          <w:tcPr>
            <w:tcW w:w="0" w:type="auto"/>
            <w:vAlign w:val="center"/>
            <w:hideMark/>
          </w:tcPr>
          <w:p w14:paraId="6111677F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27566105</w:t>
            </w:r>
          </w:p>
        </w:tc>
      </w:tr>
      <w:tr w:rsidR="00D91239" w:rsidRPr="00D91239" w14:paraId="314B7ED3" w14:textId="77777777" w:rsidTr="00567B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B7CF200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HOTAIR</w:t>
            </w:r>
          </w:p>
        </w:tc>
        <w:tc>
          <w:tcPr>
            <w:tcW w:w="0" w:type="auto"/>
            <w:vAlign w:val="center"/>
            <w:hideMark/>
          </w:tcPr>
          <w:p w14:paraId="235CB59B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Promotion of AR-associated transcription, castration-resistant progression, and neuroendocrine differentiation</w:t>
            </w:r>
          </w:p>
        </w:tc>
        <w:tc>
          <w:tcPr>
            <w:tcW w:w="0" w:type="auto"/>
            <w:vAlign w:val="center"/>
            <w:hideMark/>
          </w:tcPr>
          <w:p w14:paraId="36AFB95A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Prostate cancer cell models, xenograft-related studies, and CRPC tissues</w:t>
            </w:r>
          </w:p>
        </w:tc>
        <w:tc>
          <w:tcPr>
            <w:tcW w:w="0" w:type="auto"/>
            <w:vAlign w:val="center"/>
            <w:hideMark/>
          </w:tcPr>
          <w:p w14:paraId="0E667476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More direct mechanistic relationship with androgen deprivation and advanced disease</w:t>
            </w:r>
          </w:p>
        </w:tc>
        <w:tc>
          <w:tcPr>
            <w:tcW w:w="0" w:type="auto"/>
            <w:vAlign w:val="center"/>
            <w:hideMark/>
          </w:tcPr>
          <w:p w14:paraId="0B8E8047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Broad pan-cancer expression and predominantly preclinical evidence</w:t>
            </w:r>
          </w:p>
        </w:tc>
        <w:tc>
          <w:tcPr>
            <w:tcW w:w="0" w:type="auto"/>
            <w:vAlign w:val="center"/>
            <w:hideMark/>
          </w:tcPr>
          <w:p w14:paraId="74DBDA1D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26411689; 29944905</w:t>
            </w:r>
          </w:p>
        </w:tc>
      </w:tr>
      <w:tr w:rsidR="00D91239" w:rsidRPr="00D91239" w14:paraId="39B67B23" w14:textId="77777777" w:rsidTr="0056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84D3AE5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MALAT1</w:t>
            </w:r>
          </w:p>
        </w:tc>
        <w:tc>
          <w:tcPr>
            <w:tcW w:w="0" w:type="auto"/>
            <w:vAlign w:val="center"/>
            <w:hideMark/>
          </w:tcPr>
          <w:p w14:paraId="05D93FA8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Promotion of CRPC progression, EZH2 activity, migration, invasion, metabolic adaptation, and drug resistance; candidate urine biomarker</w:t>
            </w:r>
          </w:p>
        </w:tc>
        <w:tc>
          <w:tcPr>
            <w:tcW w:w="0" w:type="auto"/>
            <w:vAlign w:val="center"/>
            <w:hideMark/>
          </w:tcPr>
          <w:p w14:paraId="7A6BC90C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CRPC tissues and cell models; siRNA/</w:t>
            </w:r>
            <w:proofErr w:type="spellStart"/>
            <w:r w:rsidRPr="00D91239">
              <w:rPr>
                <w:rFonts w:asciiTheme="majorBidi" w:hAnsiTheme="majorBidi" w:cstheme="majorBidi"/>
                <w:sz w:val="16"/>
                <w:szCs w:val="16"/>
              </w:rPr>
              <w:t>gapmer</w:t>
            </w:r>
            <w:proofErr w:type="spellEnd"/>
            <w:r w:rsidRPr="00D91239">
              <w:rPr>
                <w:rFonts w:asciiTheme="majorBidi" w:hAnsiTheme="majorBidi" w:cstheme="majorBidi"/>
                <w:sz w:val="16"/>
                <w:szCs w:val="16"/>
              </w:rPr>
              <w:t xml:space="preserve"> studies; prospective multicenter urinary evaluation</w:t>
            </w:r>
          </w:p>
        </w:tc>
        <w:tc>
          <w:tcPr>
            <w:tcW w:w="0" w:type="auto"/>
            <w:vAlign w:val="center"/>
            <w:hideMark/>
          </w:tcPr>
          <w:p w14:paraId="140CDA55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Broader prostate cancer mechanistic and non-invasive biomarker evidence</w:t>
            </w:r>
          </w:p>
        </w:tc>
        <w:tc>
          <w:tcPr>
            <w:tcW w:w="0" w:type="auto"/>
            <w:vAlign w:val="center"/>
            <w:hideMark/>
          </w:tcPr>
          <w:p w14:paraId="4C20A3DA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Highly abundant and broadly expressed across tissues and malignancies, potentially reducing disease specificity</w:t>
            </w:r>
          </w:p>
        </w:tc>
        <w:tc>
          <w:tcPr>
            <w:tcW w:w="0" w:type="auto"/>
            <w:vAlign w:val="center"/>
            <w:hideMark/>
          </w:tcPr>
          <w:p w14:paraId="1B3ACC26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23845456; 25526029; 29633510</w:t>
            </w:r>
          </w:p>
        </w:tc>
      </w:tr>
    </w:tbl>
    <w:p w14:paraId="289EC36F" w14:textId="77777777" w:rsidR="004219A3" w:rsidRPr="00D91239" w:rsidRDefault="004219A3" w:rsidP="004219A3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DBC4B5E" w14:textId="77777777" w:rsidR="004219A3" w:rsidRPr="00D91239" w:rsidRDefault="004219A3" w:rsidP="004219A3">
      <w:pPr>
        <w:jc w:val="both"/>
      </w:pPr>
    </w:p>
    <w:p w14:paraId="6BA45161" w14:textId="77777777" w:rsidR="004219A3" w:rsidRPr="00D91239" w:rsidRDefault="004219A3" w:rsidP="004219A3">
      <w:pPr>
        <w:jc w:val="both"/>
      </w:pPr>
    </w:p>
    <w:p w14:paraId="19D2D660" w14:textId="77777777" w:rsidR="004219A3" w:rsidRPr="00D91239" w:rsidRDefault="004219A3" w:rsidP="004219A3">
      <w:pPr>
        <w:jc w:val="both"/>
      </w:pPr>
    </w:p>
    <w:p w14:paraId="21DCBED4" w14:textId="77777777" w:rsidR="004219A3" w:rsidRPr="00D91239" w:rsidRDefault="004219A3" w:rsidP="004219A3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D91239">
        <w:rPr>
          <w:rFonts w:asciiTheme="majorBidi" w:hAnsiTheme="majorBidi" w:cstheme="majorBidi"/>
          <w:b/>
          <w:bCs/>
          <w:sz w:val="24"/>
          <w:szCs w:val="24"/>
        </w:rPr>
        <w:t>Supplementary Table S2. Stage-gated prioritization of CCAT2-associated therapeutic candidates in prostate cancer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556"/>
        <w:gridCol w:w="1724"/>
        <w:gridCol w:w="1682"/>
        <w:gridCol w:w="1702"/>
        <w:gridCol w:w="1235"/>
        <w:gridCol w:w="1988"/>
        <w:gridCol w:w="3073"/>
      </w:tblGrid>
      <w:tr w:rsidR="00D91239" w:rsidRPr="00D91239" w14:paraId="469F8C0D" w14:textId="77777777" w:rsidTr="00567B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9187EF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Candidate intervention</w:t>
            </w:r>
          </w:p>
        </w:tc>
        <w:tc>
          <w:tcPr>
            <w:tcW w:w="0" w:type="auto"/>
            <w:vAlign w:val="center"/>
            <w:hideMark/>
          </w:tcPr>
          <w:p w14:paraId="6618A926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CCAT2-specific biological evidence</w:t>
            </w:r>
          </w:p>
        </w:tc>
        <w:tc>
          <w:tcPr>
            <w:tcW w:w="0" w:type="auto"/>
            <w:vAlign w:val="center"/>
            <w:hideMark/>
          </w:tcPr>
          <w:p w14:paraId="5B1E0207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D91239">
              <w:rPr>
                <w:rFonts w:asciiTheme="majorBidi" w:hAnsiTheme="majorBidi" w:cstheme="majorBidi"/>
                <w:sz w:val="16"/>
                <w:szCs w:val="16"/>
              </w:rPr>
              <w:t>Druggability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409D9D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Current clinical feasibility</w:t>
            </w:r>
          </w:p>
        </w:tc>
        <w:tc>
          <w:tcPr>
            <w:tcW w:w="0" w:type="auto"/>
            <w:vAlign w:val="center"/>
            <w:hideMark/>
          </w:tcPr>
          <w:p w14:paraId="2EEB460F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Translational priority</w:t>
            </w:r>
          </w:p>
        </w:tc>
        <w:tc>
          <w:tcPr>
            <w:tcW w:w="0" w:type="auto"/>
            <w:vAlign w:val="center"/>
            <w:hideMark/>
          </w:tcPr>
          <w:p w14:paraId="12EB85DE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Requirement for advancement</w:t>
            </w:r>
          </w:p>
        </w:tc>
        <w:tc>
          <w:tcPr>
            <w:tcW w:w="0" w:type="auto"/>
            <w:vAlign w:val="center"/>
            <w:hideMark/>
          </w:tcPr>
          <w:p w14:paraId="707B5602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Reference (PMID)</w:t>
            </w:r>
          </w:p>
        </w:tc>
      </w:tr>
      <w:tr w:rsidR="00D91239" w:rsidRPr="00D91239" w14:paraId="28B54ABB" w14:textId="77777777" w:rsidTr="0056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1CCBC57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Direct CCAT2 inhibition using antisense oligonucleotides or siRNA</w:t>
            </w:r>
          </w:p>
        </w:tc>
        <w:tc>
          <w:tcPr>
            <w:tcW w:w="0" w:type="auto"/>
            <w:vAlign w:val="center"/>
            <w:hideMark/>
          </w:tcPr>
          <w:p w14:paraId="56624BD7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Moderate: prostate cancer-specific CCAT2 knockdown suppresses EMT-associated changes, migration, and invasion; however, rescue experiments and therapeutic in vivo validation are lacking</w:t>
            </w:r>
          </w:p>
        </w:tc>
        <w:tc>
          <w:tcPr>
            <w:tcW w:w="0" w:type="auto"/>
            <w:vAlign w:val="center"/>
            <w:hideMark/>
          </w:tcPr>
          <w:p w14:paraId="14046939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Moderate: sequence-specific RNA-targeting modalities are available</w:t>
            </w:r>
          </w:p>
        </w:tc>
        <w:tc>
          <w:tcPr>
            <w:tcW w:w="0" w:type="auto"/>
            <w:vAlign w:val="center"/>
            <w:hideMark/>
          </w:tcPr>
          <w:p w14:paraId="08457BB0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Low to moderate: tumor-selective delivery, RNA stability, off-target effects, and pharmacodynamic assays remain unresolved</w:t>
            </w:r>
          </w:p>
        </w:tc>
        <w:tc>
          <w:tcPr>
            <w:tcW w:w="0" w:type="auto"/>
            <w:vAlign w:val="center"/>
            <w:hideMark/>
          </w:tcPr>
          <w:p w14:paraId="6CA6C974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Tier 1: highest preclinical priority</w:t>
            </w:r>
          </w:p>
        </w:tc>
        <w:tc>
          <w:tcPr>
            <w:tcW w:w="0" w:type="auto"/>
            <w:vAlign w:val="center"/>
            <w:hideMark/>
          </w:tcPr>
          <w:p w14:paraId="558B6206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Optimized prostate-targeted delivery, dose–response studies, rescue experiments, patient-derived organoids, and in vivo efficacy and toxicity studies</w:t>
            </w:r>
          </w:p>
        </w:tc>
        <w:tc>
          <w:tcPr>
            <w:tcW w:w="0" w:type="auto"/>
            <w:vAlign w:val="center"/>
            <w:hideMark/>
          </w:tcPr>
          <w:p w14:paraId="5F3C55D2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PMID: 27558961</w:t>
            </w:r>
          </w:p>
        </w:tc>
      </w:tr>
      <w:tr w:rsidR="00D91239" w:rsidRPr="00D91239" w14:paraId="1FCA90CB" w14:textId="77777777" w:rsidTr="00567B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E00C1EC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VIRMA/m6A inhibition</w:t>
            </w:r>
          </w:p>
        </w:tc>
        <w:tc>
          <w:tcPr>
            <w:tcW w:w="0" w:type="auto"/>
            <w:vAlign w:val="center"/>
            <w:hideMark/>
          </w:tcPr>
          <w:p w14:paraId="0E1C5A59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Moderate: prostate cancer-specific VIRMA depletion reduces the stability and abundance of CCAT2, but CCAT2-specific rescue evidence is lacking</w:t>
            </w:r>
          </w:p>
        </w:tc>
        <w:tc>
          <w:tcPr>
            <w:tcW w:w="0" w:type="auto"/>
            <w:vAlign w:val="center"/>
            <w:hideMark/>
          </w:tcPr>
          <w:p w14:paraId="70C2B31D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Low to moderate: potentially targetable, although selective modulation remains challenging</w:t>
            </w:r>
          </w:p>
        </w:tc>
        <w:tc>
          <w:tcPr>
            <w:tcW w:w="0" w:type="auto"/>
            <w:vAlign w:val="center"/>
            <w:hideMark/>
          </w:tcPr>
          <w:p w14:paraId="785E54DF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Low: broad effects on multiple m6A-modified transcripts may cause toxicity and limited selectivity</w:t>
            </w:r>
          </w:p>
        </w:tc>
        <w:tc>
          <w:tcPr>
            <w:tcW w:w="0" w:type="auto"/>
            <w:vAlign w:val="center"/>
            <w:hideMark/>
          </w:tcPr>
          <w:p w14:paraId="55EADA3C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Tier 2: upstream conditional target</w:t>
            </w:r>
          </w:p>
        </w:tc>
        <w:tc>
          <w:tcPr>
            <w:tcW w:w="0" w:type="auto"/>
            <w:vAlign w:val="center"/>
            <w:hideMark/>
          </w:tcPr>
          <w:p w14:paraId="2DC306F1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Demonstration that CCAT2 restoration rescues the effects of VIRMA inhibition and development of selective VIRMA or m6A-directed interventions</w:t>
            </w:r>
          </w:p>
        </w:tc>
        <w:tc>
          <w:tcPr>
            <w:tcW w:w="0" w:type="auto"/>
            <w:vAlign w:val="center"/>
            <w:hideMark/>
          </w:tcPr>
          <w:p w14:paraId="2DEE088B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PMID: 32218194</w:t>
            </w:r>
          </w:p>
        </w:tc>
      </w:tr>
      <w:tr w:rsidR="00D91239" w:rsidRPr="00D91239" w14:paraId="7E57739E" w14:textId="77777777" w:rsidTr="0056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9217C7C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proofErr w:type="spellStart"/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Wnt</w:t>
            </w:r>
            <w:proofErr w:type="spellEnd"/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/β-catenin inhibition</w:t>
            </w:r>
          </w:p>
        </w:tc>
        <w:tc>
          <w:tcPr>
            <w:tcW w:w="0" w:type="auto"/>
            <w:vAlign w:val="center"/>
            <w:hideMark/>
          </w:tcPr>
          <w:p w14:paraId="54B1787D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Low for a direct CCAT2-dependent relationship; moderate to high for prostate cancer therapeutic resistance independently of CCAT2</w:t>
            </w:r>
          </w:p>
        </w:tc>
        <w:tc>
          <w:tcPr>
            <w:tcW w:w="0" w:type="auto"/>
            <w:vAlign w:val="center"/>
            <w:hideMark/>
          </w:tcPr>
          <w:p w14:paraId="37682C47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Moderate: several experimental pathway inhibitors are available</w:t>
            </w:r>
          </w:p>
        </w:tc>
        <w:tc>
          <w:tcPr>
            <w:tcW w:w="0" w:type="auto"/>
            <w:vAlign w:val="center"/>
            <w:hideMark/>
          </w:tcPr>
          <w:p w14:paraId="3277639B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Moderate: pathway toxicity, feedback mechanisms, and patient selection remain major limitations</w:t>
            </w:r>
          </w:p>
        </w:tc>
        <w:tc>
          <w:tcPr>
            <w:tcW w:w="0" w:type="auto"/>
            <w:vAlign w:val="center"/>
            <w:hideMark/>
          </w:tcPr>
          <w:p w14:paraId="2934F38C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Tier 2: biomarker-guided combination target</w:t>
            </w:r>
          </w:p>
        </w:tc>
        <w:tc>
          <w:tcPr>
            <w:tcW w:w="0" w:type="auto"/>
            <w:vAlign w:val="center"/>
            <w:hideMark/>
          </w:tcPr>
          <w:p w14:paraId="6F700B36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CCAT2 perturbation, measurement of β-catenin activity, downstream rescue experiments, and validation in CCAT2-high/</w:t>
            </w:r>
            <w:proofErr w:type="spellStart"/>
            <w:r w:rsidRPr="00D91239">
              <w:rPr>
                <w:rFonts w:asciiTheme="majorBidi" w:hAnsiTheme="majorBidi" w:cstheme="majorBidi"/>
                <w:sz w:val="16"/>
                <w:szCs w:val="16"/>
              </w:rPr>
              <w:t>Wnt</w:t>
            </w:r>
            <w:proofErr w:type="spellEnd"/>
            <w:r w:rsidRPr="00D91239">
              <w:rPr>
                <w:rFonts w:asciiTheme="majorBidi" w:hAnsiTheme="majorBidi" w:cstheme="majorBidi"/>
                <w:sz w:val="16"/>
                <w:szCs w:val="16"/>
              </w:rPr>
              <w:t>-active prostate tumors</w:t>
            </w:r>
          </w:p>
        </w:tc>
        <w:tc>
          <w:tcPr>
            <w:tcW w:w="0" w:type="auto"/>
            <w:vAlign w:val="center"/>
            <w:hideMark/>
          </w:tcPr>
          <w:p w14:paraId="386B1027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PMIDs: 29700003, 37232341</w:t>
            </w:r>
          </w:p>
        </w:tc>
      </w:tr>
      <w:tr w:rsidR="00D91239" w:rsidRPr="00D91239" w14:paraId="2C47C95D" w14:textId="77777777" w:rsidTr="00567B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BFB713A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PI3K/AKT/</w:t>
            </w:r>
            <w:proofErr w:type="spellStart"/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mTOR</w:t>
            </w:r>
            <w:proofErr w:type="spellEnd"/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 xml:space="preserve"> inhibition</w:t>
            </w:r>
          </w:p>
        </w:tc>
        <w:tc>
          <w:tcPr>
            <w:tcW w:w="0" w:type="auto"/>
            <w:vAlign w:val="center"/>
            <w:hideMark/>
          </w:tcPr>
          <w:p w14:paraId="7833AF95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Low in prostate cancer: the functionally validated CCAT2-dependent mechanism was primarily demonstrated in tamoxifen-resistant breast cancer cells</w:t>
            </w:r>
          </w:p>
        </w:tc>
        <w:tc>
          <w:tcPr>
            <w:tcW w:w="0" w:type="auto"/>
            <w:vAlign w:val="center"/>
            <w:hideMark/>
          </w:tcPr>
          <w:p w14:paraId="71E3EE86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High: several pathway-directed agents have entered clinical development</w:t>
            </w:r>
          </w:p>
        </w:tc>
        <w:tc>
          <w:tcPr>
            <w:tcW w:w="0" w:type="auto"/>
            <w:vAlign w:val="center"/>
            <w:hideMark/>
          </w:tcPr>
          <w:p w14:paraId="50426D36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Moderate: considerable clinical experience exists, but toxicity and compensatory signaling restrict efficacy</w:t>
            </w:r>
          </w:p>
        </w:tc>
        <w:tc>
          <w:tcPr>
            <w:tcW w:w="0" w:type="auto"/>
            <w:vAlign w:val="center"/>
            <w:hideMark/>
          </w:tcPr>
          <w:p w14:paraId="1F648510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Tier 2: subtype-dependent combination target</w:t>
            </w:r>
          </w:p>
        </w:tc>
        <w:tc>
          <w:tcPr>
            <w:tcW w:w="0" w:type="auto"/>
            <w:vAlign w:val="center"/>
            <w:hideMark/>
          </w:tcPr>
          <w:p w14:paraId="6E51857C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Validation in CCAT2-high prostate cancer models, particularly those with PTEN loss or PI3K/AKT pathway activation</w:t>
            </w:r>
          </w:p>
        </w:tc>
        <w:tc>
          <w:tcPr>
            <w:tcW w:w="0" w:type="auto"/>
            <w:vAlign w:val="center"/>
            <w:hideMark/>
          </w:tcPr>
          <w:p w14:paraId="487ADB9C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PMID: 36375570</w:t>
            </w:r>
          </w:p>
        </w:tc>
      </w:tr>
      <w:tr w:rsidR="00D91239" w:rsidRPr="00D91239" w14:paraId="17548C7F" w14:textId="77777777" w:rsidTr="0056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904B885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BOP1–AURKB inhibition</w:t>
            </w:r>
          </w:p>
        </w:tc>
        <w:tc>
          <w:tcPr>
            <w:tcW w:w="0" w:type="auto"/>
            <w:vAlign w:val="center"/>
            <w:hideMark/>
          </w:tcPr>
          <w:p w14:paraId="2527A7F3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Low in prostate cancer; strong protein-interaction, protein-stability, and functional evidence is currently derived from colorectal cancer</w:t>
            </w:r>
          </w:p>
        </w:tc>
        <w:tc>
          <w:tcPr>
            <w:tcW w:w="0" w:type="auto"/>
            <w:vAlign w:val="center"/>
            <w:hideMark/>
          </w:tcPr>
          <w:p w14:paraId="7D62E2C0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Moderate: AURKB is more pharmacologically accessible than BOP1</w:t>
            </w:r>
          </w:p>
        </w:tc>
        <w:tc>
          <w:tcPr>
            <w:tcW w:w="0" w:type="auto"/>
            <w:vAlign w:val="center"/>
            <w:hideMark/>
          </w:tcPr>
          <w:p w14:paraId="55A1D8E8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Low to moderate: prostate cancer-specific dependency and therapeutic window remain unknown</w:t>
            </w:r>
          </w:p>
        </w:tc>
        <w:tc>
          <w:tcPr>
            <w:tcW w:w="0" w:type="auto"/>
            <w:vAlign w:val="center"/>
            <w:hideMark/>
          </w:tcPr>
          <w:p w14:paraId="3D0B318B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Tier 3: exploratory target</w:t>
            </w:r>
          </w:p>
        </w:tc>
        <w:tc>
          <w:tcPr>
            <w:tcW w:w="0" w:type="auto"/>
            <w:vAlign w:val="center"/>
            <w:hideMark/>
          </w:tcPr>
          <w:p w14:paraId="71788599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Protein-stability, ubiquitination, mitotic-phenotype, and downstream rescue experiments in prostate cancer models</w:t>
            </w:r>
          </w:p>
        </w:tc>
        <w:tc>
          <w:tcPr>
            <w:tcW w:w="0" w:type="auto"/>
            <w:vAlign w:val="center"/>
            <w:hideMark/>
          </w:tcPr>
          <w:p w14:paraId="37AA3232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PMID: 32805281</w:t>
            </w:r>
          </w:p>
        </w:tc>
      </w:tr>
      <w:tr w:rsidR="00D91239" w:rsidRPr="00D91239" w14:paraId="0C080AC1" w14:textId="77777777" w:rsidTr="00567B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19E9FEF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proofErr w:type="spellStart"/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CFIm</w:t>
            </w:r>
            <w:proofErr w:type="spellEnd"/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–GLS/GAC metabolic targeting</w:t>
            </w:r>
          </w:p>
        </w:tc>
        <w:tc>
          <w:tcPr>
            <w:tcW w:w="0" w:type="auto"/>
            <w:vAlign w:val="center"/>
            <w:hideMark/>
          </w:tcPr>
          <w:p w14:paraId="5D6A455A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Low in prostate cancer; the CCAT2-dependent alternative processing of GLS and increased GAC production were mechanistically validated in colorectal cancer</w:t>
            </w:r>
          </w:p>
        </w:tc>
        <w:tc>
          <w:tcPr>
            <w:tcW w:w="0" w:type="auto"/>
            <w:vAlign w:val="center"/>
            <w:hideMark/>
          </w:tcPr>
          <w:p w14:paraId="50F36A02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Moderate: glutaminase-directed compounds and metabolic inhibitors are available</w:t>
            </w:r>
          </w:p>
        </w:tc>
        <w:tc>
          <w:tcPr>
            <w:tcW w:w="0" w:type="auto"/>
            <w:vAlign w:val="center"/>
            <w:hideMark/>
          </w:tcPr>
          <w:p w14:paraId="2536A02D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Low to moderate: metabolic heterogeneity may restrict the responsive patient population</w:t>
            </w:r>
          </w:p>
        </w:tc>
        <w:tc>
          <w:tcPr>
            <w:tcW w:w="0" w:type="auto"/>
            <w:vAlign w:val="center"/>
            <w:hideMark/>
          </w:tcPr>
          <w:p w14:paraId="3BABA2D5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Tier 3: exploratory metabolic target</w:t>
            </w:r>
          </w:p>
        </w:tc>
        <w:tc>
          <w:tcPr>
            <w:tcW w:w="0" w:type="auto"/>
            <w:vAlign w:val="center"/>
            <w:hideMark/>
          </w:tcPr>
          <w:p w14:paraId="42929FF8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Confirmation of altered GLS processing, GAC expression, glutaminase activity, and glutamine dependence following CCAT2 perturbation in prostate cancer</w:t>
            </w:r>
          </w:p>
        </w:tc>
        <w:tc>
          <w:tcPr>
            <w:tcW w:w="0" w:type="auto"/>
            <w:vAlign w:val="center"/>
            <w:hideMark/>
          </w:tcPr>
          <w:p w14:paraId="0E0FB7BA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PMID: 26853146</w:t>
            </w:r>
          </w:p>
        </w:tc>
      </w:tr>
      <w:tr w:rsidR="00D91239" w:rsidRPr="00D91239" w14:paraId="62BCF4F5" w14:textId="77777777" w:rsidTr="0056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B9139B9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Anti-angiogenic or immune-directed combinations</w:t>
            </w:r>
          </w:p>
        </w:tc>
        <w:tc>
          <w:tcPr>
            <w:tcW w:w="0" w:type="auto"/>
            <w:vAlign w:val="center"/>
            <w:hideMark/>
          </w:tcPr>
          <w:p w14:paraId="7D603D1A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Low: current associations with CCAT2 are predominantly derived from other malignancies, indirect analyses, or computational immune signatures</w:t>
            </w:r>
          </w:p>
        </w:tc>
        <w:tc>
          <w:tcPr>
            <w:tcW w:w="0" w:type="auto"/>
            <w:vAlign w:val="center"/>
            <w:hideMark/>
          </w:tcPr>
          <w:p w14:paraId="701518E9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Moderate to high depending on the selected angiogenic or immune pathway</w:t>
            </w:r>
          </w:p>
        </w:tc>
        <w:tc>
          <w:tcPr>
            <w:tcW w:w="0" w:type="auto"/>
            <w:vAlign w:val="center"/>
            <w:hideMark/>
          </w:tcPr>
          <w:p w14:paraId="74699642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Moderate for established agents, but low for CCAT2-based patient selection</w:t>
            </w:r>
          </w:p>
        </w:tc>
        <w:tc>
          <w:tcPr>
            <w:tcW w:w="0" w:type="auto"/>
            <w:vAlign w:val="center"/>
            <w:hideMark/>
          </w:tcPr>
          <w:p w14:paraId="11B6464F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Tier 3: hypothesis-generating combination</w:t>
            </w:r>
          </w:p>
        </w:tc>
        <w:tc>
          <w:tcPr>
            <w:tcW w:w="0" w:type="auto"/>
            <w:vAlign w:val="center"/>
            <w:hideMark/>
          </w:tcPr>
          <w:p w14:paraId="18B40092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Functional angiogenesis and immune-cell assays, spatial or single-cell profiling, biomarker definition, and validation in immunocompetent or humanized models</w:t>
            </w:r>
          </w:p>
        </w:tc>
        <w:tc>
          <w:tcPr>
            <w:tcW w:w="0" w:type="auto"/>
            <w:vAlign w:val="center"/>
            <w:hideMark/>
          </w:tcPr>
          <w:p w14:paraId="4C869989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 xml:space="preserve">PMID: 28656228 for </w:t>
            </w:r>
            <w:proofErr w:type="spellStart"/>
            <w:r w:rsidRPr="00D91239">
              <w:rPr>
                <w:rFonts w:asciiTheme="majorBidi" w:hAnsiTheme="majorBidi" w:cstheme="majorBidi"/>
                <w:sz w:val="16"/>
                <w:szCs w:val="16"/>
              </w:rPr>
              <w:t>exosomal</w:t>
            </w:r>
            <w:proofErr w:type="spellEnd"/>
            <w:r w:rsidRPr="00D91239">
              <w:rPr>
                <w:rFonts w:asciiTheme="majorBidi" w:hAnsiTheme="majorBidi" w:cstheme="majorBidi"/>
                <w:sz w:val="16"/>
                <w:szCs w:val="16"/>
              </w:rPr>
              <w:t xml:space="preserve"> CCAT2-mediated angiogenesis in glioma; no direct prostate cancer-specific CCAT2 immunotherapy PMID is currently available</w:t>
            </w:r>
          </w:p>
        </w:tc>
      </w:tr>
      <w:tr w:rsidR="00D91239" w:rsidRPr="00D91239" w14:paraId="69043F80" w14:textId="77777777" w:rsidTr="00567B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60E5331" w14:textId="77777777" w:rsidR="004219A3" w:rsidRPr="00D91239" w:rsidRDefault="004219A3" w:rsidP="00567B1A">
            <w:pPr>
              <w:spacing w:line="360" w:lineRule="auto"/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TMPRSS2/ERG-subtype targeting with TES7832</w:t>
            </w:r>
          </w:p>
        </w:tc>
        <w:tc>
          <w:tcPr>
            <w:tcW w:w="0" w:type="auto"/>
            <w:vAlign w:val="center"/>
          </w:tcPr>
          <w:p w14:paraId="6E9A3FC3" w14:textId="77777777" w:rsidR="004219A3" w:rsidRPr="00D91239" w:rsidRDefault="004219A3" w:rsidP="00567B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 xml:space="preserve">Not CCAT2-specific. One prostate cancer-focused computational and in vitro study reported preferential activity in TMPRSS2–ERG-positive </w:t>
            </w:r>
            <w:proofErr w:type="spellStart"/>
            <w:r w:rsidRPr="00D91239">
              <w:rPr>
                <w:rFonts w:asciiTheme="majorBidi" w:hAnsiTheme="majorBidi" w:cstheme="majorBidi"/>
                <w:sz w:val="16"/>
                <w:szCs w:val="16"/>
              </w:rPr>
              <w:t>VCaP</w:t>
            </w:r>
            <w:proofErr w:type="spellEnd"/>
            <w:r w:rsidRPr="00D91239">
              <w:rPr>
                <w:rFonts w:asciiTheme="majorBidi" w:hAnsiTheme="majorBidi" w:cstheme="majorBidi"/>
                <w:sz w:val="16"/>
                <w:szCs w:val="16"/>
              </w:rPr>
              <w:t xml:space="preserve"> cells</w:t>
            </w:r>
          </w:p>
        </w:tc>
        <w:tc>
          <w:tcPr>
            <w:tcW w:w="0" w:type="auto"/>
            <w:vAlign w:val="center"/>
          </w:tcPr>
          <w:p w14:paraId="2E8D0830" w14:textId="77777777" w:rsidR="004219A3" w:rsidRPr="00D91239" w:rsidRDefault="004219A3" w:rsidP="00567B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Moderate: a candidate small molecule has been identified, but independent target engagement remains unconfirmed</w:t>
            </w:r>
          </w:p>
        </w:tc>
        <w:tc>
          <w:tcPr>
            <w:tcW w:w="0" w:type="auto"/>
            <w:vAlign w:val="center"/>
          </w:tcPr>
          <w:p w14:paraId="737FE616" w14:textId="77777777" w:rsidR="004219A3" w:rsidRPr="00D91239" w:rsidRDefault="004219A3" w:rsidP="00567B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Low: no animal, pharmacokinetic, toxicity, or clinical validation is currently available</w:t>
            </w:r>
          </w:p>
        </w:tc>
        <w:tc>
          <w:tcPr>
            <w:tcW w:w="0" w:type="auto"/>
            <w:vAlign w:val="center"/>
          </w:tcPr>
          <w:p w14:paraId="0CAAD33B" w14:textId="77777777" w:rsidR="004219A3" w:rsidRPr="00D91239" w:rsidRDefault="004219A3" w:rsidP="00567B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Tier 2/3: subtype-restricted exploratory strategy</w:t>
            </w:r>
          </w:p>
        </w:tc>
        <w:tc>
          <w:tcPr>
            <w:tcW w:w="0" w:type="auto"/>
            <w:vAlign w:val="center"/>
          </w:tcPr>
          <w:p w14:paraId="10762E04" w14:textId="77777777" w:rsidR="004219A3" w:rsidRPr="00D91239" w:rsidRDefault="004219A3" w:rsidP="00567B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>Independent confirmation of the molecular target, genetic rescue experiments, testing across fusion-positive and fusion-negative models, in vivo efficacy, pharmacokinetics, toxicity, and biomarker-guided patient selection</w:t>
            </w:r>
          </w:p>
        </w:tc>
        <w:tc>
          <w:tcPr>
            <w:tcW w:w="0" w:type="auto"/>
            <w:vAlign w:val="center"/>
          </w:tcPr>
          <w:p w14:paraId="20D0100B" w14:textId="77777777" w:rsidR="004219A3" w:rsidRPr="00D91239" w:rsidRDefault="004219A3" w:rsidP="00567B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</w:rPr>
              <w:t xml:space="preserve">No PMID currently identified; </w:t>
            </w:r>
            <w:proofErr w:type="spellStart"/>
            <w:r w:rsidRPr="00D91239">
              <w:rPr>
                <w:rFonts w:asciiTheme="majorBidi" w:hAnsiTheme="majorBidi" w:cstheme="majorBidi"/>
                <w:sz w:val="16"/>
                <w:szCs w:val="16"/>
              </w:rPr>
              <w:t>doi</w:t>
            </w:r>
            <w:proofErr w:type="spellEnd"/>
            <w:r w:rsidRPr="00D91239">
              <w:rPr>
                <w:rFonts w:asciiTheme="majorBidi" w:hAnsiTheme="majorBidi" w:cstheme="majorBidi"/>
                <w:sz w:val="16"/>
                <w:szCs w:val="16"/>
              </w:rPr>
              <w:t>: 10.24976/Discov.Med.202537200.156. Foundational TMPRSS2–ERG biology: PMID 16254181</w:t>
            </w:r>
          </w:p>
        </w:tc>
      </w:tr>
    </w:tbl>
    <w:p w14:paraId="6304F29B" w14:textId="77777777" w:rsidR="004219A3" w:rsidRPr="00D91239" w:rsidRDefault="004219A3" w:rsidP="004219A3">
      <w:pPr>
        <w:jc w:val="both"/>
        <w:rPr>
          <w:rFonts w:asciiTheme="majorBidi" w:hAnsiTheme="majorBidi" w:cstheme="majorBidi"/>
          <w:b/>
          <w:bCs/>
        </w:rPr>
      </w:pPr>
    </w:p>
    <w:p w14:paraId="4FDC0DBB" w14:textId="77777777" w:rsidR="004219A3" w:rsidRPr="00D91239" w:rsidRDefault="004219A3" w:rsidP="004219A3">
      <w:pPr>
        <w:jc w:val="both"/>
        <w:rPr>
          <w:rFonts w:asciiTheme="majorBidi" w:hAnsiTheme="majorBidi" w:cstheme="majorBidi"/>
          <w:b/>
          <w:bCs/>
        </w:rPr>
      </w:pPr>
    </w:p>
    <w:p w14:paraId="4807AE94" w14:textId="77777777" w:rsidR="004219A3" w:rsidRPr="00D91239" w:rsidRDefault="004219A3" w:rsidP="004219A3">
      <w:pPr>
        <w:jc w:val="both"/>
        <w:rPr>
          <w:rFonts w:asciiTheme="majorBidi" w:hAnsiTheme="majorBidi" w:cstheme="majorBidi"/>
          <w:b/>
          <w:bCs/>
        </w:rPr>
      </w:pPr>
    </w:p>
    <w:p w14:paraId="69C12FF7" w14:textId="77777777" w:rsidR="004219A3" w:rsidRPr="00D91239" w:rsidRDefault="004219A3" w:rsidP="004219A3">
      <w:pPr>
        <w:jc w:val="both"/>
      </w:pPr>
    </w:p>
    <w:p w14:paraId="335A0C85" w14:textId="77777777" w:rsidR="004219A3" w:rsidRPr="00D91239" w:rsidRDefault="004219A3" w:rsidP="004219A3">
      <w:pPr>
        <w:jc w:val="both"/>
      </w:pPr>
    </w:p>
    <w:p w14:paraId="209F1279" w14:textId="77777777" w:rsidR="004219A3" w:rsidRPr="00D91239" w:rsidRDefault="004219A3" w:rsidP="004219A3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D91239">
        <w:rPr>
          <w:rFonts w:asciiTheme="majorBidi" w:hAnsiTheme="majorBidi" w:cstheme="majorBidi"/>
          <w:b/>
          <w:bCs/>
          <w:sz w:val="24"/>
          <w:szCs w:val="24"/>
          <w:lang w:bidi="fa-IR"/>
        </w:rPr>
        <w:t>Supplementary Table S3. Comparative assessment of RNA-based strategies and delivery platforms for targeting CCAT2 in prostate cancer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356"/>
        <w:gridCol w:w="1761"/>
        <w:gridCol w:w="1891"/>
        <w:gridCol w:w="2328"/>
        <w:gridCol w:w="2014"/>
        <w:gridCol w:w="2170"/>
        <w:gridCol w:w="1440"/>
      </w:tblGrid>
      <w:tr w:rsidR="00D91239" w:rsidRPr="00D91239" w14:paraId="3038793D" w14:textId="77777777" w:rsidTr="00567B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19482BA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Strategy or platform</w:t>
            </w:r>
          </w:p>
        </w:tc>
        <w:tc>
          <w:tcPr>
            <w:tcW w:w="0" w:type="auto"/>
            <w:vAlign w:val="center"/>
            <w:hideMark/>
          </w:tcPr>
          <w:p w14:paraId="0967DA16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Mechanism</w:t>
            </w:r>
          </w:p>
        </w:tc>
        <w:tc>
          <w:tcPr>
            <w:tcW w:w="0" w:type="auto"/>
            <w:vAlign w:val="center"/>
            <w:hideMark/>
          </w:tcPr>
          <w:p w14:paraId="70264087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Principal potential advantage</w:t>
            </w:r>
          </w:p>
        </w:tc>
        <w:tc>
          <w:tcPr>
            <w:tcW w:w="0" w:type="auto"/>
            <w:vAlign w:val="center"/>
            <w:hideMark/>
          </w:tcPr>
          <w:p w14:paraId="06866046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Main limitations and off-target concerns</w:t>
            </w:r>
          </w:p>
        </w:tc>
        <w:tc>
          <w:tcPr>
            <w:tcW w:w="0" w:type="auto"/>
            <w:vAlign w:val="center"/>
            <w:hideMark/>
          </w:tcPr>
          <w:p w14:paraId="6C282030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Current evidence relevant to CCAT2 or prostate cancer</w:t>
            </w:r>
          </w:p>
        </w:tc>
        <w:tc>
          <w:tcPr>
            <w:tcW w:w="0" w:type="auto"/>
            <w:vAlign w:val="center"/>
            <w:hideMark/>
          </w:tcPr>
          <w:p w14:paraId="5A67CB92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Requirement before translation</w:t>
            </w:r>
          </w:p>
        </w:tc>
        <w:tc>
          <w:tcPr>
            <w:tcW w:w="0" w:type="auto"/>
            <w:vAlign w:val="center"/>
            <w:hideMark/>
          </w:tcPr>
          <w:p w14:paraId="5AF97CE0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Representative PMID(s)</w:t>
            </w:r>
          </w:p>
        </w:tc>
      </w:tr>
      <w:tr w:rsidR="00D91239" w:rsidRPr="00D91239" w14:paraId="0C8085B3" w14:textId="77777777" w:rsidTr="0056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8FE72A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 xml:space="preserve">RNase H1-active ASO or LNA </w:t>
            </w:r>
            <w:proofErr w:type="spellStart"/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gapmer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A3ED1C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Formation of an RNA–DNA hybrid followed by RNase H1-mediated degradation</w:t>
            </w:r>
          </w:p>
        </w:tc>
        <w:tc>
          <w:tcPr>
            <w:tcW w:w="0" w:type="auto"/>
            <w:vAlign w:val="center"/>
            <w:hideMark/>
          </w:tcPr>
          <w:p w14:paraId="13CBFD27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Suitable for nuclear and cytoplasmic transcripts; chemically programmable; no foreign protein required</w:t>
            </w:r>
          </w:p>
        </w:tc>
        <w:tc>
          <w:tcPr>
            <w:tcW w:w="0" w:type="auto"/>
            <w:vAlign w:val="center"/>
            <w:hideMark/>
          </w:tcPr>
          <w:p w14:paraId="13BB8611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Partial-complementarity off-targets; phosphorothioate-dependent protein interactions; endosomal sequestration; inflammatory, hepatic, or renal toxicity</w:t>
            </w:r>
          </w:p>
        </w:tc>
        <w:tc>
          <w:tcPr>
            <w:tcW w:w="0" w:type="auto"/>
            <w:vAlign w:val="center"/>
            <w:hideMark/>
          </w:tcPr>
          <w:p w14:paraId="1C13018C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No optimized CCAT2-directed therapeutic ASO has been validated in prostate cancer; modality choice depends on CCAT2 localization</w:t>
            </w:r>
          </w:p>
        </w:tc>
        <w:tc>
          <w:tcPr>
            <w:tcW w:w="0" w:type="auto"/>
            <w:vAlign w:val="center"/>
            <w:hideMark/>
          </w:tcPr>
          <w:p w14:paraId="202F1F02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At least two independent sequences, transcriptome-wide off-target assessment, resistant-transcript rescue, PK/PD, biodistribution, and in vivo safety</w:t>
            </w:r>
          </w:p>
        </w:tc>
        <w:tc>
          <w:tcPr>
            <w:tcW w:w="0" w:type="auto"/>
            <w:vAlign w:val="center"/>
            <w:hideMark/>
          </w:tcPr>
          <w:p w14:paraId="4AC541F7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26578588; 28080221; 29240946; 26338776</w:t>
            </w:r>
          </w:p>
        </w:tc>
      </w:tr>
      <w:tr w:rsidR="00D91239" w:rsidRPr="00D91239" w14:paraId="396080C3" w14:textId="77777777" w:rsidTr="00567B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995E178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siRNA</w:t>
            </w:r>
          </w:p>
        </w:tc>
        <w:tc>
          <w:tcPr>
            <w:tcW w:w="0" w:type="auto"/>
            <w:vAlign w:val="center"/>
            <w:hideMark/>
          </w:tcPr>
          <w:p w14:paraId="45F79056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RISC-dependent cleavage of complementary RNA</w:t>
            </w:r>
          </w:p>
        </w:tc>
        <w:tc>
          <w:tcPr>
            <w:tcW w:w="0" w:type="auto"/>
            <w:vAlign w:val="center"/>
            <w:hideMark/>
          </w:tcPr>
          <w:p w14:paraId="4569019E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Potent, catalytic, reversible, and chemically programmable silencing of accessible cytoplasmic RNA</w:t>
            </w:r>
          </w:p>
        </w:tc>
        <w:tc>
          <w:tcPr>
            <w:tcW w:w="0" w:type="auto"/>
            <w:vAlign w:val="center"/>
            <w:hideMark/>
          </w:tcPr>
          <w:p w14:paraId="686FE416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Seed-mediated off-target repression; innate immune activation; nuclease instability; rapid clearance; endosomal trapping; poor extrahepatic delivery</w:t>
            </w:r>
          </w:p>
        </w:tc>
        <w:tc>
          <w:tcPr>
            <w:tcW w:w="0" w:type="auto"/>
            <w:vAlign w:val="center"/>
            <w:hideMark/>
          </w:tcPr>
          <w:p w14:paraId="278E0A18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CCAT2 knockdown supports target validation in prostate cancer cell lines, but no optimized systemic CCAT2-siRNA formulation has been evaluated in vivo</w:t>
            </w:r>
          </w:p>
        </w:tc>
        <w:tc>
          <w:tcPr>
            <w:tcW w:w="0" w:type="auto"/>
            <w:vAlign w:val="center"/>
            <w:hideMark/>
          </w:tcPr>
          <w:p w14:paraId="0F25F5FE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Orthogonal siRNAs, rescue experiments, immune-response testing, optimized formulation, tumor uptake, and in vivo target engagement</w:t>
            </w:r>
          </w:p>
        </w:tc>
        <w:tc>
          <w:tcPr>
            <w:tcW w:w="0" w:type="auto"/>
            <w:vAlign w:val="center"/>
            <w:hideMark/>
          </w:tcPr>
          <w:p w14:paraId="3E5AB863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27558961; 20043028; 32561705</w:t>
            </w:r>
          </w:p>
        </w:tc>
      </w:tr>
      <w:tr w:rsidR="00D91239" w:rsidRPr="00D91239" w14:paraId="215BCA3C" w14:textId="77777777" w:rsidTr="0056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63887AA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proofErr w:type="spellStart"/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shRNA</w:t>
            </w:r>
            <w:proofErr w:type="spellEnd"/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 xml:space="preserve"> or vector-expressed RNA interference</w:t>
            </w:r>
          </w:p>
        </w:tc>
        <w:tc>
          <w:tcPr>
            <w:tcW w:w="0" w:type="auto"/>
            <w:vAlign w:val="center"/>
            <w:hideMark/>
          </w:tcPr>
          <w:p w14:paraId="01B961E6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Intracellular expression and processing of an RNA hairpin into an RNA-interference effector</w:t>
            </w:r>
          </w:p>
        </w:tc>
        <w:tc>
          <w:tcPr>
            <w:tcW w:w="0" w:type="auto"/>
            <w:vAlign w:val="center"/>
            <w:hideMark/>
          </w:tcPr>
          <w:p w14:paraId="3FED5F90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Sustained knockdown and suitability for stable experimental models</w:t>
            </w:r>
          </w:p>
        </w:tc>
        <w:tc>
          <w:tcPr>
            <w:tcW w:w="0" w:type="auto"/>
            <w:vAlign w:val="center"/>
            <w:hideMark/>
          </w:tcPr>
          <w:p w14:paraId="1077FB33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Vector integration, persistent expression, saturation of endogenous RNA processing, difficult dose control, and viral-vector immunogenicity</w:t>
            </w:r>
          </w:p>
        </w:tc>
        <w:tc>
          <w:tcPr>
            <w:tcW w:w="0" w:type="auto"/>
            <w:vAlign w:val="center"/>
            <w:hideMark/>
          </w:tcPr>
          <w:p w14:paraId="65EC7C83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Useful principally for mechanistic validation; no clinical CCAT2-directed prostate cancer evidence</w:t>
            </w:r>
          </w:p>
        </w:tc>
        <w:tc>
          <w:tcPr>
            <w:tcW w:w="0" w:type="auto"/>
            <w:vAlign w:val="center"/>
            <w:hideMark/>
          </w:tcPr>
          <w:p w14:paraId="3C719524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Inducible expression, independent guide sequences, integration-site assessment, and separation of model development from therapeutic claims</w:t>
            </w:r>
          </w:p>
        </w:tc>
        <w:tc>
          <w:tcPr>
            <w:tcW w:w="0" w:type="auto"/>
            <w:vAlign w:val="center"/>
            <w:hideMark/>
          </w:tcPr>
          <w:p w14:paraId="6C7360F7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32561705; 31255978</w:t>
            </w:r>
          </w:p>
        </w:tc>
      </w:tr>
      <w:tr w:rsidR="00D91239" w:rsidRPr="00D91239" w14:paraId="7BC5E113" w14:textId="77777777" w:rsidTr="00567B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96A25DB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CRISPR–Cas9 deletion or CRISPR interference</w:t>
            </w:r>
          </w:p>
        </w:tc>
        <w:tc>
          <w:tcPr>
            <w:tcW w:w="0" w:type="auto"/>
            <w:vAlign w:val="center"/>
            <w:hideMark/>
          </w:tcPr>
          <w:p w14:paraId="583B1607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Genomic deletion or transcriptional repression of the CCAT2 locus</w:t>
            </w:r>
          </w:p>
        </w:tc>
        <w:tc>
          <w:tcPr>
            <w:tcW w:w="0" w:type="auto"/>
            <w:vAlign w:val="center"/>
            <w:hideMark/>
          </w:tcPr>
          <w:p w14:paraId="6DC8F1B7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Potentially durable suppression; useful for testing locus-level dependency</w:t>
            </w:r>
          </w:p>
        </w:tc>
        <w:tc>
          <w:tcPr>
            <w:tcW w:w="0" w:type="auto"/>
            <w:vAlign w:val="center"/>
            <w:hideMark/>
          </w:tcPr>
          <w:p w14:paraId="50EDFE41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Permanent DNA alteration; off-target editing; large deletions or rearrangements; disruption of enhancers, neighboring genes, or local chromatin</w:t>
            </w:r>
          </w:p>
        </w:tc>
        <w:tc>
          <w:tcPr>
            <w:tcW w:w="0" w:type="auto"/>
            <w:vAlign w:val="center"/>
            <w:hideMark/>
          </w:tcPr>
          <w:p w14:paraId="553FD85B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No CCAT2-directed therapeutic prostate cancer validation; phenotypes may reflect disruption of the 8q24 regulatory locus rather than mature CCAT2 RNA</w:t>
            </w:r>
          </w:p>
        </w:tc>
        <w:tc>
          <w:tcPr>
            <w:tcW w:w="0" w:type="auto"/>
            <w:vAlign w:val="center"/>
            <w:hideMark/>
          </w:tcPr>
          <w:p w14:paraId="0D5C059C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Allele- and locus-specific genomic analysis, neighboring-gene assessment, whole-genome off-target evaluation, and transcript-level rescue</w:t>
            </w:r>
          </w:p>
        </w:tc>
        <w:tc>
          <w:tcPr>
            <w:tcW w:w="0" w:type="auto"/>
            <w:vAlign w:val="center"/>
            <w:hideMark/>
          </w:tcPr>
          <w:p w14:paraId="1E4FF064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28180319; 30010673</w:t>
            </w:r>
          </w:p>
        </w:tc>
      </w:tr>
      <w:tr w:rsidR="00D91239" w:rsidRPr="00D91239" w14:paraId="633A51D7" w14:textId="77777777" w:rsidTr="0056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158914E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CRISPR–Cas13</w:t>
            </w:r>
          </w:p>
        </w:tc>
        <w:tc>
          <w:tcPr>
            <w:tcW w:w="0" w:type="auto"/>
            <w:vAlign w:val="center"/>
            <w:hideMark/>
          </w:tcPr>
          <w:p w14:paraId="6DCB63D4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Guide-directed degradation of RNA without genomic cleavage</w:t>
            </w:r>
          </w:p>
        </w:tc>
        <w:tc>
          <w:tcPr>
            <w:tcW w:w="0" w:type="auto"/>
            <w:vAlign w:val="center"/>
            <w:hideMark/>
          </w:tcPr>
          <w:p w14:paraId="2EC1BE05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Reversible RNA targeting while preserving the CCAT2 genomic locus</w:t>
            </w:r>
          </w:p>
        </w:tc>
        <w:tc>
          <w:tcPr>
            <w:tcW w:w="0" w:type="auto"/>
            <w:vAlign w:val="center"/>
            <w:hideMark/>
          </w:tcPr>
          <w:p w14:paraId="59A37EFC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Large delivery payload; bacterial-protein immunogenicity; guide-design uncertainty; off-target or collateral RNA cleavage</w:t>
            </w:r>
          </w:p>
        </w:tc>
        <w:tc>
          <w:tcPr>
            <w:tcW w:w="0" w:type="auto"/>
            <w:vAlign w:val="center"/>
            <w:hideMark/>
          </w:tcPr>
          <w:p w14:paraId="704B7A16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No CCAT2-specific prostate cancer study; remains an exploratory platform</w:t>
            </w:r>
          </w:p>
        </w:tc>
        <w:tc>
          <w:tcPr>
            <w:tcW w:w="0" w:type="auto"/>
            <w:vAlign w:val="center"/>
            <w:hideMark/>
          </w:tcPr>
          <w:p w14:paraId="1A979774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High-fidelity Cas13 variant, transcriptome-wide specificity testing, optimized transient delivery, dose control, and in vivo toxicity assessment</w:t>
            </w:r>
          </w:p>
        </w:tc>
        <w:tc>
          <w:tcPr>
            <w:tcW w:w="0" w:type="auto"/>
            <w:vAlign w:val="center"/>
            <w:hideMark/>
          </w:tcPr>
          <w:p w14:paraId="449A018D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28976959; 28408723; 35953673</w:t>
            </w:r>
          </w:p>
        </w:tc>
      </w:tr>
      <w:tr w:rsidR="00D91239" w:rsidRPr="00D91239" w14:paraId="39A2827F" w14:textId="77777777" w:rsidTr="00567B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F629A38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 xml:space="preserve">PSMA-targeted </w:t>
            </w:r>
            <w:proofErr w:type="spellStart"/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aptamer</w:t>
            </w:r>
            <w:proofErr w:type="spellEnd"/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 xml:space="preserve"> or LNP delivery</w:t>
            </w:r>
          </w:p>
        </w:tc>
        <w:tc>
          <w:tcPr>
            <w:tcW w:w="0" w:type="auto"/>
            <w:vAlign w:val="center"/>
            <w:hideMark/>
          </w:tcPr>
          <w:p w14:paraId="14C32C84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Ligand-directed uptake of an oligonucleotide payload by PSMA-expressing tumor cells</w:t>
            </w:r>
          </w:p>
        </w:tc>
        <w:tc>
          <w:tcPr>
            <w:tcW w:w="0" w:type="auto"/>
            <w:vAlign w:val="center"/>
            <w:hideMark/>
          </w:tcPr>
          <w:p w14:paraId="1E8F7316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Prostate cancer-relevant targeting; protection of RNA; potential systemic administration</w:t>
            </w:r>
          </w:p>
        </w:tc>
        <w:tc>
          <w:tcPr>
            <w:tcW w:w="0" w:type="auto"/>
            <w:vAlign w:val="center"/>
            <w:hideMark/>
          </w:tcPr>
          <w:p w14:paraId="003ED023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Heterogeneous PSMA expression; liver and spleen uptake; incomplete endosomal escape; variable tumor penetration; formulation complexity</w:t>
            </w:r>
          </w:p>
        </w:tc>
        <w:tc>
          <w:tcPr>
            <w:tcW w:w="0" w:type="auto"/>
            <w:vAlign w:val="center"/>
            <w:hideMark/>
          </w:tcPr>
          <w:p w14:paraId="04C38A96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PSMA aptamer–siRNA and PSMA-targeted AR-siRNA LNP studies establish delivery feasibility, but neither targeted CCAT2</w:t>
            </w:r>
          </w:p>
        </w:tc>
        <w:tc>
          <w:tcPr>
            <w:tcW w:w="0" w:type="auto"/>
            <w:vAlign w:val="center"/>
            <w:hideMark/>
          </w:tcPr>
          <w:p w14:paraId="5CA854FD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Demonstration of CCAT2 payload stability, tumor uptake, intracellular release, target engagement, efficacy, and safety in PSMA-heterogeneous models</w:t>
            </w:r>
          </w:p>
        </w:tc>
        <w:tc>
          <w:tcPr>
            <w:tcW w:w="0" w:type="auto"/>
            <w:vAlign w:val="center"/>
            <w:hideMark/>
          </w:tcPr>
          <w:p w14:paraId="40D15479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16823371; 28131285; 32784981</w:t>
            </w:r>
          </w:p>
        </w:tc>
      </w:tr>
      <w:tr w:rsidR="00D91239" w:rsidRPr="00D91239" w14:paraId="349A683A" w14:textId="77777777" w:rsidTr="0056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A750221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Engineered extracellular vesicles</w:t>
            </w:r>
          </w:p>
        </w:tc>
        <w:tc>
          <w:tcPr>
            <w:tcW w:w="0" w:type="auto"/>
            <w:vAlign w:val="center"/>
            <w:hideMark/>
          </w:tcPr>
          <w:p w14:paraId="65DF641C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Vesicular transport of siRNA, shRNA, ASO, or CRISPR components</w:t>
            </w:r>
          </w:p>
        </w:tc>
        <w:tc>
          <w:tcPr>
            <w:tcW w:w="0" w:type="auto"/>
            <w:vAlign w:val="center"/>
            <w:hideMark/>
          </w:tcPr>
          <w:p w14:paraId="461061E2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Potential biocompatibility and biological membrane-mediated delivery</w:t>
            </w:r>
          </w:p>
        </w:tc>
        <w:tc>
          <w:tcPr>
            <w:tcW w:w="0" w:type="auto"/>
            <w:vAlign w:val="center"/>
            <w:hideMark/>
          </w:tcPr>
          <w:p w14:paraId="7D880186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Variable loading; source-cell heterogeneity; purification and scale-up difficulties; uncertain potency and biodistribution; unwanted cargo</w:t>
            </w:r>
          </w:p>
        </w:tc>
        <w:tc>
          <w:tcPr>
            <w:tcW w:w="0" w:type="auto"/>
            <w:vAlign w:val="center"/>
            <w:hideMark/>
          </w:tcPr>
          <w:p w14:paraId="65AF7D7E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Cross-cancer preclinical evidence supports RNA delivery, but no CCAT2-directed prostate cancer evidence is available</w:t>
            </w:r>
          </w:p>
        </w:tc>
        <w:tc>
          <w:tcPr>
            <w:tcW w:w="0" w:type="auto"/>
            <w:vAlign w:val="center"/>
            <w:hideMark/>
          </w:tcPr>
          <w:p w14:paraId="186E48E1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Defined cell source, scalable production, loading efficiency, potency assay, biodistribution, tumor targeting, and toxicity testing</w:t>
            </w:r>
          </w:p>
        </w:tc>
        <w:tc>
          <w:tcPr>
            <w:tcW w:w="0" w:type="auto"/>
            <w:vAlign w:val="center"/>
            <w:hideMark/>
          </w:tcPr>
          <w:p w14:paraId="59EEAE1D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28607485; 39355533</w:t>
            </w:r>
          </w:p>
        </w:tc>
      </w:tr>
    </w:tbl>
    <w:p w14:paraId="229D3CCF" w14:textId="77777777" w:rsidR="004219A3" w:rsidRPr="00D91239" w:rsidRDefault="004219A3" w:rsidP="004219A3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05328C79" w14:textId="77777777" w:rsidR="004219A3" w:rsidRPr="00D91239" w:rsidRDefault="004219A3" w:rsidP="004219A3">
      <w:pPr>
        <w:jc w:val="both"/>
      </w:pPr>
    </w:p>
    <w:p w14:paraId="75600FCD" w14:textId="77777777" w:rsidR="004219A3" w:rsidRPr="00D91239" w:rsidRDefault="004219A3" w:rsidP="004219A3">
      <w:pPr>
        <w:jc w:val="both"/>
      </w:pPr>
    </w:p>
    <w:p w14:paraId="014B2503" w14:textId="77777777" w:rsidR="004219A3" w:rsidRPr="00D91239" w:rsidRDefault="004219A3" w:rsidP="004219A3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D91239">
        <w:rPr>
          <w:rFonts w:asciiTheme="majorBidi" w:hAnsiTheme="majorBidi" w:cstheme="majorBidi"/>
          <w:b/>
          <w:bCs/>
          <w:sz w:val="24"/>
          <w:szCs w:val="24"/>
          <w:lang w:bidi="fa-IR"/>
        </w:rPr>
        <w:t>Supplementary Table S4. Proposed stage-, subtype-, and treatment-history-dependent framework for evaluating CCAT2 in prostate cancer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982"/>
        <w:gridCol w:w="2473"/>
        <w:gridCol w:w="2123"/>
        <w:gridCol w:w="2507"/>
        <w:gridCol w:w="2593"/>
        <w:gridCol w:w="1282"/>
      </w:tblGrid>
      <w:tr w:rsidR="00D91239" w:rsidRPr="00D91239" w14:paraId="0D84DF9D" w14:textId="77777777" w:rsidTr="00567B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AD7892E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Clinical context</w:t>
            </w:r>
          </w:p>
        </w:tc>
        <w:tc>
          <w:tcPr>
            <w:tcW w:w="0" w:type="auto"/>
            <w:vAlign w:val="center"/>
            <w:hideMark/>
          </w:tcPr>
          <w:p w14:paraId="79B6802D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Relevant heterogeneity variables</w:t>
            </w:r>
          </w:p>
        </w:tc>
        <w:tc>
          <w:tcPr>
            <w:tcW w:w="0" w:type="auto"/>
            <w:vAlign w:val="center"/>
            <w:hideMark/>
          </w:tcPr>
          <w:p w14:paraId="69603B2D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Influence of prior therapy</w:t>
            </w:r>
          </w:p>
        </w:tc>
        <w:tc>
          <w:tcPr>
            <w:tcW w:w="0" w:type="auto"/>
            <w:vAlign w:val="center"/>
            <w:hideMark/>
          </w:tcPr>
          <w:p w14:paraId="2BCB1EDE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Proposed role of CCAT2</w:t>
            </w:r>
          </w:p>
        </w:tc>
        <w:tc>
          <w:tcPr>
            <w:tcW w:w="0" w:type="auto"/>
            <w:vAlign w:val="center"/>
            <w:hideMark/>
          </w:tcPr>
          <w:p w14:paraId="2A6BE53E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Required validation</w:t>
            </w:r>
          </w:p>
        </w:tc>
        <w:tc>
          <w:tcPr>
            <w:tcW w:w="0" w:type="auto"/>
            <w:vAlign w:val="center"/>
            <w:hideMark/>
          </w:tcPr>
          <w:p w14:paraId="08465704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Reference, PMID</w:t>
            </w:r>
          </w:p>
        </w:tc>
      </w:tr>
      <w:tr w:rsidR="00D91239" w:rsidRPr="00D91239" w14:paraId="05E9FBAC" w14:textId="77777777" w:rsidTr="0056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D83557D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b w:val="0"/>
                <w:bCs w:val="0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  <w:lang w:bidi="fa-IR"/>
              </w:rPr>
              <w:t>Localized, treatment-naïve prostate cancer</w:t>
            </w:r>
          </w:p>
        </w:tc>
        <w:tc>
          <w:tcPr>
            <w:tcW w:w="0" w:type="auto"/>
            <w:vAlign w:val="center"/>
            <w:hideMark/>
          </w:tcPr>
          <w:p w14:paraId="727372E0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Grade group, pathological stage, multifocality, ERG/ETS fusion, SPOP, FOXA1, IDH1 and PTEN/PI3K status</w:t>
            </w:r>
          </w:p>
        </w:tc>
        <w:tc>
          <w:tcPr>
            <w:tcW w:w="0" w:type="auto"/>
            <w:vAlign w:val="center"/>
            <w:hideMark/>
          </w:tcPr>
          <w:p w14:paraId="520AECBE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None or limited exposure before tissue collection</w:t>
            </w:r>
          </w:p>
        </w:tc>
        <w:tc>
          <w:tcPr>
            <w:tcW w:w="0" w:type="auto"/>
            <w:vAlign w:val="center"/>
            <w:hideMark/>
          </w:tcPr>
          <w:p w14:paraId="0829081F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Candidate tissue-based prognostic marker of EMT-associated aggressiveness; not a treatment-selection marker</w:t>
            </w:r>
          </w:p>
        </w:tc>
        <w:tc>
          <w:tcPr>
            <w:tcW w:w="0" w:type="auto"/>
            <w:vAlign w:val="center"/>
            <w:hideMark/>
          </w:tcPr>
          <w:p w14:paraId="29295199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Multi-region sampling, adjustment for clinicopathological and genomic classifiers, and prospective recurrence analysis</w:t>
            </w:r>
          </w:p>
        </w:tc>
        <w:tc>
          <w:tcPr>
            <w:tcW w:w="0" w:type="auto"/>
            <w:vAlign w:val="center"/>
            <w:hideMark/>
          </w:tcPr>
          <w:p w14:paraId="312C273C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PMIDs: 26544944, 27558961, 32218194</w:t>
            </w:r>
          </w:p>
        </w:tc>
      </w:tr>
      <w:tr w:rsidR="00D91239" w:rsidRPr="00D91239" w14:paraId="34C0DFEE" w14:textId="77777777" w:rsidTr="00567B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C68A4E9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b w:val="0"/>
                <w:bCs w:val="0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  <w:lang w:bidi="fa-IR"/>
              </w:rPr>
              <w:t>Metastatic hormone-sensitive prostate cancer</w:t>
            </w:r>
          </w:p>
        </w:tc>
        <w:tc>
          <w:tcPr>
            <w:tcW w:w="0" w:type="auto"/>
            <w:vAlign w:val="center"/>
            <w:hideMark/>
          </w:tcPr>
          <w:p w14:paraId="558B7E06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Synchronous or metachronous presentation, metastatic volume and distribution, AR activity, primary–metastatic discordance</w:t>
            </w:r>
          </w:p>
        </w:tc>
        <w:tc>
          <w:tcPr>
            <w:tcW w:w="0" w:type="auto"/>
            <w:vAlign w:val="center"/>
            <w:hideMark/>
          </w:tcPr>
          <w:p w14:paraId="636E7DED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Baseline sample should precede androgen deprivation and treatment intensification</w:t>
            </w:r>
          </w:p>
        </w:tc>
        <w:tc>
          <w:tcPr>
            <w:tcW w:w="0" w:type="auto"/>
            <w:vAlign w:val="center"/>
            <w:hideMark/>
          </w:tcPr>
          <w:p w14:paraId="20E1CD75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Candidate baseline and longitudinal marker of transition toward castration resistance</w:t>
            </w:r>
          </w:p>
        </w:tc>
        <w:tc>
          <w:tcPr>
            <w:tcW w:w="0" w:type="auto"/>
            <w:vAlign w:val="center"/>
            <w:hideMark/>
          </w:tcPr>
          <w:p w14:paraId="1193CB9C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Paired pretreatment and progression samples; tissue and liquid-biopsy comparison</w:t>
            </w:r>
          </w:p>
        </w:tc>
        <w:tc>
          <w:tcPr>
            <w:tcW w:w="0" w:type="auto"/>
            <w:vAlign w:val="center"/>
            <w:hideMark/>
          </w:tcPr>
          <w:p w14:paraId="6DF6EBCC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PMIDs: 38177459, 37164128</w:t>
            </w:r>
          </w:p>
        </w:tc>
      </w:tr>
      <w:tr w:rsidR="00D91239" w:rsidRPr="00D91239" w14:paraId="251BB2F7" w14:textId="77777777" w:rsidTr="0056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65B79D0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b w:val="0"/>
                <w:bCs w:val="0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  <w:lang w:bidi="fa-IR"/>
              </w:rPr>
              <w:t>AR-driven metastatic castration-resistant prostate cancer</w:t>
            </w:r>
          </w:p>
        </w:tc>
        <w:tc>
          <w:tcPr>
            <w:tcW w:w="0" w:type="auto"/>
            <w:vAlign w:val="center"/>
            <w:hideMark/>
          </w:tcPr>
          <w:p w14:paraId="5E5CFDEC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AR amplification or mutation, full-length AR, AR-V7, glucocorticoid receptor and AR transcriptional output</w:t>
            </w:r>
          </w:p>
        </w:tc>
        <w:tc>
          <w:tcPr>
            <w:tcW w:w="0" w:type="auto"/>
            <w:vAlign w:val="center"/>
            <w:hideMark/>
          </w:tcPr>
          <w:p w14:paraId="30862D03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Prior androgen deprivation and androgen-receptor pathway inhibitors strongly affect molecular state</w:t>
            </w:r>
          </w:p>
        </w:tc>
        <w:tc>
          <w:tcPr>
            <w:tcW w:w="0" w:type="auto"/>
            <w:vAlign w:val="center"/>
            <w:hideMark/>
          </w:tcPr>
          <w:p w14:paraId="2679A39C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Exploratory treatment-specific biomarker to be evaluated alongside established AR-resistance markers</w:t>
            </w:r>
          </w:p>
        </w:tc>
        <w:tc>
          <w:tcPr>
            <w:tcW w:w="0" w:type="auto"/>
            <w:vAlign w:val="center"/>
            <w:hideMark/>
          </w:tcPr>
          <w:p w14:paraId="23865125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Treatment-by-CCAT2 interaction analysis and CCAT2 perturbation during abiraterone or enzalutamide exposure</w:t>
            </w:r>
          </w:p>
        </w:tc>
        <w:tc>
          <w:tcPr>
            <w:tcW w:w="0" w:type="auto"/>
            <w:vAlign w:val="center"/>
            <w:hideMark/>
          </w:tcPr>
          <w:p w14:paraId="72E3B821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PMIDs: 25184630, 26000489, 31061129</w:t>
            </w:r>
          </w:p>
        </w:tc>
      </w:tr>
      <w:tr w:rsidR="00D91239" w:rsidRPr="00D91239" w14:paraId="00363C6C" w14:textId="77777777" w:rsidTr="00567B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AD73A4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b w:val="0"/>
                <w:bCs w:val="0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  <w:lang w:bidi="fa-IR"/>
              </w:rPr>
              <w:t xml:space="preserve">HRR-deficient or other </w:t>
            </w:r>
            <w:proofErr w:type="spellStart"/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  <w:lang w:bidi="fa-IR"/>
              </w:rPr>
              <w:t>genomically</w:t>
            </w:r>
            <w:proofErr w:type="spellEnd"/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  <w:lang w:bidi="fa-IR"/>
              </w:rPr>
              <w:t xml:space="preserve"> actionable mCRPC</w:t>
            </w:r>
          </w:p>
        </w:tc>
        <w:tc>
          <w:tcPr>
            <w:tcW w:w="0" w:type="auto"/>
            <w:vAlign w:val="center"/>
            <w:hideMark/>
          </w:tcPr>
          <w:p w14:paraId="433A201D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BRCA1/2, ATM and other homologous-recombination-repair alterations; PTEN/PI3K and additional actionable changes</w:t>
            </w:r>
          </w:p>
        </w:tc>
        <w:tc>
          <w:tcPr>
            <w:tcW w:w="0" w:type="auto"/>
            <w:vAlign w:val="center"/>
            <w:hideMark/>
          </w:tcPr>
          <w:p w14:paraId="27EEC198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Previous AR-pathway therapy and chemotherapy influence treatment sequencing</w:t>
            </w:r>
          </w:p>
        </w:tc>
        <w:tc>
          <w:tcPr>
            <w:tcW w:w="0" w:type="auto"/>
            <w:vAlign w:val="center"/>
            <w:hideMark/>
          </w:tcPr>
          <w:p w14:paraId="0D859B85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Complementary biological marker; should not replace validated genomic selection biomarkers</w:t>
            </w:r>
          </w:p>
        </w:tc>
        <w:tc>
          <w:tcPr>
            <w:tcW w:w="0" w:type="auto"/>
            <w:vAlign w:val="center"/>
            <w:hideMark/>
          </w:tcPr>
          <w:p w14:paraId="59ABF2BD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Demonstration of incremental value within genomically defined cohorts</w:t>
            </w:r>
          </w:p>
        </w:tc>
        <w:tc>
          <w:tcPr>
            <w:tcW w:w="0" w:type="auto"/>
            <w:vAlign w:val="center"/>
            <w:hideMark/>
          </w:tcPr>
          <w:p w14:paraId="348C2A0E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PMID: 32343890</w:t>
            </w:r>
          </w:p>
        </w:tc>
      </w:tr>
      <w:tr w:rsidR="00D91239" w:rsidRPr="00D91239" w14:paraId="4EF8C681" w14:textId="77777777" w:rsidTr="0056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BB8ACD6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b w:val="0"/>
                <w:bCs w:val="0"/>
                <w:sz w:val="16"/>
                <w:szCs w:val="16"/>
                <w:lang w:bidi="fa-IR"/>
              </w:rPr>
            </w:pPr>
            <w:proofErr w:type="spellStart"/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  <w:lang w:bidi="fa-IR"/>
              </w:rPr>
              <w:t>Taxane</w:t>
            </w:r>
            <w:proofErr w:type="spellEnd"/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  <w:lang w:bidi="fa-IR"/>
              </w:rPr>
              <w:t xml:space="preserve">-exposed or multidrug-resistant </w:t>
            </w:r>
            <w:proofErr w:type="spellStart"/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  <w:lang w:bidi="fa-IR"/>
              </w:rPr>
              <w:t>mCRPC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CB7106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ABCB1 expression, AR status, stem-like programs, EMT, metastatic-site heterogeneity</w:t>
            </w:r>
          </w:p>
        </w:tc>
        <w:tc>
          <w:tcPr>
            <w:tcW w:w="0" w:type="auto"/>
            <w:vAlign w:val="center"/>
            <w:hideMark/>
          </w:tcPr>
          <w:p w14:paraId="35BBCEE5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 xml:space="preserve">Previous docetaxel, </w:t>
            </w:r>
            <w:proofErr w:type="spellStart"/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cabazitaxel</w:t>
            </w:r>
            <w:proofErr w:type="spellEnd"/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 xml:space="preserve"> and AR-directed treatment may select different resistant clones</w:t>
            </w:r>
          </w:p>
        </w:tc>
        <w:tc>
          <w:tcPr>
            <w:tcW w:w="0" w:type="auto"/>
            <w:vAlign w:val="center"/>
            <w:hideMark/>
          </w:tcPr>
          <w:p w14:paraId="00FCE742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Candidate marker of EMT- or plasticity-associated resistance; direct CCAT2-dependent taxane resistance remains unproven</w:t>
            </w:r>
          </w:p>
        </w:tc>
        <w:tc>
          <w:tcPr>
            <w:tcW w:w="0" w:type="auto"/>
            <w:vAlign w:val="center"/>
            <w:hideMark/>
          </w:tcPr>
          <w:p w14:paraId="01408E12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CCAT2 perturbation during taxane exposure and serial sampling before and after progression</w:t>
            </w:r>
          </w:p>
        </w:tc>
        <w:tc>
          <w:tcPr>
            <w:tcW w:w="0" w:type="auto"/>
            <w:vAlign w:val="center"/>
            <w:hideMark/>
          </w:tcPr>
          <w:p w14:paraId="2496F9C5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PMIDs: 23861346, 31061129, 39992716</w:t>
            </w:r>
          </w:p>
        </w:tc>
      </w:tr>
      <w:tr w:rsidR="00D91239" w:rsidRPr="00D91239" w14:paraId="17F453D5" w14:textId="77777777" w:rsidTr="00567B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8E41C71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b w:val="0"/>
                <w:bCs w:val="0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  <w:lang w:bidi="fa-IR"/>
              </w:rPr>
              <w:t>AR-low, aggressive-variant or treatment-emergent neuroendocrine prostate cancer</w:t>
            </w:r>
          </w:p>
        </w:tc>
        <w:tc>
          <w:tcPr>
            <w:tcW w:w="0" w:type="auto"/>
            <w:vAlign w:val="center"/>
            <w:hideMark/>
          </w:tcPr>
          <w:p w14:paraId="2223E77B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RB1/TP53 loss, SOX2, neuroendocrine markers, reduced AR activity and lineage plasticity</w:t>
            </w:r>
          </w:p>
        </w:tc>
        <w:tc>
          <w:tcPr>
            <w:tcW w:w="0" w:type="auto"/>
            <w:vAlign w:val="center"/>
            <w:hideMark/>
          </w:tcPr>
          <w:p w14:paraId="567417A6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Frequently emerges following intensive AR-pathway suppression</w:t>
            </w:r>
          </w:p>
        </w:tc>
        <w:tc>
          <w:tcPr>
            <w:tcW w:w="0" w:type="auto"/>
            <w:vAlign w:val="center"/>
            <w:hideMark/>
          </w:tcPr>
          <w:p w14:paraId="3EBC1D76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Uncertain; current CCAT2 evidence cannot be extrapolated from adenocarcinoma models</w:t>
            </w:r>
          </w:p>
        </w:tc>
        <w:tc>
          <w:tcPr>
            <w:tcW w:w="0" w:type="auto"/>
            <w:vAlign w:val="center"/>
            <w:hideMark/>
          </w:tcPr>
          <w:p w14:paraId="51C30FC2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Neuroendocrine-specific tissue cohorts, organoids, PDX models and lineage-rescue experiments</w:t>
            </w:r>
          </w:p>
        </w:tc>
        <w:tc>
          <w:tcPr>
            <w:tcW w:w="0" w:type="auto"/>
            <w:vAlign w:val="center"/>
            <w:hideMark/>
          </w:tcPr>
          <w:p w14:paraId="434061CA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PMIDs: 26855148, 29985747, 31061129</w:t>
            </w:r>
          </w:p>
        </w:tc>
      </w:tr>
      <w:tr w:rsidR="00D91239" w:rsidRPr="00D91239" w14:paraId="0E5C17BD" w14:textId="77777777" w:rsidTr="0056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340D6DE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b w:val="0"/>
                <w:bCs w:val="0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  <w:lang w:bidi="fa-IR"/>
              </w:rPr>
              <w:t>Heavily pretreated metastatic disease</w:t>
            </w:r>
          </w:p>
        </w:tc>
        <w:tc>
          <w:tcPr>
            <w:tcW w:w="0" w:type="auto"/>
            <w:vAlign w:val="center"/>
            <w:hideMark/>
          </w:tcPr>
          <w:p w14:paraId="397FB6E0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 xml:space="preserve">Inter- and </w:t>
            </w:r>
            <w:proofErr w:type="spellStart"/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intrapatient</w:t>
            </w:r>
            <w:proofErr w:type="spellEnd"/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 xml:space="preserve"> clonal heterogeneity, metastatic site, tumor fraction and current lineage state</w:t>
            </w:r>
          </w:p>
        </w:tc>
        <w:tc>
          <w:tcPr>
            <w:tcW w:w="0" w:type="auto"/>
            <w:vAlign w:val="center"/>
            <w:hideMark/>
          </w:tcPr>
          <w:p w14:paraId="73977A00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Sequential therapies dynamically restructure tumor populations</w:t>
            </w:r>
          </w:p>
        </w:tc>
        <w:tc>
          <w:tcPr>
            <w:tcW w:w="0" w:type="auto"/>
            <w:vAlign w:val="center"/>
            <w:hideMark/>
          </w:tcPr>
          <w:p w14:paraId="15304EE9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Longitudinal rather than single-time-point exploratory biomarker</w:t>
            </w:r>
          </w:p>
        </w:tc>
        <w:tc>
          <w:tcPr>
            <w:tcW w:w="0" w:type="auto"/>
            <w:vAlign w:val="center"/>
            <w:hideMark/>
          </w:tcPr>
          <w:p w14:paraId="794FEC53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Serial ctDNA, circulating RNA or metastatic biopsies at baseline, response and progression</w:t>
            </w:r>
          </w:p>
        </w:tc>
        <w:tc>
          <w:tcPr>
            <w:tcW w:w="0" w:type="auto"/>
            <w:vAlign w:val="center"/>
            <w:hideMark/>
          </w:tcPr>
          <w:p w14:paraId="0A2A2863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PMIDs: 35859180, 39992716</w:t>
            </w:r>
          </w:p>
        </w:tc>
      </w:tr>
    </w:tbl>
    <w:p w14:paraId="7E0762DB" w14:textId="77777777" w:rsidR="004219A3" w:rsidRPr="00D91239" w:rsidRDefault="004219A3" w:rsidP="004219A3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7C686A69" w14:textId="77777777" w:rsidR="004219A3" w:rsidRPr="00D91239" w:rsidRDefault="004219A3" w:rsidP="004219A3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</w:p>
    <w:p w14:paraId="4CC72BEA" w14:textId="77777777" w:rsidR="004219A3" w:rsidRPr="00D91239" w:rsidRDefault="004219A3" w:rsidP="004219A3">
      <w:pPr>
        <w:rPr>
          <w:rFonts w:asciiTheme="majorBidi" w:hAnsiTheme="majorBidi" w:cstheme="majorBidi"/>
        </w:rPr>
      </w:pPr>
    </w:p>
    <w:p w14:paraId="0FEC8DE5" w14:textId="77777777" w:rsidR="004219A3" w:rsidRPr="00D91239" w:rsidRDefault="004219A3" w:rsidP="004219A3">
      <w:pPr>
        <w:rPr>
          <w:rFonts w:asciiTheme="majorBidi" w:hAnsiTheme="majorBidi" w:cstheme="majorBidi"/>
          <w:b/>
          <w:bCs/>
        </w:rPr>
      </w:pPr>
    </w:p>
    <w:p w14:paraId="010C5486" w14:textId="77777777" w:rsidR="004219A3" w:rsidRPr="00D91239" w:rsidRDefault="004219A3" w:rsidP="004219A3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D91239">
        <w:rPr>
          <w:rFonts w:asciiTheme="majorBidi" w:hAnsiTheme="majorBidi" w:cstheme="majorBidi"/>
          <w:b/>
          <w:bCs/>
          <w:sz w:val="24"/>
          <w:szCs w:val="24"/>
          <w:lang w:bidi="fa-IR"/>
        </w:rPr>
        <w:t>Supplementary Table S5. Evidence-level comparison of in vitro, ex vivo, in vivo, and clinical models relevant to CCAT2 validation in prostate cancer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687"/>
        <w:gridCol w:w="2705"/>
        <w:gridCol w:w="2600"/>
        <w:gridCol w:w="2310"/>
        <w:gridCol w:w="2420"/>
        <w:gridCol w:w="1238"/>
      </w:tblGrid>
      <w:tr w:rsidR="00D91239" w:rsidRPr="00D91239" w14:paraId="59DF5ED7" w14:textId="77777777" w:rsidTr="00567B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1135359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Experimental model</w:t>
            </w:r>
          </w:p>
        </w:tc>
        <w:tc>
          <w:tcPr>
            <w:tcW w:w="0" w:type="auto"/>
            <w:vAlign w:val="center"/>
            <w:hideMark/>
          </w:tcPr>
          <w:p w14:paraId="6D715FC9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Principal strengths</w:t>
            </w:r>
          </w:p>
        </w:tc>
        <w:tc>
          <w:tcPr>
            <w:tcW w:w="0" w:type="auto"/>
            <w:vAlign w:val="center"/>
            <w:hideMark/>
          </w:tcPr>
          <w:p w14:paraId="3174A140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Major limitations</w:t>
            </w:r>
          </w:p>
        </w:tc>
        <w:tc>
          <w:tcPr>
            <w:tcW w:w="0" w:type="auto"/>
            <w:vAlign w:val="center"/>
            <w:hideMark/>
          </w:tcPr>
          <w:p w14:paraId="625AD835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Current position of CCAT2 evidence</w:t>
            </w:r>
          </w:p>
        </w:tc>
        <w:tc>
          <w:tcPr>
            <w:tcW w:w="0" w:type="auto"/>
            <w:vAlign w:val="center"/>
            <w:hideMark/>
          </w:tcPr>
          <w:p w14:paraId="52255FCA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Recommended role in CCAT2 validation</w:t>
            </w:r>
          </w:p>
        </w:tc>
        <w:tc>
          <w:tcPr>
            <w:tcW w:w="0" w:type="auto"/>
            <w:vAlign w:val="center"/>
            <w:hideMark/>
          </w:tcPr>
          <w:p w14:paraId="7ED8AFDB" w14:textId="77777777" w:rsidR="004219A3" w:rsidRPr="00D91239" w:rsidRDefault="004219A3" w:rsidP="00567B1A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Reference, PMID</w:t>
            </w:r>
          </w:p>
        </w:tc>
      </w:tr>
      <w:tr w:rsidR="00D91239" w:rsidRPr="00D91239" w14:paraId="1C05417B" w14:textId="77777777" w:rsidTr="0056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94648BA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Established two-dimensional prostate cancer cell lines</w:t>
            </w:r>
          </w:p>
        </w:tc>
        <w:tc>
          <w:tcPr>
            <w:tcW w:w="0" w:type="auto"/>
            <w:vAlign w:val="center"/>
            <w:hideMark/>
          </w:tcPr>
          <w:p w14:paraId="4860F39E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Reproducible, inexpensive, genetically tractable, and suitable for mechanistic and rescue experiments</w:t>
            </w:r>
          </w:p>
        </w:tc>
        <w:tc>
          <w:tcPr>
            <w:tcW w:w="0" w:type="auto"/>
            <w:vAlign w:val="center"/>
            <w:hideMark/>
          </w:tcPr>
          <w:p w14:paraId="4A6ECB64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Limited molecular diversity; adaptation to two-dimensional culture; absence of native extracellular matrix, stroma, vasculature, and immune cells</w:t>
            </w:r>
          </w:p>
        </w:tc>
        <w:tc>
          <w:tcPr>
            <w:tcW w:w="0" w:type="auto"/>
            <w:vAlign w:val="center"/>
            <w:hideMark/>
          </w:tcPr>
          <w:p w14:paraId="177D90C0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Direct CCAT2 knockdown and upstream VIRMA/m6A regulation have been evaluated in DU145, 22Rv1, and PC-3 cells</w:t>
            </w:r>
          </w:p>
        </w:tc>
        <w:tc>
          <w:tcPr>
            <w:tcW w:w="0" w:type="auto"/>
            <w:vAlign w:val="center"/>
            <w:hideMark/>
          </w:tcPr>
          <w:p w14:paraId="4726CBEC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Initial mechanism discovery, multi-line replication, pathway rescue, and preliminary drug-response testing</w:t>
            </w:r>
          </w:p>
        </w:tc>
        <w:tc>
          <w:tcPr>
            <w:tcW w:w="0" w:type="auto"/>
            <w:vAlign w:val="center"/>
            <w:hideMark/>
          </w:tcPr>
          <w:p w14:paraId="366A0316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PMIDs: 27558961, 32218194, 30669516</w:t>
            </w:r>
          </w:p>
        </w:tc>
      </w:tr>
      <w:tr w:rsidR="00D91239" w:rsidRPr="00D91239" w14:paraId="00086785" w14:textId="77777777" w:rsidTr="00567B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0ADC109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Retrospective patient-tissue cohorts</w:t>
            </w:r>
          </w:p>
        </w:tc>
        <w:tc>
          <w:tcPr>
            <w:tcW w:w="0" w:type="auto"/>
            <w:vAlign w:val="center"/>
            <w:hideMark/>
          </w:tcPr>
          <w:p w14:paraId="74D33655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Direct clinical material; permits analysis of expression, stage, metastasis, and survival associations</w:t>
            </w:r>
          </w:p>
        </w:tc>
        <w:tc>
          <w:tcPr>
            <w:tcW w:w="0" w:type="auto"/>
            <w:vAlign w:val="center"/>
            <w:hideMark/>
          </w:tcPr>
          <w:p w14:paraId="65D84054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Primarily associative; variable pre-analytical handling; bulk-tissue confounding; limited control of treatment and subtype heterogeneity</w:t>
            </w:r>
          </w:p>
        </w:tc>
        <w:tc>
          <w:tcPr>
            <w:tcW w:w="0" w:type="auto"/>
            <w:vAlign w:val="center"/>
            <w:hideMark/>
          </w:tcPr>
          <w:p w14:paraId="3428D49F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CCAT2 overexpression and adverse clinical associations have been reported, but prospective predictive validation is lacking</w:t>
            </w:r>
          </w:p>
        </w:tc>
        <w:tc>
          <w:tcPr>
            <w:tcW w:w="0" w:type="auto"/>
            <w:vAlign w:val="center"/>
            <w:hideMark/>
          </w:tcPr>
          <w:p w14:paraId="1D71A624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Independent cohort validation, spatial localization, and association with disease stage and treatment response</w:t>
            </w:r>
          </w:p>
        </w:tc>
        <w:tc>
          <w:tcPr>
            <w:tcW w:w="0" w:type="auto"/>
            <w:vAlign w:val="center"/>
            <w:hideMark/>
          </w:tcPr>
          <w:p w14:paraId="2BFF6668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PMIDs: 27558961, 32218194</w:t>
            </w:r>
          </w:p>
        </w:tc>
      </w:tr>
      <w:tr w:rsidR="00D91239" w:rsidRPr="00D91239" w14:paraId="772F654A" w14:textId="77777777" w:rsidTr="0056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D781495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Patient-derived organoids and ex vivo cultures</w:t>
            </w:r>
          </w:p>
        </w:tc>
        <w:tc>
          <w:tcPr>
            <w:tcW w:w="0" w:type="auto"/>
            <w:vAlign w:val="center"/>
            <w:hideMark/>
          </w:tcPr>
          <w:p w14:paraId="62BA8BF8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Retain patient-specific lineage and molecular characteristics; permit functional perturbation and drug screening</w:t>
            </w:r>
          </w:p>
        </w:tc>
        <w:tc>
          <w:tcPr>
            <w:tcW w:w="0" w:type="auto"/>
            <w:vAlign w:val="center"/>
            <w:hideMark/>
          </w:tcPr>
          <w:p w14:paraId="29988987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Variable establishment efficiency; culture-selection bias; incomplete stromal, vascular, and immune representation</w:t>
            </w:r>
          </w:p>
        </w:tc>
        <w:tc>
          <w:tcPr>
            <w:tcW w:w="0" w:type="auto"/>
            <w:vAlign w:val="center"/>
            <w:hideMark/>
          </w:tcPr>
          <w:p w14:paraId="5BE0D11D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No direct prostate cancer-specific CCAT2 organoid validation has yet been established in the evidence evaluated in this review</w:t>
            </w:r>
          </w:p>
        </w:tc>
        <w:tc>
          <w:tcPr>
            <w:tcW w:w="0" w:type="auto"/>
            <w:vAlign w:val="center"/>
            <w:hideMark/>
          </w:tcPr>
          <w:p w14:paraId="5AC333E7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Patient-level replication of CCAT2 dependency, drug testing, and stromal or immune-cell co-culture</w:t>
            </w:r>
          </w:p>
        </w:tc>
        <w:tc>
          <w:tcPr>
            <w:tcW w:w="0" w:type="auto"/>
            <w:vAlign w:val="center"/>
            <w:hideMark/>
          </w:tcPr>
          <w:p w14:paraId="0DAB141D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PMIDs: 29921838, 29748182, 30669516</w:t>
            </w:r>
          </w:p>
        </w:tc>
      </w:tr>
      <w:tr w:rsidR="00D91239" w:rsidRPr="00D91239" w14:paraId="1725EDF1" w14:textId="77777777" w:rsidTr="00567B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04DB008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 xml:space="preserve">Cell-line-derived xenografts and </w:t>
            </w:r>
            <w:proofErr w:type="spellStart"/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orthotopic</w:t>
            </w:r>
            <w:proofErr w:type="spellEnd"/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 xml:space="preserve"> xenografts</w:t>
            </w:r>
          </w:p>
        </w:tc>
        <w:tc>
          <w:tcPr>
            <w:tcW w:w="0" w:type="auto"/>
            <w:vAlign w:val="center"/>
            <w:hideMark/>
          </w:tcPr>
          <w:p w14:paraId="6F670F53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Permit evaluation of tumor growth, invasion, metastasis, pharmacokinetics, and RNA-delivery systems</w:t>
            </w:r>
          </w:p>
        </w:tc>
        <w:tc>
          <w:tcPr>
            <w:tcW w:w="0" w:type="auto"/>
            <w:vAlign w:val="center"/>
            <w:hideMark/>
          </w:tcPr>
          <w:p w14:paraId="5FC3DD0F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Usually require immunodeficient hosts; limited patient heterogeneity; cell-line adaptation remains present</w:t>
            </w:r>
          </w:p>
        </w:tc>
        <w:tc>
          <w:tcPr>
            <w:tcW w:w="0" w:type="auto"/>
            <w:vAlign w:val="center"/>
            <w:hideMark/>
          </w:tcPr>
          <w:p w14:paraId="780476AA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No direct CCAT2-targeted prostate cancer xenograft validation has been established in the included studies</w:t>
            </w:r>
          </w:p>
        </w:tc>
        <w:tc>
          <w:tcPr>
            <w:tcW w:w="0" w:type="auto"/>
            <w:vAlign w:val="center"/>
            <w:hideMark/>
          </w:tcPr>
          <w:p w14:paraId="5E495F60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Initial in vivo efficacy, delivery, dose–response, biodistribution, and toxicity assessment</w:t>
            </w:r>
          </w:p>
        </w:tc>
        <w:tc>
          <w:tcPr>
            <w:tcW w:w="0" w:type="auto"/>
            <w:vAlign w:val="center"/>
            <w:hideMark/>
          </w:tcPr>
          <w:p w14:paraId="3FDCDD63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PMIDs: 30669516, 36358740</w:t>
            </w:r>
          </w:p>
        </w:tc>
      </w:tr>
      <w:tr w:rsidR="00D91239" w:rsidRPr="00D91239" w14:paraId="58F43674" w14:textId="77777777" w:rsidTr="0056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525FB43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Patient-derived xenografts</w:t>
            </w:r>
          </w:p>
        </w:tc>
        <w:tc>
          <w:tcPr>
            <w:tcW w:w="0" w:type="auto"/>
            <w:vAlign w:val="center"/>
            <w:hideMark/>
          </w:tcPr>
          <w:p w14:paraId="3D250278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Preserve tumor histology, molecular heterogeneity, lineage states, and treatment-response characteristics more effectively than conventional cell lines</w:t>
            </w:r>
          </w:p>
        </w:tc>
        <w:tc>
          <w:tcPr>
            <w:tcW w:w="0" w:type="auto"/>
            <w:vAlign w:val="center"/>
            <w:hideMark/>
          </w:tcPr>
          <w:p w14:paraId="4FDC9A39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Engraftment bias; high cost and long establishment time; murine stromal replacement; immunodeficient host; difficult genetic manipulation</w:t>
            </w:r>
          </w:p>
        </w:tc>
        <w:tc>
          <w:tcPr>
            <w:tcW w:w="0" w:type="auto"/>
            <w:vAlign w:val="center"/>
            <w:hideMark/>
          </w:tcPr>
          <w:p w14:paraId="5D15545F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No prostate cancer-specific CCAT2 PDX perturbation study has been identified among the evidence included in this review</w:t>
            </w:r>
          </w:p>
        </w:tc>
        <w:tc>
          <w:tcPr>
            <w:tcW w:w="0" w:type="auto"/>
            <w:vAlign w:val="center"/>
            <w:hideMark/>
          </w:tcPr>
          <w:p w14:paraId="1652AE49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Confirmation in clinically representative tumors and evaluation of castration or treatment resistance</w:t>
            </w:r>
          </w:p>
        </w:tc>
        <w:tc>
          <w:tcPr>
            <w:tcW w:w="0" w:type="auto"/>
            <w:vAlign w:val="center"/>
            <w:hideMark/>
          </w:tcPr>
          <w:p w14:paraId="7CF4DDF7" w14:textId="77777777" w:rsidR="004219A3" w:rsidRPr="00D91239" w:rsidRDefault="004219A3" w:rsidP="00567B1A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PMIDs: 29748182, 30669516, 36358740</w:t>
            </w:r>
          </w:p>
        </w:tc>
      </w:tr>
      <w:tr w:rsidR="00D91239" w:rsidRPr="00D91239" w14:paraId="4CEE593C" w14:textId="77777777" w:rsidTr="00567B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BD9E55F" w14:textId="77777777" w:rsidR="004219A3" w:rsidRPr="00D91239" w:rsidRDefault="004219A3" w:rsidP="00567B1A">
            <w:pPr>
              <w:spacing w:after="160" w:line="360" w:lineRule="auto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Genetically engineered, syngeneic, or humanized animal models</w:t>
            </w:r>
          </w:p>
        </w:tc>
        <w:tc>
          <w:tcPr>
            <w:tcW w:w="0" w:type="auto"/>
            <w:vAlign w:val="center"/>
            <w:hideMark/>
          </w:tcPr>
          <w:p w14:paraId="61413032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Native tumor development and, depending on the model, an intact or partially reconstructed immune environment</w:t>
            </w:r>
          </w:p>
        </w:tc>
        <w:tc>
          <w:tcPr>
            <w:tcW w:w="0" w:type="auto"/>
            <w:vAlign w:val="center"/>
            <w:hideMark/>
          </w:tcPr>
          <w:p w14:paraId="1CE2E155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Species-specific biology; restricted genetic complexity; uncertain conservation of human lncRNA sequence and interactions</w:t>
            </w:r>
          </w:p>
        </w:tc>
        <w:tc>
          <w:tcPr>
            <w:tcW w:w="0" w:type="auto"/>
            <w:vAlign w:val="center"/>
            <w:hideMark/>
          </w:tcPr>
          <w:p w14:paraId="46EB3453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CCAT2-specific relevance remains unvalidated</w:t>
            </w:r>
          </w:p>
        </w:tc>
        <w:tc>
          <w:tcPr>
            <w:tcW w:w="0" w:type="auto"/>
            <w:vAlign w:val="center"/>
            <w:hideMark/>
          </w:tcPr>
          <w:p w14:paraId="484321B4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Evaluation of immune effects, tumor–stroma interactions, lineage progression, and systemic toxicity after confirming model relevance</w:t>
            </w:r>
          </w:p>
        </w:tc>
        <w:tc>
          <w:tcPr>
            <w:tcW w:w="0" w:type="auto"/>
            <w:vAlign w:val="center"/>
            <w:hideMark/>
          </w:tcPr>
          <w:p w14:paraId="5270D027" w14:textId="77777777" w:rsidR="004219A3" w:rsidRPr="00D91239" w:rsidRDefault="004219A3" w:rsidP="00567B1A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D91239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PMID: 36358740</w:t>
            </w:r>
          </w:p>
        </w:tc>
      </w:tr>
    </w:tbl>
    <w:p w14:paraId="6EE2304E" w14:textId="77777777" w:rsidR="004219A3" w:rsidRPr="00D91239" w:rsidRDefault="004219A3" w:rsidP="004219A3">
      <w:pPr>
        <w:spacing w:line="360" w:lineRule="auto"/>
        <w:jc w:val="both"/>
        <w:rPr>
          <w:rFonts w:asciiTheme="majorBidi" w:hAnsiTheme="majorBidi" w:cstheme="majorBidi"/>
          <w:sz w:val="16"/>
          <w:szCs w:val="16"/>
          <w:lang w:bidi="fa-IR"/>
        </w:rPr>
      </w:pPr>
    </w:p>
    <w:p w14:paraId="7664148C" w14:textId="77777777" w:rsidR="004219A3" w:rsidRPr="00D91239" w:rsidRDefault="004219A3" w:rsidP="004219A3">
      <w:pPr>
        <w:rPr>
          <w:rFonts w:asciiTheme="majorBidi" w:hAnsiTheme="majorBidi" w:cstheme="majorBidi"/>
        </w:rPr>
      </w:pPr>
    </w:p>
    <w:p w14:paraId="735AA115" w14:textId="77777777" w:rsidR="00FB7DC6" w:rsidRPr="00D91239" w:rsidRDefault="00FB7DC6"/>
    <w:sectPr w:rsidR="00FB7DC6" w:rsidRPr="00D91239" w:rsidSect="00D9123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0B4"/>
    <w:rsid w:val="000558A3"/>
    <w:rsid w:val="001D6135"/>
    <w:rsid w:val="004219A3"/>
    <w:rsid w:val="00A01520"/>
    <w:rsid w:val="00AE561C"/>
    <w:rsid w:val="00D91239"/>
    <w:rsid w:val="00E170B4"/>
    <w:rsid w:val="00FB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472F10-B3CB-4963-B336-823A6F967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9A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70B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0B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0B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0B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70B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70B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70B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70B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70B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70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70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70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70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70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70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70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70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70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70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17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70B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170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70B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170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70B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170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0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0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70B4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4219A3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2949</Words>
  <Characters>16814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Ghorbani</dc:creator>
  <cp:keywords/>
  <dc:description/>
  <cp:lastModifiedBy>Mohana Priya Krishnamoorthi</cp:lastModifiedBy>
  <cp:revision>3</cp:revision>
  <dcterms:created xsi:type="dcterms:W3CDTF">2026-09-29T03:12:00Z</dcterms:created>
  <dcterms:modified xsi:type="dcterms:W3CDTF">2026-09-29T03:12:00Z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b39a773f-af73-492f-b7ff-d2d1a9801105</vt:lpwstr>
  </property>
</Properties>
</file>