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158" w:rsidRDefault="00080158" w:rsidP="00080158">
      <w:pPr>
        <w:spacing w:after="80" w:line="480" w:lineRule="auto"/>
      </w:pPr>
      <w:r>
        <w:rPr>
          <w:b/>
          <w:bCs/>
        </w:rPr>
        <w:t xml:space="preserve">Supplementary Fig. S1 </w:t>
      </w:r>
      <w:r>
        <w:t>Proportional hazards assumption evaluation. (A) Log-minus-log plots. Non-parallel curves confirm time-varying hazard ratios (</w:t>
      </w:r>
      <w:proofErr w:type="spellStart"/>
      <w:r>
        <w:t>Schoenfeld</w:t>
      </w:r>
      <w:proofErr w:type="spellEnd"/>
      <w:r>
        <w:t xml:space="preserve"> residual tests: all p&lt;0.05); Cox HRs are time-averaged estimates. (B–C) Landmark Kaplan-Meier BCSS curves for PMC vs. IDC confirming persistence of PMC's advantage across follow-up periods.</w:t>
      </w:r>
    </w:p>
    <w:p w:rsidR="00080158" w:rsidRDefault="00080158" w:rsidP="00080158">
      <w:pPr>
        <w:spacing w:before="80" w:after="80"/>
        <w:jc w:val="center"/>
      </w:pPr>
      <w:r>
        <w:rPr>
          <w:noProof/>
          <w:lang w:eastAsia="en-IN"/>
        </w:rPr>
        <w:drawing>
          <wp:inline distT="0" distB="0" distL="0" distR="0" wp14:anchorId="00F6A2A2" wp14:editId="10C9C7F8">
            <wp:extent cx="5334000" cy="4000500"/>
            <wp:effectExtent l="0" t="0" r="0" b="0"/>
            <wp:docPr id="80186590" name="Resim 80186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58" w:rsidRDefault="00080158" w:rsidP="00080158">
      <w:pPr>
        <w:spacing w:before="200" w:after="80" w:line="480" w:lineRule="auto"/>
      </w:pPr>
      <w:r>
        <w:rPr>
          <w:b/>
          <w:bCs/>
        </w:rPr>
        <w:t>Supplementary Methods: Full statistical analysis details</w:t>
      </w:r>
    </w:p>
    <w:p w:rsidR="00080158" w:rsidRDefault="00080158" w:rsidP="00080158">
      <w:pPr>
        <w:spacing w:line="480" w:lineRule="auto"/>
        <w:jc w:val="both"/>
      </w:pPr>
      <w:r>
        <w:t xml:space="preserve">IDC random sampling: A random sample of 30,000 IDC patients (seed=42) was used with penalized Cox regression (λ=0.10) due to computational constraints of the lifelines library with the full 822,563-patient cohort. Sampling stability was confirmed across 50 independent replications (seeds 0–49; HR mean=0.790, SD=0.010, range 0.774–0.823). An </w:t>
      </w:r>
      <w:proofErr w:type="spellStart"/>
      <w:r>
        <w:t>unpenalized</w:t>
      </w:r>
      <w:proofErr w:type="spellEnd"/>
      <w:r>
        <w:t xml:space="preserve"> Cox model fitted to the full IDC cohort (stage-complete n=397,490) yielded HR=0.634 (95% CI 0.592–0.679, p&lt;0.001); the difference from the primary model HR (0.792) reflects distinct covariate compositions of the stage-complete subsets in each analysis. Both estimates consistently demonstrate an independent association between PMC and superior BCSS.</w:t>
      </w:r>
    </w:p>
    <w:p w:rsidR="00080158" w:rsidRDefault="00080158" w:rsidP="00080158">
      <w:pPr>
        <w:spacing w:line="480" w:lineRule="auto"/>
      </w:pPr>
    </w:p>
    <w:p w:rsidR="00080158" w:rsidRDefault="00080158" w:rsidP="00080158">
      <w:pPr>
        <w:spacing w:line="480" w:lineRule="auto"/>
        <w:jc w:val="both"/>
      </w:pPr>
      <w:r>
        <w:t xml:space="preserve">Proportional hazards assessment: </w:t>
      </w:r>
      <w:proofErr w:type="spellStart"/>
      <w:r>
        <w:t>Schoenfeld</w:t>
      </w:r>
      <w:proofErr w:type="spellEnd"/>
      <w:r>
        <w:t xml:space="preserve"> residuals (</w:t>
      </w:r>
      <w:proofErr w:type="spellStart"/>
      <w:r>
        <w:t>cox.zph</w:t>
      </w:r>
      <w:proofErr w:type="spellEnd"/>
      <w:r>
        <w:t xml:space="preserve">, </w:t>
      </w:r>
      <w:proofErr w:type="spellStart"/>
      <w:r>
        <w:t>R</w:t>
      </w:r>
      <w:proofErr w:type="spellEnd"/>
      <w:r>
        <w:t xml:space="preserve"> v4.6) indicated statistical evidence of non-proportional hazards for all covariates (all p&lt;0.05). Cox HRs are interpreted as time-averaged hazard ratios across the full follow-up period. Landmark Cox analyses were performed at 60-month and 120-month landmarks to quantify time-period-specific effects. Log-minus-log plots are provided in Supplementary Fig. S1.</w:t>
      </w:r>
    </w:p>
    <w:p w:rsidR="003B24B4" w:rsidRDefault="00080158">
      <w:bookmarkStart w:id="0" w:name="_GoBack"/>
      <w:bookmarkEnd w:id="0"/>
    </w:p>
    <w:sectPr w:rsidR="003B24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58"/>
    <w:rsid w:val="00003DE4"/>
    <w:rsid w:val="000231AC"/>
    <w:rsid w:val="00080158"/>
    <w:rsid w:val="000F1308"/>
    <w:rsid w:val="00147490"/>
    <w:rsid w:val="001A7FD1"/>
    <w:rsid w:val="00220109"/>
    <w:rsid w:val="00223D2F"/>
    <w:rsid w:val="0027195C"/>
    <w:rsid w:val="00331CE9"/>
    <w:rsid w:val="003710C5"/>
    <w:rsid w:val="00397BBD"/>
    <w:rsid w:val="003C47F9"/>
    <w:rsid w:val="00491960"/>
    <w:rsid w:val="004C58D0"/>
    <w:rsid w:val="004E062F"/>
    <w:rsid w:val="00581B1A"/>
    <w:rsid w:val="005B09F7"/>
    <w:rsid w:val="006009D3"/>
    <w:rsid w:val="00635C94"/>
    <w:rsid w:val="006C1544"/>
    <w:rsid w:val="006C720B"/>
    <w:rsid w:val="00752ADE"/>
    <w:rsid w:val="00757A96"/>
    <w:rsid w:val="007D4A60"/>
    <w:rsid w:val="008F0F87"/>
    <w:rsid w:val="00914388"/>
    <w:rsid w:val="00917C19"/>
    <w:rsid w:val="009210F3"/>
    <w:rsid w:val="0099086D"/>
    <w:rsid w:val="00994A01"/>
    <w:rsid w:val="009C4391"/>
    <w:rsid w:val="00A05D88"/>
    <w:rsid w:val="00A814BC"/>
    <w:rsid w:val="00A83F08"/>
    <w:rsid w:val="00A842E0"/>
    <w:rsid w:val="00AA3F20"/>
    <w:rsid w:val="00B47DFA"/>
    <w:rsid w:val="00BB3B85"/>
    <w:rsid w:val="00C4496C"/>
    <w:rsid w:val="00C620AF"/>
    <w:rsid w:val="00DD5267"/>
    <w:rsid w:val="00E10532"/>
    <w:rsid w:val="00E16BA1"/>
    <w:rsid w:val="00E33EAE"/>
    <w:rsid w:val="00E856EF"/>
    <w:rsid w:val="00EF64F7"/>
    <w:rsid w:val="00F11497"/>
    <w:rsid w:val="00F34B47"/>
    <w:rsid w:val="00F97FAE"/>
    <w:rsid w:val="00FD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936E31-4DF8-4343-9796-BC498BFE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 Krishnamoorthi</dc:creator>
  <cp:keywords/>
  <dc:description/>
  <cp:lastModifiedBy>Mohana Priya Krishnamoorthi</cp:lastModifiedBy>
  <cp:revision>1</cp:revision>
  <dcterms:created xsi:type="dcterms:W3CDTF">2026-10-16T01:54:00Z</dcterms:created>
  <dcterms:modified xsi:type="dcterms:W3CDTF">2026-10-16T01:55:00Z</dcterms:modified>
</cp:coreProperties>
</file>