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E4" w:rsidRPr="006E14E4" w:rsidRDefault="006E14E4" w:rsidP="006E14E4">
      <w:pPr>
        <w:rPr>
          <w:rFonts w:cs="Times New Roman"/>
          <w:b/>
          <w:sz w:val="22"/>
        </w:rPr>
      </w:pPr>
      <w:r w:rsidRPr="006E14E4">
        <w:rPr>
          <w:rFonts w:cs="Times New Roman"/>
          <w:b/>
          <w:sz w:val="22"/>
        </w:rPr>
        <w:t>Online Resources</w:t>
      </w:r>
    </w:p>
    <w:p w:rsidR="006E14E4" w:rsidRPr="006E14E4" w:rsidRDefault="006E14E4" w:rsidP="006E14E4">
      <w:pPr>
        <w:rPr>
          <w:rFonts w:cs="Times New Roman"/>
          <w:sz w:val="22"/>
        </w:rPr>
      </w:pPr>
      <w:r w:rsidRPr="006E14E4">
        <w:rPr>
          <w:rFonts w:cs="Times New Roman"/>
          <w:sz w:val="22"/>
        </w:rPr>
        <w:t>Table 1 “Other” diagnostic groups, rates /1,000 births (EUROCAT average data for 2000-09)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1276"/>
        <w:gridCol w:w="992"/>
        <w:gridCol w:w="992"/>
        <w:gridCol w:w="1134"/>
        <w:gridCol w:w="1134"/>
        <w:gridCol w:w="1418"/>
        <w:gridCol w:w="1245"/>
      </w:tblGrid>
      <w:tr w:rsidR="006E14E4" w:rsidRPr="006E14E4" w:rsidTr="006E14E4">
        <w:tc>
          <w:tcPr>
            <w:tcW w:w="2660" w:type="dxa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sz w:val="22"/>
              </w:rPr>
              <w:t>Diagnostic group</w:t>
            </w:r>
          </w:p>
        </w:tc>
        <w:tc>
          <w:tcPr>
            <w:tcW w:w="1134" w:type="dxa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</w:p>
        </w:tc>
        <w:tc>
          <w:tcPr>
            <w:tcW w:w="3118" w:type="dxa"/>
            <w:gridSpan w:val="3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sz w:val="22"/>
              </w:rPr>
              <w:t>Outcome, % of group</w:t>
            </w:r>
          </w:p>
        </w:tc>
        <w:tc>
          <w:tcPr>
            <w:tcW w:w="3797" w:type="dxa"/>
            <w:gridSpan w:val="3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sz w:val="22"/>
              </w:rPr>
              <w:t>Outcomes /1,000 births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Births /1,000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% of total "other"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Live birth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6E14E4">
              <w:rPr>
                <w:rFonts w:cs="Times New Roman"/>
                <w:b/>
                <w:bCs/>
                <w:kern w:val="24"/>
                <w:sz w:val="22"/>
              </w:rPr>
              <w:t>Fetal</w:t>
            </w:r>
            <w:proofErr w:type="spellEnd"/>
            <w:r w:rsidRPr="006E14E4">
              <w:rPr>
                <w:rFonts w:cs="Times New Roman"/>
                <w:b/>
                <w:bCs/>
                <w:kern w:val="24"/>
                <w:sz w:val="22"/>
              </w:rPr>
              <w:t xml:space="preserve"> death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TOPFA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Live birth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6E14E4">
              <w:rPr>
                <w:rFonts w:cs="Times New Roman"/>
                <w:b/>
                <w:bCs/>
                <w:kern w:val="24"/>
                <w:sz w:val="22"/>
              </w:rPr>
              <w:t>Fetal</w:t>
            </w:r>
            <w:proofErr w:type="spellEnd"/>
            <w:r w:rsidRPr="006E14E4">
              <w:rPr>
                <w:rFonts w:cs="Times New Roman"/>
                <w:b/>
                <w:bCs/>
                <w:kern w:val="24"/>
                <w:sz w:val="22"/>
              </w:rPr>
              <w:t xml:space="preserve"> death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6E14E4">
            <w:pPr>
              <w:jc w:val="center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TOPFA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Teratogeni</w:t>
            </w:r>
            <w:r>
              <w:rPr>
                <w:rFonts w:cs="Times New Roman"/>
                <w:b/>
                <w:bCs/>
                <w:kern w:val="24"/>
                <w:sz w:val="22"/>
              </w:rPr>
              <w:t xml:space="preserve">c syndromes with malformations 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0.111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6.8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81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15.6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0.09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0.004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0.017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 xml:space="preserve">Maternal infections resulting in </w:t>
            </w:r>
            <w:r>
              <w:rPr>
                <w:rFonts w:cs="Times New Roman"/>
                <w:b/>
                <w:bCs/>
                <w:kern w:val="24"/>
                <w:sz w:val="22"/>
              </w:rPr>
              <w:t xml:space="preserve">malformations 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0.051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3.1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67.3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5.4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27.6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0.034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0.003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0.014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b/>
                <w:bCs/>
                <w:kern w:val="24"/>
                <w:sz w:val="22"/>
              </w:rPr>
              <w:t>Fetal</w:t>
            </w:r>
            <w:proofErr w:type="spellEnd"/>
            <w:r>
              <w:rPr>
                <w:rFonts w:cs="Times New Roman"/>
                <w:b/>
                <w:bCs/>
                <w:kern w:val="24"/>
                <w:sz w:val="22"/>
              </w:rPr>
              <w:t xml:space="preserve"> alcohol syndrome 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0.037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2.3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97.8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1.6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0.036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0.001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kern w:val="24"/>
                <w:sz w:val="22"/>
              </w:rPr>
              <w:t xml:space="preserve">Valproate syndrome 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0.009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0.5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89.5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9.3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0.008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0.001</w:t>
            </w:r>
          </w:p>
        </w:tc>
      </w:tr>
      <w:tr w:rsidR="006E14E4" w:rsidRPr="006E14E4" w:rsidTr="006E14E4">
        <w:tc>
          <w:tcPr>
            <w:tcW w:w="2660" w:type="dxa"/>
            <w:shd w:val="clear" w:color="auto" w:fill="DBE5F1" w:themeFill="accent1" w:themeFillTint="33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kern w:val="24"/>
                <w:sz w:val="22"/>
              </w:rPr>
              <w:t xml:space="preserve">Total Environmental disorders 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0.208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12.7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81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3.6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15.8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0.168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0.007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0.033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Genetic syndromes &amp; micro-deletions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0.472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28.9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83.5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2.6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14.2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0.394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0.012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0.067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Congenital skin disorders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0.291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17.8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96.2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3.5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0.28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0.002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Sequences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0.202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12.3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61.2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6.3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32.8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0.124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0.013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0.066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 xml:space="preserve">Skeletal </w:t>
            </w:r>
            <w:proofErr w:type="spellStart"/>
            <w:r w:rsidRPr="006E14E4">
              <w:rPr>
                <w:rFonts w:cs="Times New Roman"/>
                <w:b/>
                <w:bCs/>
                <w:kern w:val="24"/>
                <w:sz w:val="22"/>
              </w:rPr>
              <w:t>dysplasias</w:t>
            </w:r>
            <w:proofErr w:type="spellEnd"/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0.173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10.6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51.7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44.6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0.089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0.007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0.077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proofErr w:type="spellStart"/>
            <w:r w:rsidRPr="006E14E4">
              <w:rPr>
                <w:rFonts w:cs="Times New Roman"/>
                <w:b/>
                <w:bCs/>
                <w:kern w:val="24"/>
                <w:sz w:val="22"/>
              </w:rPr>
              <w:t>Craniosynostosis</w:t>
            </w:r>
            <w:proofErr w:type="spellEnd"/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0.165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10.1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97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0.5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2.8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0.16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0.001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0.005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 xml:space="preserve">Situs </w:t>
            </w:r>
            <w:proofErr w:type="spellStart"/>
            <w:r w:rsidRPr="006E14E4">
              <w:rPr>
                <w:rFonts w:cs="Times New Roman"/>
                <w:b/>
                <w:bCs/>
                <w:kern w:val="24"/>
                <w:sz w:val="22"/>
              </w:rPr>
              <w:t>inversus</w:t>
            </w:r>
            <w:proofErr w:type="spellEnd"/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0.062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3.8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79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20.3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0.049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0.013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Congenital constriction bands /amniotic band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0.044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2.7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47.8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13.8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38.8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0.021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0.006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0.017</w:t>
            </w:r>
          </w:p>
        </w:tc>
      </w:tr>
      <w:tr w:rsidR="006E14E4" w:rsidRPr="006E14E4" w:rsidTr="006E14E4">
        <w:tc>
          <w:tcPr>
            <w:tcW w:w="2660" w:type="dxa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Conjoined twins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0.019</w:t>
            </w:r>
          </w:p>
        </w:tc>
        <w:tc>
          <w:tcPr>
            <w:tcW w:w="1276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1.1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17.3</w:t>
            </w:r>
          </w:p>
        </w:tc>
        <w:tc>
          <w:tcPr>
            <w:tcW w:w="992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8.1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73.5</w:t>
            </w:r>
          </w:p>
        </w:tc>
        <w:tc>
          <w:tcPr>
            <w:tcW w:w="1134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0.003</w:t>
            </w:r>
          </w:p>
        </w:tc>
        <w:tc>
          <w:tcPr>
            <w:tcW w:w="1418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0.002</w:t>
            </w:r>
          </w:p>
        </w:tc>
        <w:tc>
          <w:tcPr>
            <w:tcW w:w="1245" w:type="dxa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0.014</w:t>
            </w:r>
          </w:p>
        </w:tc>
      </w:tr>
      <w:tr w:rsidR="006E14E4" w:rsidRPr="006E14E4" w:rsidTr="006E14E4">
        <w:tc>
          <w:tcPr>
            <w:tcW w:w="2660" w:type="dxa"/>
            <w:shd w:val="clear" w:color="auto" w:fill="DBE5F1" w:themeFill="accent1" w:themeFillTint="33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Total other not environmental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1.427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87.3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78.5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18.8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1.12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0.043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0.268</w:t>
            </w:r>
          </w:p>
        </w:tc>
      </w:tr>
      <w:tr w:rsidR="006E14E4" w:rsidRPr="006E14E4" w:rsidTr="006E14E4">
        <w:trPr>
          <w:trHeight w:val="56"/>
        </w:trPr>
        <w:tc>
          <w:tcPr>
            <w:tcW w:w="2660" w:type="dxa"/>
            <w:shd w:val="clear" w:color="auto" w:fill="DBE5F1" w:themeFill="accent1" w:themeFillTint="33"/>
            <w:vAlign w:val="center"/>
          </w:tcPr>
          <w:p w:rsidR="006E14E4" w:rsidRPr="006E14E4" w:rsidRDefault="006E14E4" w:rsidP="006E14E4">
            <w:pPr>
              <w:jc w:val="left"/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b/>
                <w:bCs/>
                <w:kern w:val="24"/>
                <w:sz w:val="22"/>
              </w:rPr>
              <w:t>Total other diagnoses /1,000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1.635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100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78.8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3.1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18.4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1.288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0.051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:rsidR="006E14E4" w:rsidRPr="006E14E4" w:rsidRDefault="006E14E4" w:rsidP="003B6ADA">
            <w:pPr>
              <w:rPr>
                <w:rFonts w:cs="Times New Roman"/>
                <w:sz w:val="22"/>
              </w:rPr>
            </w:pPr>
            <w:r w:rsidRPr="006E14E4">
              <w:rPr>
                <w:rFonts w:cs="Times New Roman"/>
                <w:kern w:val="24"/>
                <w:sz w:val="22"/>
              </w:rPr>
              <w:t>0.301</w:t>
            </w:r>
          </w:p>
        </w:tc>
      </w:tr>
    </w:tbl>
    <w:p w:rsidR="006E14E4" w:rsidRPr="006E14E4" w:rsidRDefault="006E14E4" w:rsidP="006E14E4">
      <w:pPr>
        <w:rPr>
          <w:rFonts w:cs="Times New Roman"/>
          <w:sz w:val="22"/>
        </w:rPr>
      </w:pPr>
    </w:p>
    <w:p w:rsidR="006E14E4" w:rsidRDefault="006E14E4">
      <w:pPr>
        <w:rPr>
          <w:rFonts w:cs="Times New Roman"/>
          <w:sz w:val="22"/>
        </w:rPr>
        <w:sectPr w:rsidR="006E14E4" w:rsidSect="006E14E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6E14E4" w:rsidRDefault="006E14E4" w:rsidP="006E14E4">
      <w:pPr>
        <w:pStyle w:val="Figurelegend"/>
        <w:rPr>
          <w:sz w:val="22"/>
          <w:szCs w:val="22"/>
        </w:rPr>
      </w:pPr>
      <w:r w:rsidRPr="006E14E4">
        <w:rPr>
          <w:sz w:val="22"/>
          <w:szCs w:val="22"/>
          <w:lang w:val="en-US"/>
        </w:rPr>
        <w:lastRenderedPageBreak/>
        <w:t>Figure 1</w:t>
      </w:r>
      <w:r w:rsidRPr="006E14E4">
        <w:rPr>
          <w:sz w:val="22"/>
          <w:szCs w:val="22"/>
        </w:rPr>
        <w:t xml:space="preserve"> Evolution of rates for individuals with total, non-genetic and genetic congenital anomalies /1,000 births by 5-year intervals. Average for all full registries minus Poland. The rise in genetic cases is largely due to increasing proportion of older mothers. Rates for 2000-09 are shown separately, because this is the interval on which EUROCAT average rates are calculated.</w:t>
      </w:r>
    </w:p>
    <w:p w:rsidR="00775B7F" w:rsidRDefault="00775B7F" w:rsidP="006E14E4">
      <w:pPr>
        <w:pStyle w:val="Figurelegend"/>
        <w:rPr>
          <w:sz w:val="22"/>
          <w:szCs w:val="22"/>
        </w:rPr>
      </w:pPr>
    </w:p>
    <w:p w:rsidR="00775B7F" w:rsidRPr="006E14E4" w:rsidRDefault="00775B7F" w:rsidP="006E14E4">
      <w:pPr>
        <w:pStyle w:val="Figurelegend"/>
        <w:rPr>
          <w:sz w:val="22"/>
          <w:szCs w:val="22"/>
        </w:rPr>
      </w:pPr>
      <w:r w:rsidRPr="00854467">
        <w:rPr>
          <w:noProof/>
          <w:lang w:eastAsia="en-GB"/>
        </w:rPr>
        <w:drawing>
          <wp:inline distT="0" distB="0" distL="0" distR="0" wp14:anchorId="3F7D7451" wp14:editId="4AE422EA">
            <wp:extent cx="4143375" cy="195262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75B7F" w:rsidRPr="00775B7F" w:rsidRDefault="00775B7F" w:rsidP="00775B7F">
      <w:pPr>
        <w:rPr>
          <w:sz w:val="22"/>
          <w:lang w:val="en-US"/>
        </w:rPr>
      </w:pPr>
      <w:r w:rsidRPr="00775B7F">
        <w:rPr>
          <w:sz w:val="22"/>
          <w:lang w:val="en-US"/>
        </w:rPr>
        <w:t>Figure 2 Relation of reported rates for total terminations of pregnancy and total fetal deaths. (Ukraine, Malta, Ireland, Poland excluded.)</w:t>
      </w:r>
    </w:p>
    <w:p w:rsidR="00775B7F" w:rsidRDefault="00775B7F">
      <w:pPr>
        <w:rPr>
          <w:rFonts w:cs="Times New Roman"/>
          <w:sz w:val="22"/>
        </w:rPr>
      </w:pPr>
      <w:r w:rsidRPr="00775B7F">
        <w:rPr>
          <w:noProof/>
          <w:sz w:val="22"/>
          <w:lang w:eastAsia="en-GB"/>
        </w:rPr>
        <w:drawing>
          <wp:anchor distT="0" distB="0" distL="114300" distR="114300" simplePos="0" relativeHeight="251659264" behindDoc="1" locked="0" layoutInCell="1" allowOverlap="1" wp14:anchorId="78F3785E" wp14:editId="2F5D9540">
            <wp:simplePos x="0" y="0"/>
            <wp:positionH relativeFrom="column">
              <wp:posOffset>438785</wp:posOffset>
            </wp:positionH>
            <wp:positionV relativeFrom="paragraph">
              <wp:posOffset>95885</wp:posOffset>
            </wp:positionV>
            <wp:extent cx="4536440" cy="3672205"/>
            <wp:effectExtent l="0" t="0" r="0" b="0"/>
            <wp:wrapTight wrapText="bothSides">
              <wp:wrapPolygon edited="0">
                <wp:start x="1905" y="672"/>
                <wp:lineTo x="1905" y="1345"/>
                <wp:lineTo x="8798" y="2689"/>
                <wp:lineTo x="10794" y="2689"/>
                <wp:lineTo x="1905" y="3586"/>
                <wp:lineTo x="1905" y="4146"/>
                <wp:lineTo x="14059" y="4482"/>
                <wp:lineTo x="11701" y="5379"/>
                <wp:lineTo x="11338" y="5603"/>
                <wp:lineTo x="10794" y="6275"/>
                <wp:lineTo x="1270" y="6275"/>
                <wp:lineTo x="181" y="6499"/>
                <wp:lineTo x="272" y="11766"/>
                <wp:lineTo x="5714" y="13446"/>
                <wp:lineTo x="1905" y="14679"/>
                <wp:lineTo x="1996" y="15127"/>
                <wp:lineTo x="8889" y="15239"/>
                <wp:lineTo x="10703" y="17032"/>
                <wp:lineTo x="1905" y="17368"/>
                <wp:lineTo x="1905" y="18713"/>
                <wp:lineTo x="10794" y="18825"/>
                <wp:lineTo x="10522" y="19385"/>
                <wp:lineTo x="10703" y="19833"/>
                <wp:lineTo x="11429" y="20057"/>
                <wp:lineTo x="12336" y="20057"/>
                <wp:lineTo x="13334" y="19833"/>
                <wp:lineTo x="13152" y="19273"/>
                <wp:lineTo x="10794" y="18825"/>
                <wp:lineTo x="20590" y="18713"/>
                <wp:lineTo x="20590" y="18153"/>
                <wp:lineTo x="10794" y="17032"/>
                <wp:lineTo x="11247" y="16136"/>
                <wp:lineTo x="10794" y="15351"/>
                <wp:lineTo x="9524" y="15239"/>
                <wp:lineTo x="20227" y="14791"/>
                <wp:lineTo x="20137" y="14231"/>
                <wp:lineTo x="7075" y="13446"/>
                <wp:lineTo x="11247" y="11878"/>
                <wp:lineTo x="11247" y="11653"/>
                <wp:lineTo x="16871" y="10533"/>
                <wp:lineTo x="16599" y="10085"/>
                <wp:lineTo x="14876" y="9749"/>
                <wp:lineTo x="15057" y="8964"/>
                <wp:lineTo x="10703" y="6387"/>
                <wp:lineTo x="11066" y="6275"/>
                <wp:lineTo x="14694" y="4594"/>
                <wp:lineTo x="14876" y="4258"/>
                <wp:lineTo x="13969" y="3810"/>
                <wp:lineTo x="10703" y="2689"/>
                <wp:lineTo x="2903" y="672"/>
                <wp:lineTo x="1905" y="672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Default="00775B7F" w:rsidP="00775B7F">
      <w:pPr>
        <w:rPr>
          <w:rFonts w:cs="Times New Roman"/>
          <w:sz w:val="22"/>
        </w:rPr>
      </w:pPr>
    </w:p>
    <w:p w:rsidR="00775B7F" w:rsidRPr="003B13DA" w:rsidRDefault="00775B7F" w:rsidP="00775B7F">
      <w:pPr>
        <w:rPr>
          <w:rStyle w:val="IntenseReference"/>
        </w:rPr>
      </w:pPr>
      <w:r w:rsidRPr="00775B7F">
        <w:rPr>
          <w:rFonts w:cs="Times New Roman"/>
          <w:sz w:val="22"/>
        </w:rPr>
        <w:t>Table 2. Effect on European average rates for non-genetic anomalies, of adjusting for population size (number of births)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1001"/>
        <w:gridCol w:w="1094"/>
        <w:gridCol w:w="1195"/>
        <w:gridCol w:w="1167"/>
        <w:gridCol w:w="1273"/>
        <w:gridCol w:w="1076"/>
        <w:gridCol w:w="928"/>
      </w:tblGrid>
      <w:tr w:rsidR="00775B7F" w:rsidRPr="00775B7F" w:rsidTr="003B6ADA">
        <w:tc>
          <w:tcPr>
            <w:tcW w:w="1771" w:type="dxa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</w:p>
        </w:tc>
        <w:tc>
          <w:tcPr>
            <w:tcW w:w="1314" w:type="dxa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</w:p>
        </w:tc>
        <w:tc>
          <w:tcPr>
            <w:tcW w:w="4678" w:type="dxa"/>
            <w:gridSpan w:val="3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sz w:val="22"/>
              </w:rPr>
              <w:t>Outcomes/1,000</w:t>
            </w:r>
          </w:p>
        </w:tc>
        <w:tc>
          <w:tcPr>
            <w:tcW w:w="4252" w:type="dxa"/>
            <w:gridSpan w:val="3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sz w:val="22"/>
              </w:rPr>
              <w:t>Outcomes %</w:t>
            </w:r>
          </w:p>
        </w:tc>
      </w:tr>
      <w:tr w:rsidR="00775B7F" w:rsidRPr="00775B7F" w:rsidTr="003B6ADA">
        <w:tc>
          <w:tcPr>
            <w:tcW w:w="1771" w:type="dxa"/>
            <w:vAlign w:val="center"/>
          </w:tcPr>
          <w:p w:rsidR="00775B7F" w:rsidRPr="00775B7F" w:rsidRDefault="00775B7F" w:rsidP="00775B7F">
            <w:pPr>
              <w:jc w:val="left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Non-syndromic "all anomalies"</w:t>
            </w:r>
          </w:p>
        </w:tc>
        <w:tc>
          <w:tcPr>
            <w:tcW w:w="1314" w:type="dxa"/>
            <w:vAlign w:val="center"/>
          </w:tcPr>
          <w:p w:rsidR="00775B7F" w:rsidRPr="00775B7F" w:rsidRDefault="00775B7F" w:rsidP="003B6ADA">
            <w:pPr>
              <w:jc w:val="center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Total /1,000</w:t>
            </w:r>
          </w:p>
        </w:tc>
        <w:tc>
          <w:tcPr>
            <w:tcW w:w="1276" w:type="dxa"/>
            <w:vAlign w:val="center"/>
          </w:tcPr>
          <w:p w:rsidR="00775B7F" w:rsidRPr="00775B7F" w:rsidRDefault="00775B7F" w:rsidP="003B6ADA">
            <w:pPr>
              <w:jc w:val="center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TOP</w:t>
            </w:r>
            <w:r>
              <w:rPr>
                <w:rFonts w:cs="Times New Roman"/>
                <w:b/>
                <w:bCs/>
                <w:kern w:val="24"/>
                <w:sz w:val="22"/>
              </w:rPr>
              <w:t>FA</w:t>
            </w:r>
            <w:r w:rsidRPr="00775B7F">
              <w:rPr>
                <w:rFonts w:cs="Times New Roman"/>
                <w:b/>
                <w:bCs/>
                <w:kern w:val="24"/>
                <w:sz w:val="22"/>
              </w:rPr>
              <w:t xml:space="preserve"> /1,000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775B7F">
              <w:rPr>
                <w:rFonts w:cs="Times New Roman"/>
                <w:b/>
                <w:bCs/>
                <w:kern w:val="24"/>
                <w:sz w:val="22"/>
              </w:rPr>
              <w:t>Fetal</w:t>
            </w:r>
            <w:proofErr w:type="spellEnd"/>
            <w:r w:rsidRPr="00775B7F">
              <w:rPr>
                <w:rFonts w:cs="Times New Roman"/>
                <w:b/>
                <w:bCs/>
                <w:kern w:val="24"/>
                <w:sz w:val="22"/>
              </w:rPr>
              <w:t xml:space="preserve"> deaths /1,000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jc w:val="center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Live births /1,000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jc w:val="center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% TOP</w:t>
            </w:r>
            <w:r>
              <w:rPr>
                <w:rFonts w:cs="Times New Roman"/>
                <w:b/>
                <w:bCs/>
                <w:kern w:val="24"/>
                <w:sz w:val="22"/>
              </w:rPr>
              <w:t>FA</w:t>
            </w:r>
          </w:p>
        </w:tc>
        <w:tc>
          <w:tcPr>
            <w:tcW w:w="1417" w:type="dxa"/>
            <w:vAlign w:val="center"/>
          </w:tcPr>
          <w:p w:rsidR="00775B7F" w:rsidRPr="00775B7F" w:rsidRDefault="00775B7F" w:rsidP="003B6ADA">
            <w:pPr>
              <w:jc w:val="center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 xml:space="preserve">% </w:t>
            </w:r>
            <w:proofErr w:type="spellStart"/>
            <w:r w:rsidRPr="00775B7F">
              <w:rPr>
                <w:rFonts w:cs="Times New Roman"/>
                <w:b/>
                <w:bCs/>
                <w:kern w:val="24"/>
                <w:sz w:val="22"/>
              </w:rPr>
              <w:t>Fetal</w:t>
            </w:r>
            <w:proofErr w:type="spellEnd"/>
            <w:r w:rsidRPr="00775B7F">
              <w:rPr>
                <w:rFonts w:cs="Times New Roman"/>
                <w:b/>
                <w:bCs/>
                <w:kern w:val="24"/>
                <w:sz w:val="22"/>
              </w:rPr>
              <w:t xml:space="preserve"> deaths</w:t>
            </w:r>
          </w:p>
        </w:tc>
        <w:tc>
          <w:tcPr>
            <w:tcW w:w="1134" w:type="dxa"/>
            <w:vAlign w:val="center"/>
          </w:tcPr>
          <w:p w:rsidR="00775B7F" w:rsidRPr="00775B7F" w:rsidRDefault="00775B7F" w:rsidP="003B6ADA">
            <w:pPr>
              <w:jc w:val="center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% Live births</w:t>
            </w:r>
          </w:p>
        </w:tc>
      </w:tr>
      <w:tr w:rsidR="00775B7F" w:rsidRPr="00775B7F" w:rsidTr="003B6ADA">
        <w:tc>
          <w:tcPr>
            <w:tcW w:w="1771" w:type="dxa"/>
            <w:vAlign w:val="center"/>
          </w:tcPr>
          <w:p w:rsidR="00775B7F" w:rsidRPr="00775B7F" w:rsidRDefault="00775B7F" w:rsidP="00775B7F">
            <w:pPr>
              <w:jc w:val="left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EUROCAT data</w:t>
            </w:r>
          </w:p>
        </w:tc>
        <w:tc>
          <w:tcPr>
            <w:tcW w:w="131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20.0</w:t>
            </w:r>
          </w:p>
        </w:tc>
        <w:tc>
          <w:tcPr>
            <w:tcW w:w="1276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1.89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0.34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17.8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9.45</w:t>
            </w:r>
          </w:p>
        </w:tc>
        <w:tc>
          <w:tcPr>
            <w:tcW w:w="1417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1.70</w:t>
            </w:r>
          </w:p>
        </w:tc>
        <w:tc>
          <w:tcPr>
            <w:tcW w:w="113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88.8</w:t>
            </w:r>
          </w:p>
        </w:tc>
      </w:tr>
      <w:tr w:rsidR="00775B7F" w:rsidRPr="00775B7F" w:rsidTr="003B6ADA">
        <w:tc>
          <w:tcPr>
            <w:tcW w:w="1771" w:type="dxa"/>
            <w:vAlign w:val="center"/>
          </w:tcPr>
          <w:p w:rsidR="00775B7F" w:rsidRPr="00775B7F" w:rsidRDefault="00775B7F" w:rsidP="00775B7F">
            <w:pPr>
              <w:jc w:val="left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Adjusted for pop size</w:t>
            </w:r>
          </w:p>
        </w:tc>
        <w:tc>
          <w:tcPr>
            <w:tcW w:w="131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21.1</w:t>
            </w:r>
          </w:p>
        </w:tc>
        <w:tc>
          <w:tcPr>
            <w:tcW w:w="1276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2.07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0.36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18.6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9.82</w:t>
            </w:r>
          </w:p>
        </w:tc>
        <w:tc>
          <w:tcPr>
            <w:tcW w:w="1417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1.72</w:t>
            </w:r>
          </w:p>
        </w:tc>
        <w:tc>
          <w:tcPr>
            <w:tcW w:w="113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88.5</w:t>
            </w:r>
          </w:p>
        </w:tc>
      </w:tr>
      <w:tr w:rsidR="00775B7F" w:rsidRPr="00775B7F" w:rsidTr="003B6ADA">
        <w:tc>
          <w:tcPr>
            <w:tcW w:w="1771" w:type="dxa"/>
            <w:vAlign w:val="center"/>
          </w:tcPr>
          <w:p w:rsidR="00775B7F" w:rsidRPr="00775B7F" w:rsidRDefault="00775B7F" w:rsidP="00775B7F">
            <w:pPr>
              <w:jc w:val="left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Increase with adjustment</w:t>
            </w:r>
          </w:p>
        </w:tc>
        <w:tc>
          <w:tcPr>
            <w:tcW w:w="131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1.06</w:t>
            </w:r>
          </w:p>
        </w:tc>
        <w:tc>
          <w:tcPr>
            <w:tcW w:w="1276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0.18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0.02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0.86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0.37</w:t>
            </w:r>
          </w:p>
        </w:tc>
        <w:tc>
          <w:tcPr>
            <w:tcW w:w="1417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0.01</w:t>
            </w:r>
          </w:p>
        </w:tc>
        <w:tc>
          <w:tcPr>
            <w:tcW w:w="113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-0.38</w:t>
            </w:r>
          </w:p>
        </w:tc>
      </w:tr>
      <w:tr w:rsidR="00775B7F" w:rsidRPr="00775B7F" w:rsidTr="003B6ADA">
        <w:tc>
          <w:tcPr>
            <w:tcW w:w="1771" w:type="dxa"/>
            <w:vAlign w:val="center"/>
          </w:tcPr>
          <w:p w:rsidR="00775B7F" w:rsidRPr="00775B7F" w:rsidRDefault="00775B7F" w:rsidP="00775B7F">
            <w:pPr>
              <w:jc w:val="left"/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b/>
                <w:bCs/>
                <w:kern w:val="24"/>
                <w:sz w:val="22"/>
              </w:rPr>
              <w:t>% increase with adjustment</w:t>
            </w:r>
          </w:p>
        </w:tc>
        <w:tc>
          <w:tcPr>
            <w:tcW w:w="131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5.3</w:t>
            </w:r>
          </w:p>
        </w:tc>
        <w:tc>
          <w:tcPr>
            <w:tcW w:w="1276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9.4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6.1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4.8</w:t>
            </w:r>
          </w:p>
        </w:tc>
        <w:tc>
          <w:tcPr>
            <w:tcW w:w="1701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3.89</w:t>
            </w:r>
          </w:p>
        </w:tc>
        <w:tc>
          <w:tcPr>
            <w:tcW w:w="1417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0.76</w:t>
            </w:r>
          </w:p>
        </w:tc>
        <w:tc>
          <w:tcPr>
            <w:tcW w:w="1134" w:type="dxa"/>
            <w:vAlign w:val="center"/>
          </w:tcPr>
          <w:p w:rsidR="00775B7F" w:rsidRPr="00775B7F" w:rsidRDefault="00775B7F" w:rsidP="003B6ADA">
            <w:pPr>
              <w:rPr>
                <w:rFonts w:cs="Times New Roman"/>
                <w:sz w:val="22"/>
              </w:rPr>
            </w:pPr>
            <w:r w:rsidRPr="00775B7F">
              <w:rPr>
                <w:rFonts w:cs="Times New Roman"/>
                <w:kern w:val="24"/>
                <w:sz w:val="22"/>
              </w:rPr>
              <w:t>-0.43</w:t>
            </w:r>
          </w:p>
        </w:tc>
      </w:tr>
    </w:tbl>
    <w:p w:rsidR="00775B7F" w:rsidRDefault="00DE04C2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 </w:t>
      </w:r>
    </w:p>
    <w:p w:rsidR="00DE04C2" w:rsidRPr="00DE04C2" w:rsidRDefault="00DE04C2" w:rsidP="00DE04C2">
      <w:pPr>
        <w:pStyle w:val="Heading1"/>
        <w:rPr>
          <w:rFonts w:ascii="Times New Roman" w:hAnsi="Times New Roman" w:cs="Times New Roman"/>
          <w:b w:val="0"/>
          <w:sz w:val="22"/>
          <w:szCs w:val="22"/>
        </w:rPr>
      </w:pPr>
      <w:r w:rsidRPr="00DE04C2">
        <w:rPr>
          <w:rFonts w:ascii="Times New Roman" w:hAnsi="Times New Roman" w:cs="Times New Roman"/>
          <w:b w:val="0"/>
          <w:sz w:val="22"/>
          <w:szCs w:val="22"/>
        </w:rPr>
        <w:t>Table 3 Comparison of congenital malformation gro</w:t>
      </w:r>
      <w:r>
        <w:rPr>
          <w:rFonts w:ascii="Times New Roman" w:hAnsi="Times New Roman" w:cs="Times New Roman"/>
          <w:b w:val="0"/>
          <w:sz w:val="22"/>
          <w:szCs w:val="22"/>
        </w:rPr>
        <w:t>ups reported by EUROCAT and ICB</w:t>
      </w:r>
      <w:r w:rsidR="003B13DA">
        <w:rPr>
          <w:rFonts w:ascii="Times New Roman" w:hAnsi="Times New Roman" w:cs="Times New Roman"/>
          <w:b w:val="0"/>
          <w:sz w:val="22"/>
          <w:szCs w:val="22"/>
        </w:rPr>
        <w:t>D</w:t>
      </w:r>
      <w:r>
        <w:rPr>
          <w:rFonts w:ascii="Times New Roman" w:hAnsi="Times New Roman" w:cs="Times New Roman"/>
          <w:b w:val="0"/>
          <w:sz w:val="22"/>
          <w:szCs w:val="22"/>
        </w:rPr>
        <w:t>S</w:t>
      </w:r>
      <w:r w:rsidRPr="00DE04C2">
        <w:rPr>
          <w:rFonts w:ascii="Times New Roman" w:hAnsi="Times New Roman" w:cs="Times New Roman"/>
          <w:b w:val="0"/>
          <w:sz w:val="22"/>
          <w:szCs w:val="22"/>
        </w:rPr>
        <w:t>R</w:t>
      </w:r>
    </w:p>
    <w:tbl>
      <w:tblPr>
        <w:tblW w:w="9652" w:type="dxa"/>
        <w:jc w:val="center"/>
        <w:tblLook w:val="04A0" w:firstRow="1" w:lastRow="0" w:firstColumn="1" w:lastColumn="0" w:noHBand="0" w:noVBand="1"/>
      </w:tblPr>
      <w:tblGrid>
        <w:gridCol w:w="2480"/>
        <w:gridCol w:w="1414"/>
        <w:gridCol w:w="1140"/>
        <w:gridCol w:w="1140"/>
        <w:gridCol w:w="1140"/>
        <w:gridCol w:w="1100"/>
        <w:gridCol w:w="1320"/>
      </w:tblGrid>
      <w:tr w:rsidR="00DE04C2" w:rsidRPr="00DE04C2" w:rsidTr="004A3938">
        <w:trPr>
          <w:trHeight w:val="284"/>
          <w:jc w:val="center"/>
        </w:trPr>
        <w:tc>
          <w:tcPr>
            <w:tcW w:w="24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 </w:t>
            </w:r>
          </w:p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Malformation group</w:t>
            </w: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EUROCAT data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4C2" w:rsidRPr="00DE04C2" w:rsidRDefault="003B13DA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ICBDS</w:t>
            </w:r>
            <w:bookmarkStart w:id="0" w:name="_GoBack"/>
            <w:bookmarkEnd w:id="0"/>
            <w:r w:rsidR="00DE04C2" w:rsidRPr="00DE04C2">
              <w:rPr>
                <w:rFonts w:cs="Times New Roman"/>
                <w:sz w:val="22"/>
              </w:rPr>
              <w:t>R data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Births /1,000 non-chromosomal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% of total non-</w:t>
            </w:r>
            <w:proofErr w:type="spellStart"/>
            <w:r w:rsidRPr="00DE04C2">
              <w:rPr>
                <w:rFonts w:cs="Times New Roman"/>
                <w:sz w:val="22"/>
              </w:rPr>
              <w:t>chr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Named diagnoses /1,000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Named diagnoses % of </w:t>
            </w:r>
            <w:proofErr w:type="spellStart"/>
            <w:r w:rsidRPr="00DE04C2">
              <w:rPr>
                <w:rFonts w:cs="Times New Roman"/>
                <w:sz w:val="22"/>
              </w:rPr>
              <w:t>malfn</w:t>
            </w:r>
            <w:proofErr w:type="spellEnd"/>
            <w:r w:rsidRPr="00DE04C2">
              <w:rPr>
                <w:rFonts w:cs="Times New Roman"/>
                <w:sz w:val="22"/>
              </w:rPr>
              <w:t xml:space="preserve"> group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ICBDMR births /1,000 </w:t>
            </w:r>
            <w:proofErr w:type="spellStart"/>
            <w:r w:rsidRPr="00DE04C2">
              <w:rPr>
                <w:rFonts w:cs="Times New Roman"/>
                <w:sz w:val="22"/>
              </w:rPr>
              <w:t>est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% of EUROCAT diagnoses in ICBDMR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Nervous system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81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Eye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32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Ear, face and neck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7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Congenital heart disease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5.73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29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6.23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16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3B13DA">
            <w:pPr>
              <w:pStyle w:val="Figurelegend"/>
            </w:pPr>
            <w:r w:rsidRPr="00DE04C2">
              <w:t xml:space="preserve">Respiratory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15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Oro-facial clefts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100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Digestive system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64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Abdominal wall defects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95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Urinary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2.41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Genital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1.27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81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Limb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3.46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3.33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16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 xml:space="preserve">Other malformations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0.00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0</w:t>
            </w:r>
          </w:p>
        </w:tc>
      </w:tr>
      <w:tr w:rsidR="00DE04C2" w:rsidRPr="00DE04C2" w:rsidTr="004A3938">
        <w:trPr>
          <w:trHeight w:val="284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Total (sum)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19.98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17.13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86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6.96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DE04C2" w:rsidRDefault="00DE04C2" w:rsidP="00DE04C2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DE04C2">
              <w:rPr>
                <w:rFonts w:cs="Times New Roman"/>
                <w:sz w:val="22"/>
              </w:rPr>
              <w:t>35</w:t>
            </w:r>
          </w:p>
        </w:tc>
      </w:tr>
    </w:tbl>
    <w:p w:rsidR="00DE04C2" w:rsidRDefault="00DE04C2">
      <w:pPr>
        <w:rPr>
          <w:rFonts w:cs="Times New Roman"/>
          <w:sz w:val="22"/>
        </w:rPr>
      </w:pPr>
    </w:p>
    <w:p w:rsidR="00DE04C2" w:rsidRDefault="00DE04C2">
      <w:pPr>
        <w:rPr>
          <w:rFonts w:cs="Times New Roman"/>
          <w:sz w:val="22"/>
        </w:rPr>
      </w:pPr>
    </w:p>
    <w:p w:rsidR="00DE04C2" w:rsidRDefault="00DE04C2">
      <w:pPr>
        <w:rPr>
          <w:rFonts w:cs="Times New Roman"/>
          <w:sz w:val="22"/>
        </w:rPr>
      </w:pPr>
    </w:p>
    <w:p w:rsidR="00DE04C2" w:rsidRDefault="00DE04C2">
      <w:pPr>
        <w:rPr>
          <w:rFonts w:cs="Times New Roman"/>
          <w:sz w:val="22"/>
        </w:rPr>
        <w:sectPr w:rsidR="00DE04C2" w:rsidSect="006E14E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E04C2" w:rsidRDefault="00DE04C2" w:rsidP="00DE04C2">
      <w:pPr>
        <w:pStyle w:val="BodyText1"/>
      </w:pPr>
      <w:r>
        <w:rPr>
          <w:sz w:val="22"/>
        </w:rPr>
        <w:lastRenderedPageBreak/>
        <w:t>Table 4 Comparison of reported rates by malformation groups for period 2000-5.</w:t>
      </w:r>
      <w:r w:rsidRPr="00DE04C2">
        <w:t xml:space="preserve"> </w:t>
      </w:r>
      <w:r>
        <w:t xml:space="preserve">Rates for all North American registries are higher than the EUROCAT average, consistent with the conclusion that this is a low estimate. </w:t>
      </w:r>
    </w:p>
    <w:p w:rsidR="00952E15" w:rsidRDefault="00A41B46">
      <w:pPr>
        <w:rPr>
          <w:rFonts w:cs="Times New Roman"/>
          <w:sz w:val="22"/>
        </w:rPr>
      </w:pPr>
    </w:p>
    <w:tbl>
      <w:tblPr>
        <w:tblpPr w:leftFromText="180" w:rightFromText="180" w:horzAnchor="margin" w:tblpXSpec="center" w:tblpY="855"/>
        <w:tblW w:w="7152" w:type="dxa"/>
        <w:tblLook w:val="04A0" w:firstRow="1" w:lastRow="0" w:firstColumn="1" w:lastColumn="0" w:noHBand="0" w:noVBand="1"/>
      </w:tblPr>
      <w:tblGrid>
        <w:gridCol w:w="1285"/>
        <w:gridCol w:w="965"/>
        <w:gridCol w:w="880"/>
        <w:gridCol w:w="880"/>
        <w:gridCol w:w="909"/>
        <w:gridCol w:w="763"/>
        <w:gridCol w:w="720"/>
        <w:gridCol w:w="750"/>
      </w:tblGrid>
      <w:tr w:rsidR="00DE04C2" w:rsidRPr="00B6044F" w:rsidTr="00DE04C2">
        <w:trPr>
          <w:trHeight w:val="284"/>
        </w:trPr>
        <w:tc>
          <w:tcPr>
            <w:tcW w:w="1285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EUROCAT GROUPS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EU</w:t>
            </w:r>
            <w:r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ROCAT</w:t>
            </w: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 av</w:t>
            </w:r>
            <w:r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.</w:t>
            </w: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 for recorded anomalies</w:t>
            </w:r>
          </w:p>
        </w:tc>
        <w:tc>
          <w:tcPr>
            <w:tcW w:w="4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North America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Canada Alberta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Canada National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Canada British Columbia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USA Texas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USA Utah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USA Atlanta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CNS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1.86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2.66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1.51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2.05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OFCs</w:t>
            </w: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1.44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Eye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0.27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Ear, </w:t>
            </w:r>
            <w:proofErr w:type="spellStart"/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face</w:t>
            </w:r>
            <w:r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,</w:t>
            </w: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neck</w:t>
            </w:r>
            <w:proofErr w:type="spellEnd"/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0.03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CHD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1.52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1.93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1.73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Respiratory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0.04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Digestive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1.01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Genital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2.24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0.91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Urinary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0.15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Limb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2.54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1.46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0.71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proofErr w:type="spellStart"/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Abd</w:t>
            </w:r>
            <w:proofErr w:type="spellEnd"/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 xml:space="preserve"> wall 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7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0.51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Sum recorded groups</w:t>
            </w:r>
          </w:p>
        </w:tc>
        <w:tc>
          <w:tcPr>
            <w:tcW w:w="96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8.1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13.1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12.7</w:t>
            </w:r>
          </w:p>
        </w:tc>
        <w:tc>
          <w:tcPr>
            <w:tcW w:w="90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12.4</w:t>
            </w:r>
          </w:p>
        </w:tc>
        <w:tc>
          <w:tcPr>
            <w:tcW w:w="76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10.3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9.0</w:t>
            </w:r>
          </w:p>
        </w:tc>
        <w:tc>
          <w:tcPr>
            <w:tcW w:w="75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8.8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% of EUROCAT sum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162.5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157.8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153.7</w:t>
            </w:r>
          </w:p>
        </w:tc>
        <w:tc>
          <w:tcPr>
            <w:tcW w:w="7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127.7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111.8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109.7</w:t>
            </w:r>
          </w:p>
        </w:tc>
      </w:tr>
      <w:tr w:rsidR="00DE04C2" w:rsidRPr="00B6044F" w:rsidTr="00DE04C2">
        <w:trPr>
          <w:trHeight w:val="113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Sum minus NTDs &amp; OFCs</w:t>
            </w:r>
          </w:p>
        </w:tc>
        <w:tc>
          <w:tcPr>
            <w:tcW w:w="96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9.2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9.5</w:t>
            </w:r>
          </w:p>
        </w:tc>
        <w:tc>
          <w:tcPr>
            <w:tcW w:w="90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8.0</w:t>
            </w:r>
          </w:p>
        </w:tc>
        <w:tc>
          <w:tcPr>
            <w:tcW w:w="76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6.5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5.4</w:t>
            </w:r>
          </w:p>
        </w:tc>
        <w:tc>
          <w:tcPr>
            <w:tcW w:w="75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5.4</w:t>
            </w: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% of EUROCAT sum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176.4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182.3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152.5</w:t>
            </w:r>
          </w:p>
        </w:tc>
        <w:tc>
          <w:tcPr>
            <w:tcW w:w="7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124.5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102.9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102.5</w:t>
            </w:r>
          </w:p>
        </w:tc>
      </w:tr>
      <w:tr w:rsidR="00DE04C2" w:rsidRPr="00B6044F" w:rsidTr="00DE04C2">
        <w:trPr>
          <w:trHeight w:val="113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</w:p>
        </w:tc>
      </w:tr>
      <w:tr w:rsidR="00DE04C2" w:rsidRPr="00B6044F" w:rsidTr="00DE04C2">
        <w:trPr>
          <w:trHeight w:val="284"/>
        </w:trPr>
        <w:tc>
          <w:tcPr>
            <w:tcW w:w="12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Births 1,000s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235.1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2,021.8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244.1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1,870.4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297.9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4C2" w:rsidRPr="00B6044F" w:rsidRDefault="00DE04C2" w:rsidP="00DE04C2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</w:pPr>
            <w:r w:rsidRPr="00B6044F">
              <w:rPr>
                <w:rFonts w:ascii="Calibri" w:eastAsia="Times New Roman" w:hAnsi="Calibri" w:cs="Arial"/>
                <w:sz w:val="18"/>
                <w:szCs w:val="18"/>
                <w:lang w:eastAsia="en-GB"/>
              </w:rPr>
              <w:t>308.0</w:t>
            </w:r>
          </w:p>
        </w:tc>
      </w:tr>
    </w:tbl>
    <w:p w:rsidR="00DE04C2" w:rsidRPr="006E14E4" w:rsidRDefault="00DE04C2">
      <w:pPr>
        <w:rPr>
          <w:rFonts w:cs="Times New Roman"/>
          <w:sz w:val="22"/>
        </w:rPr>
      </w:pPr>
    </w:p>
    <w:sectPr w:rsidR="00DE04C2" w:rsidRPr="006E14E4" w:rsidSect="006E14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29"/>
    <w:rsid w:val="003B13DA"/>
    <w:rsid w:val="006E14E4"/>
    <w:rsid w:val="00775B7F"/>
    <w:rsid w:val="00874629"/>
    <w:rsid w:val="00A41B46"/>
    <w:rsid w:val="00B2444F"/>
    <w:rsid w:val="00D92C83"/>
    <w:rsid w:val="00DE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372FB7-9684-4D67-9D38-A5D14B06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4E4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E04C2"/>
    <w:pPr>
      <w:keepNext/>
      <w:spacing w:before="120" w:after="24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legend">
    <w:name w:val="Figure legend"/>
    <w:basedOn w:val="BodyText"/>
    <w:link w:val="FigurelegendChar"/>
    <w:qFormat/>
    <w:rsid w:val="006E14E4"/>
    <w:pPr>
      <w:spacing w:after="240" w:line="240" w:lineRule="auto"/>
      <w:jc w:val="left"/>
    </w:pPr>
    <w:rPr>
      <w:rFonts w:eastAsia="Times New Roman" w:cs="Times New Roman"/>
      <w:spacing w:val="-2"/>
      <w:sz w:val="20"/>
      <w:szCs w:val="20"/>
    </w:rPr>
  </w:style>
  <w:style w:type="character" w:customStyle="1" w:styleId="FigurelegendChar">
    <w:name w:val="Figure legend Char"/>
    <w:basedOn w:val="DefaultParagraphFont"/>
    <w:link w:val="Figurelegend"/>
    <w:rsid w:val="006E14E4"/>
    <w:rPr>
      <w:rFonts w:ascii="Times New Roman" w:eastAsia="Times New Roman" w:hAnsi="Times New Roman" w:cs="Times New Roman"/>
      <w:spacing w:val="-2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E14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14E4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E04C2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customStyle="1" w:styleId="BodyText1">
    <w:name w:val="Body Text1"/>
    <w:basedOn w:val="Normal"/>
    <w:rsid w:val="00DE04C2"/>
    <w:pPr>
      <w:spacing w:before="120" w:after="120" w:line="240" w:lineRule="auto"/>
      <w:jc w:val="left"/>
    </w:pPr>
    <w:rPr>
      <w:rFonts w:eastAsia="Times New Roman" w:cs="Times New Roman"/>
      <w:szCs w:val="24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3B13D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Bernadette%20Modell\My%20Documents\Undy\Congen%20and%20Genet\EUROCAT\00%202015\$Total%20pop%20&amp;%20total%20anom%20by%20country%20July%202015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rnadette\Desktop\Documents\$Undy\Congen%20and%20Genet\$2013%20VERSION\$$%20Articles\$Draft%20papers%202014\Methods%20in%20Comm%20Gen\05.00%20CM%20tables%20Jan%20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1981840436999"/>
          <c:y val="6.2725227528377198E-2"/>
          <c:w val="0.63696238376235204"/>
          <c:h val="0.68194867044334495"/>
        </c:manualLayout>
      </c:layout>
      <c:lineChart>
        <c:grouping val="standard"/>
        <c:varyColors val="0"/>
        <c:ser>
          <c:idx val="0"/>
          <c:order val="0"/>
          <c:tx>
            <c:strRef>
              <c:f>Tables!$FN$6</c:f>
              <c:strCache>
                <c:ptCount val="1"/>
                <c:pt idx="0">
                  <c:v>Total cases /1,000</c:v>
                </c:pt>
              </c:strCache>
            </c:strRef>
          </c:tx>
          <c:marker>
            <c:spPr>
              <a:solidFill>
                <a:schemeClr val="tx2">
                  <a:lumMod val="20000"/>
                  <a:lumOff val="80000"/>
                </a:schemeClr>
              </a:solidFill>
            </c:spPr>
          </c:marker>
          <c:cat>
            <c:strRef>
              <c:f>Tables!$FO$5:$FX$5</c:f>
              <c:strCache>
                <c:ptCount val="10"/>
                <c:pt idx="0">
                  <c:v>1980-84</c:v>
                </c:pt>
                <c:pt idx="1">
                  <c:v>1985-89</c:v>
                </c:pt>
                <c:pt idx="2">
                  <c:v>1990-94</c:v>
                </c:pt>
                <c:pt idx="3">
                  <c:v>1995-99</c:v>
                </c:pt>
                <c:pt idx="4">
                  <c:v>2000-04</c:v>
                </c:pt>
                <c:pt idx="5">
                  <c:v>2005-09</c:v>
                </c:pt>
                <c:pt idx="6">
                  <c:v>2010-12</c:v>
                </c:pt>
                <c:pt idx="8">
                  <c:v>1980-2012</c:v>
                </c:pt>
                <c:pt idx="9">
                  <c:v>2000-09</c:v>
                </c:pt>
              </c:strCache>
            </c:strRef>
          </c:cat>
          <c:val>
            <c:numRef>
              <c:f>Tables!$FO$6:$FX$6</c:f>
              <c:numCache>
                <c:formatCode>#,##0.0</c:formatCode>
                <c:ptCount val="10"/>
                <c:pt idx="0">
                  <c:v>17.486948319138669</c:v>
                </c:pt>
                <c:pt idx="1">
                  <c:v>17.46319404522497</c:v>
                </c:pt>
                <c:pt idx="2">
                  <c:v>19.144797582943369</c:v>
                </c:pt>
                <c:pt idx="3">
                  <c:v>20.51767322858483</c:v>
                </c:pt>
                <c:pt idx="4">
                  <c:v>22.592100669223729</c:v>
                </c:pt>
                <c:pt idx="5">
                  <c:v>24.212854820147001</c:v>
                </c:pt>
                <c:pt idx="6">
                  <c:v>24.780690954416599</c:v>
                </c:pt>
                <c:pt idx="8">
                  <c:v>21.662916285386089</c:v>
                </c:pt>
                <c:pt idx="9">
                  <c:v>23.388594300316431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00D-4F99-91BD-9C5EBEAA42FA}"/>
            </c:ext>
          </c:extLst>
        </c:ser>
        <c:ser>
          <c:idx val="1"/>
          <c:order val="1"/>
          <c:tx>
            <c:strRef>
              <c:f>Tables!$FN$7</c:f>
              <c:strCache>
                <c:ptCount val="1"/>
                <c:pt idx="0">
                  <c:v>Non-genetic cases /1,000</c:v>
                </c:pt>
              </c:strCache>
            </c:strRef>
          </c:tx>
          <c:marker>
            <c:spPr>
              <a:solidFill>
                <a:schemeClr val="accent6">
                  <a:lumMod val="40000"/>
                  <a:lumOff val="60000"/>
                </a:schemeClr>
              </a:solidFill>
            </c:spPr>
          </c:marker>
          <c:cat>
            <c:strRef>
              <c:f>Tables!$FO$5:$FX$5</c:f>
              <c:strCache>
                <c:ptCount val="10"/>
                <c:pt idx="0">
                  <c:v>1980-84</c:v>
                </c:pt>
                <c:pt idx="1">
                  <c:v>1985-89</c:v>
                </c:pt>
                <c:pt idx="2">
                  <c:v>1990-94</c:v>
                </c:pt>
                <c:pt idx="3">
                  <c:v>1995-99</c:v>
                </c:pt>
                <c:pt idx="4">
                  <c:v>2000-04</c:v>
                </c:pt>
                <c:pt idx="5">
                  <c:v>2005-09</c:v>
                </c:pt>
                <c:pt idx="6">
                  <c:v>2010-12</c:v>
                </c:pt>
                <c:pt idx="8">
                  <c:v>1980-2012</c:v>
                </c:pt>
                <c:pt idx="9">
                  <c:v>2000-09</c:v>
                </c:pt>
              </c:strCache>
            </c:strRef>
          </c:cat>
          <c:val>
            <c:numRef>
              <c:f>Tables!$FO$7:$FX$7</c:f>
              <c:numCache>
                <c:formatCode>#,##0.0</c:formatCode>
                <c:ptCount val="10"/>
                <c:pt idx="0">
                  <c:v>15.584764093917901</c:v>
                </c:pt>
                <c:pt idx="1">
                  <c:v>15.22352845636177</c:v>
                </c:pt>
                <c:pt idx="2">
                  <c:v>16.3171329181042</c:v>
                </c:pt>
                <c:pt idx="3">
                  <c:v>17.215660802374281</c:v>
                </c:pt>
                <c:pt idx="4">
                  <c:v>18.936314280435891</c:v>
                </c:pt>
                <c:pt idx="5">
                  <c:v>20.035465696771229</c:v>
                </c:pt>
                <c:pt idx="6">
                  <c:v>20.483641733607879</c:v>
                </c:pt>
                <c:pt idx="8">
                  <c:v>18.211893188095981</c:v>
                </c:pt>
                <c:pt idx="9">
                  <c:v>19.47647461395653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00D-4F99-91BD-9C5EBEAA42FA}"/>
            </c:ext>
          </c:extLst>
        </c:ser>
        <c:ser>
          <c:idx val="2"/>
          <c:order val="2"/>
          <c:tx>
            <c:strRef>
              <c:f>Tables!$FN$8</c:f>
              <c:strCache>
                <c:ptCount val="1"/>
                <c:pt idx="0">
                  <c:v>Genetic cases /1,000</c:v>
                </c:pt>
              </c:strCache>
            </c:strRef>
          </c:tx>
          <c:marker>
            <c:spPr>
              <a:solidFill>
                <a:schemeClr val="accent3">
                  <a:lumMod val="60000"/>
                  <a:lumOff val="40000"/>
                </a:schemeClr>
              </a:solidFill>
            </c:spPr>
          </c:marker>
          <c:cat>
            <c:strRef>
              <c:f>Tables!$FO$5:$FX$5</c:f>
              <c:strCache>
                <c:ptCount val="10"/>
                <c:pt idx="0">
                  <c:v>1980-84</c:v>
                </c:pt>
                <c:pt idx="1">
                  <c:v>1985-89</c:v>
                </c:pt>
                <c:pt idx="2">
                  <c:v>1990-94</c:v>
                </c:pt>
                <c:pt idx="3">
                  <c:v>1995-99</c:v>
                </c:pt>
                <c:pt idx="4">
                  <c:v>2000-04</c:v>
                </c:pt>
                <c:pt idx="5">
                  <c:v>2005-09</c:v>
                </c:pt>
                <c:pt idx="6">
                  <c:v>2010-12</c:v>
                </c:pt>
                <c:pt idx="8">
                  <c:v>1980-2012</c:v>
                </c:pt>
                <c:pt idx="9">
                  <c:v>2000-09</c:v>
                </c:pt>
              </c:strCache>
            </c:strRef>
          </c:cat>
          <c:val>
            <c:numRef>
              <c:f>Tables!$FO$8:$FX$8</c:f>
              <c:numCache>
                <c:formatCode>#,##0.0</c:formatCode>
                <c:ptCount val="10"/>
                <c:pt idx="0">
                  <c:v>1.9021842252207799</c:v>
                </c:pt>
                <c:pt idx="1">
                  <c:v>2.2396655888632182</c:v>
                </c:pt>
                <c:pt idx="2">
                  <c:v>2.8276646648391992</c:v>
                </c:pt>
                <c:pt idx="3">
                  <c:v>3.3020124262104962</c:v>
                </c:pt>
                <c:pt idx="4">
                  <c:v>3.6557863887878348</c:v>
                </c:pt>
                <c:pt idx="5">
                  <c:v>4.1773891233757361</c:v>
                </c:pt>
                <c:pt idx="6">
                  <c:v>4.2970492208086783</c:v>
                </c:pt>
                <c:pt idx="8">
                  <c:v>3.4510230972901468</c:v>
                </c:pt>
                <c:pt idx="9">
                  <c:v>3.9121196863599188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00D-4F99-91BD-9C5EBEAA42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3985736"/>
        <c:axId val="413986128"/>
      </c:lineChart>
      <c:catAx>
        <c:axId val="413985736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GB" sz="800"/>
            </a:pPr>
            <a:endParaRPr lang="en-US"/>
          </a:p>
        </c:txPr>
        <c:crossAx val="413986128"/>
        <c:crosses val="autoZero"/>
        <c:auto val="1"/>
        <c:lblAlgn val="ctr"/>
        <c:lblOffset val="100"/>
        <c:noMultiLvlLbl val="0"/>
      </c:catAx>
      <c:valAx>
        <c:axId val="413986128"/>
        <c:scaling>
          <c:orientation val="minMax"/>
          <c:max val="3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en-GB" b="0"/>
                </a:pPr>
                <a:r>
                  <a:rPr lang="en-US" b="0"/>
                  <a:t>Affected births /1,000</a:t>
                </a:r>
              </a:p>
            </c:rich>
          </c:tx>
          <c:layout>
            <c:manualLayout>
              <c:xMode val="edge"/>
              <c:yMode val="edge"/>
              <c:x val="1.2668416447944001E-3"/>
              <c:y val="0.20270770699117199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GB"/>
            </a:pPr>
            <a:endParaRPr lang="en-US"/>
          </a:p>
        </c:txPr>
        <c:crossAx val="413985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14608034784503"/>
          <c:y val="0.22120297462817101"/>
          <c:w val="0.22393280596306001"/>
          <c:h val="0.44733960338291101"/>
        </c:manualLayout>
      </c:layout>
      <c:overlay val="0"/>
      <c:txPr>
        <a:bodyPr/>
        <a:lstStyle/>
        <a:p>
          <a:pPr>
            <a:defRPr lang="en-GB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79926965651"/>
          <c:y val="5.2194543297746102E-2"/>
          <c:w val="0.79343274119720497"/>
          <c:h val="0.76558335901962404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Sheet4!$BN$5</c:f>
              <c:strCache>
                <c:ptCount val="1"/>
                <c:pt idx="0">
                  <c:v>Fetal deaths /1,000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Sheet4!$BM$6:$BM$22</c:f>
              <c:numCache>
                <c:formatCode>0.00</c:formatCode>
                <c:ptCount val="17"/>
                <c:pt idx="0">
                  <c:v>1.8</c:v>
                </c:pt>
                <c:pt idx="1">
                  <c:v>1.7</c:v>
                </c:pt>
                <c:pt idx="2">
                  <c:v>1.4</c:v>
                </c:pt>
                <c:pt idx="3">
                  <c:v>3.9</c:v>
                </c:pt>
                <c:pt idx="4">
                  <c:v>0.8</c:v>
                </c:pt>
                <c:pt idx="5">
                  <c:v>0.7</c:v>
                </c:pt>
                <c:pt idx="6">
                  <c:v>0.8</c:v>
                </c:pt>
                <c:pt idx="7">
                  <c:v>1.8</c:v>
                </c:pt>
                <c:pt idx="8">
                  <c:v>3.1</c:v>
                </c:pt>
                <c:pt idx="9">
                  <c:v>1</c:v>
                </c:pt>
                <c:pt idx="10">
                  <c:v>2.7</c:v>
                </c:pt>
                <c:pt idx="11">
                  <c:v>1.7</c:v>
                </c:pt>
                <c:pt idx="12">
                  <c:v>1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2.6</c:v>
                </c:pt>
              </c:numCache>
            </c:numRef>
          </c:xVal>
          <c:yVal>
            <c:numRef>
              <c:f>Sheet4!$BN$6:$BN$22</c:f>
              <c:numCache>
                <c:formatCode>0.00</c:formatCode>
                <c:ptCount val="17"/>
                <c:pt idx="0">
                  <c:v>0.05</c:v>
                </c:pt>
                <c:pt idx="1">
                  <c:v>7.0000000000000007E-2</c:v>
                </c:pt>
                <c:pt idx="2">
                  <c:v>0.09</c:v>
                </c:pt>
                <c:pt idx="3">
                  <c:v>0.11</c:v>
                </c:pt>
                <c:pt idx="4">
                  <c:v>0.11</c:v>
                </c:pt>
                <c:pt idx="5">
                  <c:v>0.15</c:v>
                </c:pt>
                <c:pt idx="6">
                  <c:v>0.17</c:v>
                </c:pt>
                <c:pt idx="7">
                  <c:v>0.21</c:v>
                </c:pt>
                <c:pt idx="8">
                  <c:v>0.26</c:v>
                </c:pt>
                <c:pt idx="9">
                  <c:v>0.28999999999999998</c:v>
                </c:pt>
                <c:pt idx="10">
                  <c:v>0.3</c:v>
                </c:pt>
                <c:pt idx="11">
                  <c:v>0.31</c:v>
                </c:pt>
                <c:pt idx="12">
                  <c:v>0.35</c:v>
                </c:pt>
                <c:pt idx="13">
                  <c:v>0.43</c:v>
                </c:pt>
                <c:pt idx="14">
                  <c:v>0.43</c:v>
                </c:pt>
                <c:pt idx="15">
                  <c:v>0.43</c:v>
                </c:pt>
                <c:pt idx="16">
                  <c:v>0.48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D0B-4B60-85CD-77081AC82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3986912"/>
        <c:axId val="413987304"/>
      </c:scatterChart>
      <c:valAx>
        <c:axId val="413986912"/>
        <c:scaling>
          <c:orientation val="minMax"/>
          <c:max val="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GB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TOP /1,000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987304"/>
        <c:crosses val="autoZero"/>
        <c:crossBetween val="midCat"/>
      </c:valAx>
      <c:valAx>
        <c:axId val="413987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GB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Fetal deaths /1,000</a:t>
                </a:r>
              </a:p>
            </c:rich>
          </c:tx>
          <c:layout>
            <c:manualLayout>
              <c:xMode val="edge"/>
              <c:yMode val="edge"/>
              <c:x val="8.3333333333333297E-3"/>
              <c:y val="0.2870177165354330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9869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Sowmiya Moorthie</dc:creator>
  <cp:lastModifiedBy>Sowmiya Moorthie</cp:lastModifiedBy>
  <cp:revision>4</cp:revision>
  <dcterms:created xsi:type="dcterms:W3CDTF">2017-09-19T12:19:00Z</dcterms:created>
  <dcterms:modified xsi:type="dcterms:W3CDTF">2018-06-26T16:59:00Z</dcterms:modified>
</cp:coreProperties>
</file>