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E6C6C" w14:textId="31B51A57" w:rsidR="00BB2D15" w:rsidRPr="006B5FDC" w:rsidRDefault="008B4093" w:rsidP="00BB2D15">
      <w:pPr>
        <w:spacing w:line="480" w:lineRule="auto"/>
        <w:rPr>
          <w:rFonts w:ascii="Arial" w:hAnsi="Arial" w:cs="Arial"/>
          <w:b/>
          <w:sz w:val="22"/>
        </w:rPr>
      </w:pPr>
      <w:r w:rsidRPr="006B5FDC">
        <w:rPr>
          <w:rFonts w:ascii="Arial" w:hAnsi="Arial" w:cs="Arial"/>
          <w:b/>
          <w:sz w:val="22"/>
        </w:rPr>
        <w:t>Electronic S</w:t>
      </w:r>
      <w:r w:rsidR="00BB2D15" w:rsidRPr="006B5FDC">
        <w:rPr>
          <w:rFonts w:ascii="Arial" w:hAnsi="Arial" w:cs="Arial"/>
          <w:b/>
          <w:sz w:val="22"/>
        </w:rPr>
        <w:t xml:space="preserve">upplement 1 </w:t>
      </w:r>
    </w:p>
    <w:p w14:paraId="1F2CBD9F" w14:textId="77777777" w:rsidR="00BB2D15" w:rsidRPr="006B5FDC" w:rsidRDefault="00BB2D15" w:rsidP="00BB2D15">
      <w:pPr>
        <w:spacing w:line="480" w:lineRule="auto"/>
        <w:rPr>
          <w:rFonts w:ascii="Arial" w:hAnsi="Arial" w:cs="Arial"/>
          <w:b/>
          <w:sz w:val="22"/>
        </w:rPr>
      </w:pPr>
      <w:r w:rsidRPr="006B5FDC">
        <w:rPr>
          <w:rFonts w:ascii="Arial" w:hAnsi="Arial" w:cs="Arial"/>
          <w:b/>
          <w:sz w:val="22"/>
        </w:rPr>
        <w:t>Definition of bleeding events</w:t>
      </w:r>
    </w:p>
    <w:tbl>
      <w:tblPr>
        <w:tblStyle w:val="TableGrid"/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9"/>
      </w:tblGrid>
      <w:tr w:rsidR="00BB2D15" w:rsidRPr="006B5FDC" w14:paraId="6B0B036E" w14:textId="77777777" w:rsidTr="00FE0464">
        <w:tc>
          <w:tcPr>
            <w:tcW w:w="9299" w:type="dxa"/>
            <w:shd w:val="clear" w:color="auto" w:fill="F3F3F3"/>
          </w:tcPr>
          <w:p w14:paraId="1273442C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(1)</w:t>
            </w:r>
            <w:r w:rsidRPr="006B5FDC">
              <w:rPr>
                <w:rFonts w:ascii="Arial" w:hAnsi="Arial" w:cs="Arial"/>
              </w:rPr>
              <w:tab/>
              <w:t>Major bleeding (TIMI criteria)</w:t>
            </w:r>
          </w:p>
        </w:tc>
      </w:tr>
      <w:tr w:rsidR="00BB2D15" w:rsidRPr="006B5FDC" w14:paraId="3BAF2ACE" w14:textId="77777777" w:rsidTr="00FE0464">
        <w:tc>
          <w:tcPr>
            <w:tcW w:w="9299" w:type="dxa"/>
          </w:tcPr>
          <w:p w14:paraId="220629BC" w14:textId="7E485880" w:rsidR="00006FA2" w:rsidRPr="006B5FDC" w:rsidRDefault="00BB2D15" w:rsidP="00006FA2">
            <w:pPr>
              <w:pStyle w:val="BodyText"/>
              <w:spacing w:before="40" w:after="40" w:line="240" w:lineRule="exact"/>
              <w:ind w:left="113" w:right="113"/>
              <w:rPr>
                <w:rFonts w:ascii="Arial" w:eastAsiaTheme="minorEastAsia" w:hAnsi="Arial" w:cs="Arial"/>
                <w:lang w:eastAsia="ja-JP"/>
              </w:rPr>
            </w:pPr>
            <w:r w:rsidRPr="006B5FDC">
              <w:rPr>
                <w:rFonts w:ascii="Arial" w:hAnsi="Arial" w:cs="Arial"/>
              </w:rPr>
              <w:t xml:space="preserve">Documented intracranial hemorrhage or clinically overt bleeding with a decrease of hemoglobin by </w:t>
            </w:r>
            <w:r w:rsidRPr="006B5FDC">
              <w:rPr>
                <w:rFonts w:ascii="Arial" w:hAnsi="Arial" w:cs="Arial"/>
              </w:rPr>
              <w:sym w:font="Symbol" w:char="F0B3"/>
            </w:r>
            <w:r w:rsidRPr="006B5FDC">
              <w:rPr>
                <w:rFonts w:ascii="Arial" w:hAnsi="Arial" w:cs="Arial"/>
              </w:rPr>
              <w:t>5 g/dL.</w:t>
            </w:r>
          </w:p>
          <w:p w14:paraId="208F7CB0" w14:textId="617BD687" w:rsidR="00BB2D15" w:rsidRPr="006B5FDC" w:rsidRDefault="00BB2D15" w:rsidP="00006FA2">
            <w:pPr>
              <w:pStyle w:val="BodyText"/>
              <w:spacing w:before="40" w:after="40" w:line="24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Transfusion of 2 units of red cells (1 unit = 200 mL) will be converted to an increase in hemoglobin of 1 g/dL.</w:t>
            </w:r>
          </w:p>
        </w:tc>
      </w:tr>
      <w:tr w:rsidR="00BB2D15" w:rsidRPr="006B5FDC" w14:paraId="786A587A" w14:textId="77777777" w:rsidTr="00FE0464">
        <w:tc>
          <w:tcPr>
            <w:tcW w:w="9299" w:type="dxa"/>
            <w:shd w:val="clear" w:color="auto" w:fill="F3F3F3"/>
          </w:tcPr>
          <w:p w14:paraId="4A09E386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(2)</w:t>
            </w:r>
            <w:r w:rsidRPr="006B5FDC">
              <w:rPr>
                <w:rFonts w:ascii="Arial" w:hAnsi="Arial" w:cs="Arial"/>
              </w:rPr>
              <w:tab/>
              <w:t>Minor bleeding (TIMI criteria)</w:t>
            </w:r>
          </w:p>
        </w:tc>
      </w:tr>
      <w:tr w:rsidR="00BB2D15" w:rsidRPr="006B5FDC" w14:paraId="51B07A53" w14:textId="77777777" w:rsidTr="00FE0464">
        <w:tc>
          <w:tcPr>
            <w:tcW w:w="9299" w:type="dxa"/>
          </w:tcPr>
          <w:p w14:paraId="0532426D" w14:textId="38781E29" w:rsidR="00006FA2" w:rsidRPr="006B5FDC" w:rsidRDefault="00BB2D15" w:rsidP="00006FA2">
            <w:pPr>
              <w:pStyle w:val="BodyText"/>
              <w:spacing w:before="40" w:after="40" w:line="240" w:lineRule="exact"/>
              <w:ind w:left="113" w:right="113"/>
              <w:rPr>
                <w:rFonts w:ascii="Arial" w:eastAsiaTheme="minorEastAsia" w:hAnsi="Arial" w:cs="Arial"/>
                <w:lang w:eastAsia="ja-JP"/>
              </w:rPr>
            </w:pPr>
            <w:r w:rsidRPr="006B5FDC">
              <w:rPr>
                <w:rFonts w:ascii="Arial" w:hAnsi="Arial" w:cs="Arial"/>
              </w:rPr>
              <w:t xml:space="preserve">Documented clinically overt bleeding with a decrease of hemoglobin by </w:t>
            </w:r>
            <w:r w:rsidRPr="006B5FDC">
              <w:rPr>
                <w:rFonts w:ascii="Arial" w:hAnsi="Arial" w:cs="Arial"/>
              </w:rPr>
              <w:sym w:font="Symbol" w:char="F0B3"/>
            </w:r>
            <w:r w:rsidRPr="006B5FDC">
              <w:rPr>
                <w:rFonts w:ascii="Arial" w:hAnsi="Arial" w:cs="Arial"/>
              </w:rPr>
              <w:t>3 g/dL and &lt;5 g/dL.</w:t>
            </w:r>
          </w:p>
          <w:p w14:paraId="22D1477E" w14:textId="742B0385" w:rsidR="00BB2D15" w:rsidRPr="006B5FDC" w:rsidRDefault="00BB2D15" w:rsidP="00006FA2">
            <w:pPr>
              <w:pStyle w:val="BodyText"/>
              <w:spacing w:before="40" w:after="40" w:line="24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Transfusion of 2 units of red cells (1 unit = 200 mL) will be converted to an increase in hemoglobin of 1 g/dL.</w:t>
            </w:r>
          </w:p>
        </w:tc>
      </w:tr>
      <w:tr w:rsidR="00BB2D15" w:rsidRPr="006B5FDC" w14:paraId="27D75114" w14:textId="77777777" w:rsidTr="00FE0464">
        <w:tc>
          <w:tcPr>
            <w:tcW w:w="9299" w:type="dxa"/>
            <w:shd w:val="clear" w:color="auto" w:fill="F3F3F3"/>
          </w:tcPr>
          <w:p w14:paraId="7A519BEA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(3)</w:t>
            </w:r>
            <w:r w:rsidRPr="006B5FDC">
              <w:rPr>
                <w:rFonts w:ascii="Arial" w:hAnsi="Arial" w:cs="Arial"/>
              </w:rPr>
              <w:tab/>
              <w:t>Clinically relevant non-major bleeding</w:t>
            </w:r>
          </w:p>
        </w:tc>
      </w:tr>
      <w:tr w:rsidR="00BB2D15" w:rsidRPr="006B5FDC" w14:paraId="4AD7E763" w14:textId="77777777" w:rsidTr="00FE0464">
        <w:tc>
          <w:tcPr>
            <w:tcW w:w="9299" w:type="dxa"/>
          </w:tcPr>
          <w:p w14:paraId="0A4E237E" w14:textId="77777777" w:rsidR="00BB2D15" w:rsidRPr="006B5FDC" w:rsidRDefault="00BB2D15" w:rsidP="00FE0464">
            <w:pPr>
              <w:pStyle w:val="BodyText"/>
              <w:spacing w:before="40" w:line="23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Clinically relevant non-major bleeding that meets any of the following definitions:</w:t>
            </w:r>
          </w:p>
          <w:p w14:paraId="72B4473A" w14:textId="77777777" w:rsidR="00BB2D15" w:rsidRPr="006B5FDC" w:rsidRDefault="00BB2D15" w:rsidP="00FE0464">
            <w:pPr>
              <w:pStyle w:val="BodyText"/>
              <w:spacing w:line="230" w:lineRule="exact"/>
              <w:ind w:left="397" w:right="113" w:hanging="284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1)</w:t>
            </w:r>
            <w:r w:rsidRPr="006B5FDC">
              <w:rPr>
                <w:rFonts w:ascii="Arial" w:hAnsi="Arial" w:cs="Arial"/>
              </w:rPr>
              <w:tab/>
              <w:t>Bleeding that involves a critical organ (retroperitoneal, pericardial sac, posterior chamber of the eye (e.g., vitreous bleeding and retinal bleeding), intraspinal, and intra-articular hemorrhage.</w:t>
            </w:r>
          </w:p>
          <w:p w14:paraId="091D6D97" w14:textId="77777777" w:rsidR="00BB2D15" w:rsidRPr="006B5FDC" w:rsidRDefault="00BB2D15" w:rsidP="00FE0464">
            <w:pPr>
              <w:pStyle w:val="BodyText"/>
              <w:spacing w:line="230" w:lineRule="exact"/>
              <w:ind w:left="397" w:right="113" w:hanging="284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2)</w:t>
            </w:r>
            <w:r w:rsidRPr="006B5FDC">
              <w:rPr>
                <w:rFonts w:ascii="Arial" w:hAnsi="Arial" w:cs="Arial"/>
              </w:rPr>
              <w:tab/>
              <w:t>Gastrointestinal hemorrhage with a decrease of hemoglobin (unrelated to intubation or placement of a nasogastric tube).</w:t>
            </w:r>
          </w:p>
          <w:p w14:paraId="4901F486" w14:textId="77777777" w:rsidR="00BB2D15" w:rsidRPr="006B5FDC" w:rsidRDefault="00BB2D15" w:rsidP="00FE0464">
            <w:pPr>
              <w:pStyle w:val="BodyText"/>
              <w:spacing w:line="230" w:lineRule="exact"/>
              <w:ind w:left="397" w:right="113" w:hanging="284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3)</w:t>
            </w:r>
            <w:r w:rsidRPr="006B5FDC">
              <w:rPr>
                <w:rFonts w:ascii="Arial" w:hAnsi="Arial" w:cs="Arial"/>
              </w:rPr>
              <w:tab/>
              <w:t>Macroscopic hematuria without involvement of external factors.</w:t>
            </w:r>
          </w:p>
          <w:p w14:paraId="6B0E9B22" w14:textId="77777777" w:rsidR="00BB2D15" w:rsidRPr="006B5FDC" w:rsidRDefault="00BB2D15" w:rsidP="00FE0464">
            <w:pPr>
              <w:pStyle w:val="BodyText"/>
              <w:spacing w:line="230" w:lineRule="exact"/>
              <w:ind w:left="397" w:right="113" w:hanging="284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4)</w:t>
            </w:r>
            <w:r w:rsidRPr="006B5FDC">
              <w:rPr>
                <w:rFonts w:ascii="Arial" w:hAnsi="Arial" w:cs="Arial"/>
              </w:rPr>
              <w:tab/>
              <w:t>Epistaxis requiring an otological procedure.</w:t>
            </w:r>
          </w:p>
          <w:p w14:paraId="2A625B1E" w14:textId="77777777" w:rsidR="00BB2D15" w:rsidRPr="006B5FDC" w:rsidRDefault="00BB2D15" w:rsidP="00FE0464">
            <w:pPr>
              <w:pStyle w:val="BodyText"/>
              <w:spacing w:line="230" w:lineRule="exact"/>
              <w:ind w:left="397" w:right="113" w:hanging="284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5)</w:t>
            </w:r>
            <w:r w:rsidRPr="006B5FDC">
              <w:rPr>
                <w:rFonts w:ascii="Arial" w:hAnsi="Arial" w:cs="Arial"/>
              </w:rPr>
              <w:tab/>
              <w:t>Gingival bleeding requiring a dental procedure.</w:t>
            </w:r>
          </w:p>
          <w:p w14:paraId="1A4E59CE" w14:textId="77777777" w:rsidR="00BB2D15" w:rsidRPr="006B5FDC" w:rsidRDefault="00BB2D15" w:rsidP="00FE0464">
            <w:pPr>
              <w:pStyle w:val="BodyText"/>
              <w:spacing w:after="40" w:line="230" w:lineRule="exact"/>
              <w:ind w:left="397" w:right="113" w:hanging="284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6)</w:t>
            </w:r>
            <w:r w:rsidRPr="006B5FDC">
              <w:rPr>
                <w:rFonts w:ascii="Arial" w:hAnsi="Arial" w:cs="Arial"/>
              </w:rPr>
              <w:tab/>
              <w:t>Bleeding that requires termination or suspension of prasugrel treatment in the investigator’s opinion.</w:t>
            </w:r>
          </w:p>
        </w:tc>
      </w:tr>
      <w:tr w:rsidR="00BB2D15" w:rsidRPr="006B5FDC" w14:paraId="1215A495" w14:textId="77777777" w:rsidTr="00FE0464">
        <w:tc>
          <w:tcPr>
            <w:tcW w:w="9299" w:type="dxa"/>
            <w:shd w:val="clear" w:color="auto" w:fill="F3F3F3"/>
          </w:tcPr>
          <w:p w14:paraId="57D4999B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(4)</w:t>
            </w:r>
            <w:r w:rsidRPr="006B5FDC">
              <w:rPr>
                <w:rFonts w:ascii="Arial" w:hAnsi="Arial" w:cs="Arial"/>
              </w:rPr>
              <w:tab/>
              <w:t>Other bleeding</w:t>
            </w:r>
          </w:p>
        </w:tc>
      </w:tr>
      <w:tr w:rsidR="00BB2D15" w:rsidRPr="006B5FDC" w14:paraId="314A2E61" w14:textId="77777777" w:rsidTr="00FE0464">
        <w:tc>
          <w:tcPr>
            <w:tcW w:w="9299" w:type="dxa"/>
          </w:tcPr>
          <w:p w14:paraId="6357905D" w14:textId="77777777" w:rsidR="00BB2D15" w:rsidRPr="006B5FDC" w:rsidRDefault="00BB2D15" w:rsidP="00FE0464">
            <w:pPr>
              <w:pStyle w:val="BodyText"/>
              <w:spacing w:before="40" w:after="40" w:line="23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Any other bleeding event that does not fit the criteria for major bleeding, minor bleeding, and clinically relevant non-major bleeding (except intraoperative bleeding of the expected amount associated with invasive procedures such as PCI).</w:t>
            </w:r>
          </w:p>
        </w:tc>
      </w:tr>
    </w:tbl>
    <w:p w14:paraId="05E21CFA" w14:textId="77777777" w:rsidR="00BB2D15" w:rsidRPr="006B5FDC" w:rsidRDefault="00BB2D15" w:rsidP="00BB2D15">
      <w:pPr>
        <w:spacing w:line="480" w:lineRule="auto"/>
        <w:ind w:left="360"/>
        <w:rPr>
          <w:rFonts w:ascii="Arial" w:hAnsi="Arial" w:cs="Arial"/>
          <w:b/>
          <w:sz w:val="22"/>
        </w:rPr>
      </w:pPr>
      <w:r w:rsidRPr="006B5FDC">
        <w:rPr>
          <w:rFonts w:ascii="Arial" w:hAnsi="Arial" w:cs="Arial"/>
          <w:sz w:val="22"/>
        </w:rPr>
        <w:t>TIMI,</w:t>
      </w:r>
      <w:r w:rsidRPr="006B5FDC">
        <w:rPr>
          <w:rFonts w:ascii="Arial" w:hAnsi="Arial" w:cs="Arial"/>
          <w:b/>
          <w:sz w:val="22"/>
        </w:rPr>
        <w:t xml:space="preserve"> </w:t>
      </w:r>
      <w:r w:rsidRPr="006B5FDC">
        <w:rPr>
          <w:rFonts w:ascii="Arial" w:hAnsi="Arial" w:cs="Arial"/>
          <w:sz w:val="22"/>
          <w:szCs w:val="22"/>
        </w:rPr>
        <w:t>thrombolysis in myocardial infarction; PCI, percutaneous coronary intervention</w:t>
      </w:r>
    </w:p>
    <w:p w14:paraId="6AE2C33A" w14:textId="77777777" w:rsidR="00BB2D15" w:rsidRPr="006B5FDC" w:rsidRDefault="00BB2D15" w:rsidP="00BB2D15">
      <w:pPr>
        <w:spacing w:line="480" w:lineRule="auto"/>
        <w:rPr>
          <w:rFonts w:ascii="Arial" w:eastAsiaTheme="minorEastAsia" w:hAnsi="Arial" w:cs="Arial"/>
          <w:b/>
          <w:sz w:val="22"/>
          <w:lang w:eastAsia="ja-JP"/>
        </w:rPr>
      </w:pPr>
    </w:p>
    <w:p w14:paraId="1868880D" w14:textId="77777777" w:rsidR="00BB2D15" w:rsidRPr="006B5FDC" w:rsidRDefault="00BB2D15" w:rsidP="00BB2D15">
      <w:pPr>
        <w:spacing w:line="480" w:lineRule="auto"/>
        <w:rPr>
          <w:rFonts w:ascii="Arial" w:hAnsi="Arial" w:cs="Arial"/>
          <w:b/>
          <w:sz w:val="22"/>
        </w:rPr>
      </w:pPr>
      <w:r w:rsidRPr="006B5FDC">
        <w:rPr>
          <w:rFonts w:ascii="Arial" w:hAnsi="Arial" w:cs="Arial"/>
          <w:b/>
          <w:sz w:val="22"/>
        </w:rPr>
        <w:t>Definitions of cardiovascular events</w:t>
      </w:r>
      <w:r w:rsidRPr="006B5FDC" w:rsidDel="003D0C3E">
        <w:rPr>
          <w:rFonts w:ascii="Arial" w:hAnsi="Arial" w:cs="Arial"/>
          <w:b/>
          <w:sz w:val="22"/>
        </w:rPr>
        <w:t xml:space="preserve"> </w:t>
      </w:r>
    </w:p>
    <w:tbl>
      <w:tblPr>
        <w:tblStyle w:val="TableGrid"/>
        <w:tblW w:w="9299" w:type="dxa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9"/>
      </w:tblGrid>
      <w:tr w:rsidR="00BB2D15" w:rsidRPr="006B5FDC" w14:paraId="6BE9FC29" w14:textId="77777777" w:rsidTr="00FE0464">
        <w:tc>
          <w:tcPr>
            <w:tcW w:w="9299" w:type="dxa"/>
            <w:shd w:val="clear" w:color="auto" w:fill="F3F3F3"/>
          </w:tcPr>
          <w:p w14:paraId="7D38177C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(1)</w:t>
            </w:r>
            <w:r w:rsidRPr="006B5FDC">
              <w:rPr>
                <w:rFonts w:ascii="Arial" w:hAnsi="Arial" w:cs="Arial"/>
              </w:rPr>
              <w:tab/>
              <w:t>Death</w:t>
            </w:r>
          </w:p>
        </w:tc>
      </w:tr>
      <w:tr w:rsidR="00BB2D15" w:rsidRPr="006B5FDC" w14:paraId="14C000EB" w14:textId="77777777" w:rsidTr="00FE0464">
        <w:tc>
          <w:tcPr>
            <w:tcW w:w="9299" w:type="dxa"/>
          </w:tcPr>
          <w:p w14:paraId="0A7BA483" w14:textId="77777777" w:rsidR="00BB2D15" w:rsidRPr="006B5FDC" w:rsidRDefault="00BB2D15" w:rsidP="00FE0464">
            <w:pPr>
              <w:pStyle w:val="BodyText"/>
              <w:spacing w:before="40" w:line="24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Any deaths, irrespective of etiology.</w:t>
            </w:r>
          </w:p>
          <w:p w14:paraId="4462F38E" w14:textId="77777777" w:rsidR="00BB2D15" w:rsidRPr="006B5FDC" w:rsidRDefault="00BB2D15" w:rsidP="00FE0464">
            <w:pPr>
              <w:pStyle w:val="BodyText"/>
              <w:spacing w:line="240" w:lineRule="exact"/>
              <w:ind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Cardiovascular death: Patients dying from cardiovascular disease.</w:t>
            </w:r>
          </w:p>
          <w:p w14:paraId="232670BE" w14:textId="77777777" w:rsidR="00BB2D15" w:rsidRPr="006B5FDC" w:rsidRDefault="00BB2D15" w:rsidP="00FE0464">
            <w:pPr>
              <w:pStyle w:val="BodyText"/>
              <w:spacing w:after="40" w:line="240" w:lineRule="exact"/>
              <w:ind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Non-cardiovascular death: Patients dying from any cause other than cardiovascular disease.</w:t>
            </w:r>
          </w:p>
        </w:tc>
      </w:tr>
      <w:tr w:rsidR="00BB2D15" w:rsidRPr="006B5FDC" w14:paraId="2370343D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24EFED52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(2)</w:t>
            </w:r>
            <w:r w:rsidRPr="006B5FDC">
              <w:rPr>
                <w:rFonts w:ascii="Arial" w:hAnsi="Arial" w:cs="Arial"/>
              </w:rPr>
              <w:tab/>
              <w:t>Non-fatal myocardial infarction</w:t>
            </w:r>
          </w:p>
        </w:tc>
      </w:tr>
      <w:tr w:rsidR="00BB2D15" w:rsidRPr="006B5FDC" w14:paraId="4A0C1C09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2290CCA6" w14:textId="77777777" w:rsidR="00BB2D15" w:rsidRPr="006B5FDC" w:rsidRDefault="00BB2D15" w:rsidP="00FE0464">
            <w:pPr>
              <w:pStyle w:val="BodyText"/>
              <w:spacing w:before="40" w:line="24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 xml:space="preserve">Symptoms suspected to be due to new-onset (acute) or recurrent myocardial infarction occur after initial PCI or CABG has been performed, and non-fatal myocardial infarction is diagnosed on the basis of myocardial injury markers </w:t>
            </w:r>
            <w:r w:rsidRPr="006B5FDC">
              <w:rPr>
                <w:rFonts w:ascii="Arial" w:hAnsi="Arial" w:cs="Arial"/>
              </w:rPr>
              <w:lastRenderedPageBreak/>
              <w:t>(cardiac enzymes) and/or ECG findings.*</w:t>
            </w:r>
          </w:p>
          <w:p w14:paraId="2807B088" w14:textId="77777777" w:rsidR="00BB2D15" w:rsidRPr="006B5FDC" w:rsidRDefault="00BB2D15" w:rsidP="00FE0464">
            <w:pPr>
              <w:pStyle w:val="BodyText"/>
              <w:spacing w:after="40" w:line="220" w:lineRule="exact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6B5FDC">
              <w:rPr>
                <w:rFonts w:ascii="Arial" w:hAnsi="Arial" w:cs="Arial"/>
                <w:sz w:val="18"/>
                <w:szCs w:val="18"/>
              </w:rPr>
              <w:t xml:space="preserve">*New or recurrent ST segment deviation by </w:t>
            </w:r>
            <w:r w:rsidRPr="006B5FDC">
              <w:rPr>
                <w:rFonts w:ascii="Arial" w:hAnsi="Arial" w:cs="Arial"/>
                <w:sz w:val="18"/>
                <w:szCs w:val="18"/>
              </w:rPr>
              <w:sym w:font="Symbol" w:char="F0B3"/>
            </w:r>
            <w:r w:rsidRPr="006B5FDC">
              <w:rPr>
                <w:rFonts w:ascii="Arial" w:hAnsi="Arial" w:cs="Arial"/>
                <w:sz w:val="18"/>
                <w:szCs w:val="18"/>
              </w:rPr>
              <w:sym w:font="Symbol" w:char="F0B1"/>
            </w:r>
            <w:r w:rsidRPr="006B5FDC">
              <w:rPr>
                <w:rFonts w:ascii="Arial" w:hAnsi="Arial" w:cs="Arial"/>
                <w:sz w:val="18"/>
                <w:szCs w:val="18"/>
              </w:rPr>
              <w:t>1 mm or (0.1 mV) or new appearance of aberrant Q waves.</w:t>
            </w:r>
          </w:p>
        </w:tc>
      </w:tr>
      <w:tr w:rsidR="00BB2D15" w:rsidRPr="006B5FDC" w14:paraId="027B0C8A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4D9C5BD0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lastRenderedPageBreak/>
              <w:t>(3)</w:t>
            </w:r>
            <w:r w:rsidRPr="006B5FDC">
              <w:rPr>
                <w:rFonts w:ascii="Arial" w:hAnsi="Arial" w:cs="Arial"/>
              </w:rPr>
              <w:tab/>
              <w:t>Re-hospitalization due to angina pectoris</w:t>
            </w:r>
          </w:p>
        </w:tc>
      </w:tr>
      <w:tr w:rsidR="00BB2D15" w:rsidRPr="006B5FDC" w14:paraId="277F2E3B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459CB2AB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 xml:space="preserve">Re-hospitalization or prolongation of the hospital stay due to new-onset or recurrent chest pain, with new or recurrent ST segment deviation by </w:t>
            </w:r>
            <w:r w:rsidRPr="006B5FDC">
              <w:rPr>
                <w:rFonts w:ascii="Arial" w:hAnsi="Arial" w:cs="Arial"/>
              </w:rPr>
              <w:sym w:font="Symbol" w:char="F0B3"/>
            </w:r>
            <w:r w:rsidRPr="006B5FDC">
              <w:rPr>
                <w:rFonts w:ascii="Arial" w:hAnsi="Arial" w:cs="Arial"/>
              </w:rPr>
              <w:sym w:font="Symbol" w:char="F0B1"/>
            </w:r>
            <w:r w:rsidRPr="006B5FDC">
              <w:rPr>
                <w:rFonts w:ascii="Arial" w:hAnsi="Arial" w:cs="Arial"/>
              </w:rPr>
              <w:t>1 mm or (0.1 mV).</w:t>
            </w:r>
          </w:p>
        </w:tc>
      </w:tr>
      <w:tr w:rsidR="00BB2D15" w:rsidRPr="006B5FDC" w14:paraId="5FDF8A57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551D4B53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(4)</w:t>
            </w:r>
            <w:r w:rsidRPr="006B5FDC">
              <w:rPr>
                <w:rFonts w:ascii="Arial" w:hAnsi="Arial" w:cs="Arial"/>
              </w:rPr>
              <w:tab/>
              <w:t>Cerebral stroke</w:t>
            </w:r>
          </w:p>
        </w:tc>
      </w:tr>
      <w:tr w:rsidR="00BB2D15" w:rsidRPr="006B5FDC" w14:paraId="3C007CB5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54"/>
        </w:trPr>
        <w:tc>
          <w:tcPr>
            <w:tcW w:w="9299" w:type="dxa"/>
          </w:tcPr>
          <w:p w14:paraId="1DCB079F" w14:textId="77777777" w:rsidR="00BB2D15" w:rsidRPr="006B5FDC" w:rsidRDefault="00BB2D15" w:rsidP="00FE0464">
            <w:pPr>
              <w:pStyle w:val="BodyText"/>
              <w:spacing w:before="40" w:line="24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New occurrence of neurological symptoms/signs with CT or MRI documentation of a relevant lesion. Stroke is classified as ischemic or non-ischemic stroke.</w:t>
            </w:r>
          </w:p>
          <w:p w14:paraId="10F01457" w14:textId="77777777" w:rsidR="00BB2D15" w:rsidRPr="006B5FDC" w:rsidRDefault="00BB2D15" w:rsidP="00FE0464">
            <w:pPr>
              <w:pStyle w:val="BodyText"/>
              <w:spacing w:line="240" w:lineRule="exact"/>
              <w:ind w:left="820" w:right="113" w:hanging="480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Ischemic stroke: Atherothrombotic cerebral infarction, cardiogenic cerebral embolism, lacunar infarction, and unspecified cerebral infarction</w:t>
            </w:r>
          </w:p>
          <w:p w14:paraId="6548FC35" w14:textId="77777777" w:rsidR="00BB2D15" w:rsidRPr="006B5FDC" w:rsidRDefault="00BB2D15" w:rsidP="00FE0464">
            <w:pPr>
              <w:pStyle w:val="BodyText"/>
              <w:spacing w:after="40" w:line="240" w:lineRule="exact"/>
              <w:ind w:left="2211" w:right="113" w:hanging="1871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Non-ischemic stroke: Cerebral hemorrhage (including subarachnoid hemorrhage)</w:t>
            </w:r>
          </w:p>
        </w:tc>
      </w:tr>
      <w:tr w:rsidR="00BB2D15" w:rsidRPr="006B5FDC" w14:paraId="63614BD4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79BD0477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(5)</w:t>
            </w:r>
            <w:r w:rsidRPr="006B5FDC">
              <w:rPr>
                <w:rFonts w:ascii="Arial" w:hAnsi="Arial" w:cs="Arial"/>
              </w:rPr>
              <w:tab/>
              <w:t>Stent thrombosis</w:t>
            </w:r>
          </w:p>
        </w:tc>
      </w:tr>
      <w:tr w:rsidR="00BB2D15" w:rsidRPr="006B5FDC" w14:paraId="6E0F4465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26A6F4EF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“Definite”, “probable”, or “possible” stent thrombosis according to the ARC definitions.</w:t>
            </w:r>
          </w:p>
        </w:tc>
      </w:tr>
      <w:tr w:rsidR="00BB2D15" w:rsidRPr="006B5FDC" w14:paraId="0C142768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5ABFD325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510" w:right="113" w:hanging="397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(6)</w:t>
            </w:r>
            <w:r w:rsidRPr="006B5FDC">
              <w:rPr>
                <w:rFonts w:ascii="Arial" w:hAnsi="Arial" w:cs="Arial"/>
              </w:rPr>
              <w:tab/>
              <w:t>Revascularization</w:t>
            </w:r>
          </w:p>
        </w:tc>
      </w:tr>
      <w:tr w:rsidR="00BB2D15" w:rsidRPr="006B5FDC" w14:paraId="1FED15D4" w14:textId="77777777" w:rsidTr="00FE04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299" w:type="dxa"/>
          </w:tcPr>
          <w:p w14:paraId="7C388902" w14:textId="77777777" w:rsidR="00BB2D15" w:rsidRPr="006B5FDC" w:rsidRDefault="00BB2D15" w:rsidP="00FE0464">
            <w:pPr>
              <w:pStyle w:val="BodyText"/>
              <w:spacing w:before="40" w:after="40" w:line="240" w:lineRule="exact"/>
              <w:ind w:left="113" w:right="113"/>
              <w:rPr>
                <w:rFonts w:ascii="Arial" w:hAnsi="Arial" w:cs="Arial"/>
              </w:rPr>
            </w:pPr>
            <w:r w:rsidRPr="006B5FDC">
              <w:rPr>
                <w:rFonts w:ascii="Arial" w:hAnsi="Arial" w:cs="Arial"/>
              </w:rPr>
              <w:t>New non-elective (emergency) PCI or CABG other than the initial PCI/CABG or as coronary thrombolytic therapy.</w:t>
            </w:r>
          </w:p>
        </w:tc>
      </w:tr>
    </w:tbl>
    <w:p w14:paraId="656B227B" w14:textId="22D3B0EA" w:rsidR="00545203" w:rsidRDefault="00BB2D15" w:rsidP="00BB2D15">
      <w:pPr>
        <w:spacing w:line="480" w:lineRule="auto"/>
        <w:ind w:left="360"/>
        <w:rPr>
          <w:rFonts w:ascii="Arial" w:hAnsi="Arial" w:cs="Arial"/>
          <w:sz w:val="22"/>
        </w:rPr>
      </w:pPr>
      <w:r w:rsidRPr="006B5FDC">
        <w:rPr>
          <w:rFonts w:ascii="Arial" w:hAnsi="Arial" w:cs="Arial"/>
          <w:sz w:val="22"/>
        </w:rPr>
        <w:t>PCI, percutaneous coronary intervention; CABG, coronary artery bypass grafting; ECG, electrocardiogram; CT, computed tomography; MRI, magnetic resonance imaging; ARC, Academic Research Consortium</w:t>
      </w:r>
    </w:p>
    <w:p w14:paraId="2E36D873" w14:textId="77777777" w:rsidR="00545203" w:rsidRDefault="00545203">
      <w:pPr>
        <w:spacing w:after="160"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C3833DF" w14:textId="77777777" w:rsidR="00545203" w:rsidRPr="003D6133" w:rsidRDefault="00545203" w:rsidP="00545203">
      <w:pPr>
        <w:spacing w:line="480" w:lineRule="auto"/>
        <w:rPr>
          <w:rFonts w:ascii="Arial" w:eastAsiaTheme="minorEastAsia" w:hAnsi="Arial" w:cs="Arial"/>
          <w:sz w:val="22"/>
          <w:lang w:eastAsia="ja-JP"/>
        </w:rPr>
      </w:pPr>
      <w:bookmarkStart w:id="0" w:name="_GoBack"/>
      <w:bookmarkEnd w:id="0"/>
      <w:r w:rsidRPr="003D6133">
        <w:rPr>
          <w:rFonts w:ascii="Arial" w:eastAsiaTheme="minorEastAsia" w:hAnsi="Arial" w:cs="Arial"/>
          <w:b/>
          <w:sz w:val="22"/>
          <w:lang w:eastAsia="ja-JP"/>
        </w:rPr>
        <w:lastRenderedPageBreak/>
        <w:t xml:space="preserve">Electronic Supplement 2. </w:t>
      </w:r>
      <w:r w:rsidRPr="003D6133">
        <w:rPr>
          <w:rFonts w:ascii="Arial" w:eastAsiaTheme="minorEastAsia" w:hAnsi="Arial" w:cs="Arial"/>
          <w:sz w:val="22"/>
          <w:lang w:eastAsia="ja-JP"/>
        </w:rPr>
        <w:t>Summary of adverse drug reactions and serious adverse drug reactions</w:t>
      </w:r>
    </w:p>
    <w:tbl>
      <w:tblPr>
        <w:tblW w:w="8280" w:type="dxa"/>
        <w:tblInd w:w="93" w:type="dxa"/>
        <w:tblLook w:val="04A0" w:firstRow="1" w:lastRow="0" w:firstColumn="1" w:lastColumn="0" w:noHBand="0" w:noVBand="1"/>
      </w:tblPr>
      <w:tblGrid>
        <w:gridCol w:w="4840"/>
        <w:gridCol w:w="776"/>
        <w:gridCol w:w="944"/>
        <w:gridCol w:w="775"/>
        <w:gridCol w:w="945"/>
      </w:tblGrid>
      <w:tr w:rsidR="00545203" w:rsidRPr="003D6133" w14:paraId="1DF369DA" w14:textId="77777777" w:rsidTr="00247B95">
        <w:trPr>
          <w:trHeight w:val="73"/>
        </w:trPr>
        <w:tc>
          <w:tcPr>
            <w:tcW w:w="4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32AADA6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>Item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547404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="MS Mincho" w:hAnsi="Arial" w:cs="Arial"/>
                <w:b/>
                <w:color w:val="000000"/>
                <w:sz w:val="22"/>
                <w:szCs w:val="22"/>
                <w:lang w:eastAsia="ja-JP"/>
              </w:rPr>
              <w:t>Result</w:t>
            </w:r>
          </w:p>
        </w:tc>
      </w:tr>
      <w:tr w:rsidR="00545203" w:rsidRPr="003D6133" w14:paraId="1F17C186" w14:textId="77777777" w:rsidTr="00247B95">
        <w:trPr>
          <w:trHeight w:val="73"/>
        </w:trPr>
        <w:tc>
          <w:tcPr>
            <w:tcW w:w="4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E309F5C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>No. of patients in the safety analysis set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5E4F5F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="MS PGothic" w:hAnsi="Arial" w:cs="Arial"/>
                <w:color w:val="000000"/>
                <w:sz w:val="22"/>
                <w:szCs w:val="22"/>
                <w:lang w:eastAsia="ja-JP"/>
              </w:rPr>
              <w:t>732</w:t>
            </w:r>
          </w:p>
        </w:tc>
      </w:tr>
      <w:tr w:rsidR="00545203" w:rsidRPr="003D6133" w14:paraId="529CF230" w14:textId="77777777" w:rsidTr="00247B95">
        <w:trPr>
          <w:trHeight w:val="73"/>
        </w:trPr>
        <w:tc>
          <w:tcPr>
            <w:tcW w:w="4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D67F0EB" w14:textId="77777777" w:rsidR="00545203" w:rsidRPr="003D6133" w:rsidRDefault="00545203" w:rsidP="00247B95">
            <w:pPr>
              <w:spacing w:line="276" w:lineRule="auto"/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>No. of patients with ADRs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924CE6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="MS PGothic" w:hAnsi="Arial" w:cs="Arial"/>
                <w:color w:val="000000"/>
                <w:sz w:val="22"/>
                <w:szCs w:val="22"/>
                <w:lang w:eastAsia="ja-JP"/>
              </w:rPr>
              <w:t>63</w:t>
            </w:r>
          </w:p>
        </w:tc>
      </w:tr>
      <w:tr w:rsidR="00545203" w:rsidRPr="003D6133" w14:paraId="4607D38D" w14:textId="77777777" w:rsidTr="00247B95">
        <w:trPr>
          <w:trHeight w:val="73"/>
        </w:trPr>
        <w:tc>
          <w:tcPr>
            <w:tcW w:w="4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040516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>No. of patients with serious ADRs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43FB2E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="MS PGothic" w:hAnsi="Arial" w:cs="Arial"/>
                <w:color w:val="000000"/>
                <w:sz w:val="22"/>
                <w:szCs w:val="22"/>
                <w:lang w:eastAsia="ja-JP"/>
              </w:rPr>
              <w:t>25</w:t>
            </w:r>
          </w:p>
        </w:tc>
      </w:tr>
      <w:tr w:rsidR="00545203" w:rsidRPr="003D6133" w14:paraId="54B150FE" w14:textId="77777777" w:rsidTr="00247B95">
        <w:trPr>
          <w:trHeight w:val="73"/>
        </w:trPr>
        <w:tc>
          <w:tcPr>
            <w:tcW w:w="4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54B98C6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 xml:space="preserve">Incidence of patients with ADRs </w:t>
            </w:r>
            <w:r w:rsidRPr="003D6133">
              <w:rPr>
                <w:rFonts w:ascii="Arial" w:eastAsia="MS Mincho" w:hAnsi="Arial" w:cs="Arial"/>
                <w:b/>
                <w:color w:val="000000"/>
                <w:sz w:val="22"/>
                <w:szCs w:val="22"/>
                <w:lang w:eastAsia="ja-JP"/>
              </w:rPr>
              <w:t>(</w:t>
            </w: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%</w:t>
            </w:r>
            <w:r w:rsidRPr="003D6133">
              <w:rPr>
                <w:rFonts w:ascii="Arial" w:eastAsia="MS Mincho" w:hAnsi="Arial" w:cs="Arial"/>
                <w:b/>
                <w:color w:val="00000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30A186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="MS PGothic" w:hAnsi="Arial" w:cs="Arial"/>
                <w:color w:val="000000"/>
                <w:sz w:val="22"/>
                <w:szCs w:val="22"/>
                <w:lang w:eastAsia="ja-JP"/>
              </w:rPr>
              <w:t>8.6</w:t>
            </w:r>
          </w:p>
        </w:tc>
      </w:tr>
      <w:tr w:rsidR="00545203" w:rsidRPr="003D6133" w14:paraId="64BC556B" w14:textId="77777777" w:rsidTr="00247B95">
        <w:trPr>
          <w:trHeight w:val="73"/>
        </w:trPr>
        <w:tc>
          <w:tcPr>
            <w:tcW w:w="4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17D0CC5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 xml:space="preserve">Incidence of patients with serious ADRs </w:t>
            </w:r>
            <w:r w:rsidRPr="003D6133">
              <w:rPr>
                <w:rFonts w:ascii="Arial" w:eastAsia="MS Mincho" w:hAnsi="Arial" w:cs="Arial"/>
                <w:b/>
                <w:color w:val="000000"/>
                <w:sz w:val="22"/>
                <w:szCs w:val="22"/>
                <w:lang w:eastAsia="ja-JP"/>
              </w:rPr>
              <w:t>(</w:t>
            </w: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%</w:t>
            </w:r>
            <w:r w:rsidRPr="003D6133">
              <w:rPr>
                <w:rFonts w:ascii="Arial" w:eastAsia="MS Mincho" w:hAnsi="Arial" w:cs="Arial"/>
                <w:b/>
                <w:color w:val="00000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5FBC02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="MS PGothic" w:hAnsi="Arial" w:cs="Arial"/>
                <w:color w:val="000000"/>
                <w:sz w:val="22"/>
                <w:szCs w:val="22"/>
                <w:lang w:eastAsia="ja-JP"/>
              </w:rPr>
              <w:t>3.4</w:t>
            </w:r>
          </w:p>
        </w:tc>
      </w:tr>
      <w:tr w:rsidR="00545203" w:rsidRPr="003D6133" w14:paraId="507EEB89" w14:textId="77777777" w:rsidTr="00247B95">
        <w:trPr>
          <w:trHeight w:val="73"/>
        </w:trPr>
        <w:tc>
          <w:tcPr>
            <w:tcW w:w="4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825C8A8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>Type of ADR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8FA641" w14:textId="77777777" w:rsidR="00545203" w:rsidRPr="003D6133" w:rsidRDefault="00545203" w:rsidP="00247B95">
            <w:pPr>
              <w:snapToGrid w:val="0"/>
              <w:spacing w:line="276" w:lineRule="auto"/>
              <w:jc w:val="center"/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>No. of patients with ADRs</w:t>
            </w:r>
            <w:r w:rsidRPr="003D6133">
              <w:rPr>
                <w:rFonts w:ascii="Arial" w:eastAsia="MS Gothic" w:hAnsi="Arial" w:cs="Arial"/>
                <w:b/>
                <w:color w:val="000000"/>
                <w:sz w:val="22"/>
                <w:szCs w:val="22"/>
                <w:lang w:eastAsia="ja-JP"/>
              </w:rPr>
              <w:t xml:space="preserve"> (</w:t>
            </w: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%</w:t>
            </w:r>
            <w:r w:rsidRPr="003D6133">
              <w:rPr>
                <w:rFonts w:ascii="Arial" w:eastAsia="MS Gothic" w:hAnsi="Arial" w:cs="Arial"/>
                <w:b/>
                <w:color w:val="00000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E9E18E" w14:textId="77777777" w:rsidR="00545203" w:rsidRPr="003D6133" w:rsidRDefault="00545203" w:rsidP="00247B95">
            <w:pPr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eastAsiaTheme="minorEastAsia" w:hAnsi="Arial" w:cs="Arial"/>
                <w:b/>
                <w:color w:val="000000"/>
                <w:sz w:val="22"/>
                <w:szCs w:val="22"/>
                <w:lang w:eastAsia="ja-JP"/>
              </w:rPr>
              <w:t>No. of patients with serious ADRs</w:t>
            </w:r>
            <w:r w:rsidRPr="003D6133">
              <w:rPr>
                <w:rFonts w:ascii="Arial" w:eastAsia="MS Gothic" w:hAnsi="Arial" w:cs="Arial"/>
                <w:b/>
                <w:color w:val="000000"/>
                <w:sz w:val="22"/>
                <w:szCs w:val="22"/>
                <w:lang w:eastAsia="ja-JP"/>
              </w:rPr>
              <w:t xml:space="preserve"> (</w:t>
            </w: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%</w:t>
            </w:r>
            <w:r w:rsidRPr="003D6133">
              <w:rPr>
                <w:rFonts w:ascii="Arial" w:eastAsia="MS Gothic" w:hAnsi="Arial" w:cs="Arial"/>
                <w:b/>
                <w:color w:val="000000"/>
                <w:sz w:val="22"/>
                <w:szCs w:val="22"/>
                <w:lang w:eastAsia="ja-JP"/>
              </w:rPr>
              <w:t>)</w:t>
            </w:r>
          </w:p>
        </w:tc>
      </w:tr>
      <w:tr w:rsidR="00545203" w:rsidRPr="003D6133" w14:paraId="2ABFABEC" w14:textId="77777777" w:rsidTr="00247B95">
        <w:trPr>
          <w:trHeight w:val="300"/>
        </w:trPr>
        <w:tc>
          <w:tcPr>
            <w:tcW w:w="48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ED6A4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Blood and lymphatic system disorders</w:t>
            </w:r>
          </w:p>
        </w:tc>
        <w:tc>
          <w:tcPr>
            <w:tcW w:w="7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D0C53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944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76E8F37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eastAsiaTheme="minorEastAsia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  <w:r w:rsidRPr="003D6133">
              <w:rPr>
                <w:rFonts w:ascii="Arial" w:eastAsiaTheme="minorEastAsia" w:hAnsi="Arial" w:cs="Arial"/>
                <w:color w:val="000000"/>
                <w:sz w:val="22"/>
                <w:szCs w:val="22"/>
                <w:lang w:eastAsia="ja-JP"/>
              </w:rPr>
              <w:t>.0</w:t>
            </w:r>
          </w:p>
        </w:tc>
        <w:tc>
          <w:tcPr>
            <w:tcW w:w="775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778FA43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725A88A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0.4</w:t>
            </w:r>
          </w:p>
        </w:tc>
      </w:tr>
      <w:tr w:rsidR="00545203" w:rsidRPr="003D6133" w14:paraId="0B1B612E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63344E5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Eye disorders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7E6B598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8D16F18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0.1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159FD49F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2FAC96A1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0.1</w:t>
            </w:r>
          </w:p>
        </w:tc>
      </w:tr>
      <w:tr w:rsidR="00545203" w:rsidRPr="003D6133" w14:paraId="76DE18B8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346BC826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Cardiac disorders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5EA3A9D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25D76696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0.5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53876241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0BD148AF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0.5</w:t>
            </w:r>
          </w:p>
        </w:tc>
      </w:tr>
      <w:tr w:rsidR="00545203" w:rsidRPr="003D6133" w14:paraId="19F84575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hideMark/>
          </w:tcPr>
          <w:p w14:paraId="41673F0F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Vascular disorders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0EAF1CD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404B06A9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0.3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194B5C49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7B201CA8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0.1</w:t>
            </w:r>
          </w:p>
        </w:tc>
      </w:tr>
      <w:tr w:rsidR="00545203" w:rsidRPr="003D6133" w14:paraId="04C0993D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hideMark/>
          </w:tcPr>
          <w:p w14:paraId="648D46AF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Respiratory, thoracic and mediastinal disorders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ADD95B9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41C58E22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0.4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52EA8378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09C279A0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0.1</w:t>
            </w:r>
          </w:p>
        </w:tc>
      </w:tr>
      <w:tr w:rsidR="00545203" w:rsidRPr="003D6133" w14:paraId="3FA035FA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6BC36FC8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Gastrointestinal disorders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3A43575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24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0DA38F44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3.3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56BBDB4D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15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7FD8EA44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2.0</w:t>
            </w:r>
          </w:p>
        </w:tc>
      </w:tr>
      <w:tr w:rsidR="00545203" w:rsidRPr="003D6133" w14:paraId="497EB23E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00439AA8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Hepatobiliary disorders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C90C28C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18845273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0.5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275BC29F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06461420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0.0</w:t>
            </w:r>
          </w:p>
        </w:tc>
      </w:tr>
      <w:tr w:rsidR="00545203" w:rsidRPr="003D6133" w14:paraId="3F0412C6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C88CB38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Skin and subcutaneous tissue disorders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6E8DCE3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6E6EDD7C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eastAsiaTheme="minorEastAsia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  <w:r w:rsidRPr="003D6133">
              <w:rPr>
                <w:rFonts w:ascii="Arial" w:eastAsiaTheme="minorEastAsia" w:hAnsi="Arial" w:cs="Arial"/>
                <w:color w:val="000000"/>
                <w:sz w:val="22"/>
                <w:szCs w:val="22"/>
                <w:lang w:eastAsia="ja-JP"/>
              </w:rPr>
              <w:t>.0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2E33C2E7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12C8DE47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0.0</w:t>
            </w:r>
          </w:p>
        </w:tc>
      </w:tr>
      <w:tr w:rsidR="00545203" w:rsidRPr="003D6133" w14:paraId="1E1B4051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A510CA0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Renal and urinary disorders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25E0FAC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D8C0024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0.5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5EEE49EE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76971C07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0.1</w:t>
            </w:r>
          </w:p>
        </w:tc>
      </w:tr>
      <w:tr w:rsidR="00545203" w:rsidRPr="003D6133" w14:paraId="7901927F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167F1C00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General disorders and administration site conditions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561E4CC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79333D0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eastAsiaTheme="minorEastAsia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  <w:r w:rsidRPr="003D6133">
              <w:rPr>
                <w:rFonts w:ascii="Arial" w:eastAsiaTheme="minorEastAsia" w:hAnsi="Arial" w:cs="Arial"/>
                <w:color w:val="000000"/>
                <w:sz w:val="22"/>
                <w:szCs w:val="22"/>
                <w:lang w:eastAsia="ja-JP"/>
              </w:rPr>
              <w:t>.0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253773E7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5B662761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0.1</w:t>
            </w:r>
          </w:p>
        </w:tc>
      </w:tr>
      <w:tr w:rsidR="00545203" w:rsidRPr="003D6133" w14:paraId="653748AE" w14:textId="77777777" w:rsidTr="00247B95">
        <w:trPr>
          <w:trHeight w:val="300"/>
        </w:trPr>
        <w:tc>
          <w:tcPr>
            <w:tcW w:w="4840" w:type="dxa"/>
            <w:shd w:val="clear" w:color="auto" w:fill="auto"/>
            <w:noWrap/>
            <w:vAlign w:val="bottom"/>
            <w:hideMark/>
          </w:tcPr>
          <w:p w14:paraId="4C5DFF4F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Investigations</w:t>
            </w: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vertAlign w:val="superscript"/>
                <w:lang w:eastAsia="ja-JP"/>
              </w:rPr>
              <w:t>a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D184633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749FDD3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0.4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2C9B65B0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14:paraId="6098E934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0.0</w:t>
            </w:r>
          </w:p>
        </w:tc>
      </w:tr>
      <w:tr w:rsidR="00545203" w:rsidRPr="003D6133" w14:paraId="1125A959" w14:textId="77777777" w:rsidTr="00247B95">
        <w:trPr>
          <w:trHeight w:val="300"/>
        </w:trPr>
        <w:tc>
          <w:tcPr>
            <w:tcW w:w="484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C1E6B" w14:textId="77777777" w:rsidR="00545203" w:rsidRPr="003D6133" w:rsidRDefault="00545203" w:rsidP="00247B95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b/>
                <w:color w:val="000000"/>
                <w:sz w:val="22"/>
                <w:szCs w:val="22"/>
                <w:lang w:eastAsia="ja-JP"/>
              </w:rPr>
              <w:t>Injury, poisoning and procedural complications</w:t>
            </w: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157B53B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94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CD0616A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0.4</w:t>
            </w:r>
          </w:p>
        </w:tc>
        <w:tc>
          <w:tcPr>
            <w:tcW w:w="775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135F633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E32E26F" w14:textId="77777777" w:rsidR="00545203" w:rsidRPr="003D6133" w:rsidRDefault="00545203" w:rsidP="00247B9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</w:pPr>
            <w:r w:rsidRPr="003D6133">
              <w:rPr>
                <w:rFonts w:ascii="Arial" w:hAnsi="Arial" w:cs="Arial"/>
                <w:color w:val="000000"/>
                <w:sz w:val="22"/>
                <w:szCs w:val="22"/>
                <w:lang w:eastAsia="ja-JP"/>
              </w:rPr>
              <w:t>0.0</w:t>
            </w:r>
          </w:p>
        </w:tc>
      </w:tr>
    </w:tbl>
    <w:p w14:paraId="6CDE79D2" w14:textId="77777777" w:rsidR="00545203" w:rsidRPr="003D6133" w:rsidRDefault="00545203" w:rsidP="00545203">
      <w:pPr>
        <w:snapToGrid w:val="0"/>
        <w:spacing w:line="240" w:lineRule="exact"/>
        <w:rPr>
          <w:rFonts w:ascii="Arial" w:eastAsiaTheme="minorEastAsia" w:hAnsi="Arial" w:cs="Arial"/>
          <w:sz w:val="22"/>
          <w:lang w:eastAsia="ja-JP"/>
        </w:rPr>
      </w:pPr>
      <w:r w:rsidRPr="003D6133">
        <w:rPr>
          <w:rFonts w:ascii="Arial" w:eastAsiaTheme="minorEastAsia" w:hAnsi="Arial" w:cs="Arial"/>
          <w:sz w:val="22"/>
          <w:lang w:eastAsia="ja-JP"/>
        </w:rPr>
        <w:t>ADRs, adverse drug reactions</w:t>
      </w:r>
    </w:p>
    <w:p w14:paraId="2DF459DD" w14:textId="77777777" w:rsidR="00545203" w:rsidRPr="003D6133" w:rsidRDefault="00545203" w:rsidP="00545203">
      <w:pPr>
        <w:snapToGrid w:val="0"/>
        <w:spacing w:line="240" w:lineRule="exact"/>
        <w:rPr>
          <w:rFonts w:ascii="Arial" w:eastAsiaTheme="minorEastAsia" w:hAnsi="Arial" w:cs="Arial"/>
          <w:sz w:val="22"/>
          <w:szCs w:val="22"/>
          <w:vertAlign w:val="superscript"/>
          <w:lang w:eastAsia="ja-JP"/>
        </w:rPr>
      </w:pPr>
    </w:p>
    <w:p w14:paraId="12282E68" w14:textId="77777777" w:rsidR="00545203" w:rsidRPr="003D6133" w:rsidRDefault="00545203" w:rsidP="00545203">
      <w:pPr>
        <w:snapToGrid w:val="0"/>
        <w:spacing w:line="240" w:lineRule="exact"/>
        <w:rPr>
          <w:rFonts w:ascii="Arial" w:eastAsiaTheme="minorEastAsia" w:hAnsi="Arial" w:cs="Arial"/>
          <w:sz w:val="22"/>
          <w:szCs w:val="22"/>
          <w:shd w:val="clear" w:color="auto" w:fill="FFFFFF"/>
          <w:lang w:eastAsia="ja-JP"/>
        </w:rPr>
      </w:pPr>
      <w:r w:rsidRPr="003D6133">
        <w:rPr>
          <w:rFonts w:ascii="Arial" w:hAnsi="Arial" w:cs="Arial"/>
          <w:sz w:val="22"/>
          <w:szCs w:val="22"/>
          <w:vertAlign w:val="superscript"/>
          <w:lang w:eastAsia="ja-JP"/>
        </w:rPr>
        <w:t>a</w:t>
      </w:r>
      <w:r w:rsidRPr="003D6133">
        <w:rPr>
          <w:rFonts w:ascii="Arial" w:hAnsi="Arial" w:cs="Arial"/>
          <w:sz w:val="22"/>
          <w:szCs w:val="22"/>
          <w:shd w:val="clear" w:color="auto" w:fill="FFFFFF"/>
        </w:rPr>
        <w:t>Abnormal</w:t>
      </w:r>
      <w:r w:rsidRPr="003D6133">
        <w:rPr>
          <w:rFonts w:ascii="Arial" w:eastAsiaTheme="minorEastAsia" w:hAnsi="Arial" w:cs="Arial"/>
          <w:sz w:val="22"/>
          <w:szCs w:val="22"/>
          <w:shd w:val="clear" w:color="auto" w:fill="FFFFFF"/>
          <w:lang w:eastAsia="ja-JP"/>
        </w:rPr>
        <w:t xml:space="preserve"> laboratory findings</w:t>
      </w:r>
    </w:p>
    <w:p w14:paraId="2A890B52" w14:textId="77777777" w:rsidR="00545203" w:rsidRPr="003D6133" w:rsidRDefault="00545203" w:rsidP="00545203">
      <w:pPr>
        <w:spacing w:line="480" w:lineRule="auto"/>
        <w:rPr>
          <w:rFonts w:ascii="Arial" w:eastAsiaTheme="minorEastAsia" w:hAnsi="Arial" w:cs="Arial"/>
          <w:bCs/>
          <w:sz w:val="22"/>
          <w:lang w:eastAsia="ja-JP"/>
        </w:rPr>
      </w:pPr>
      <w:r w:rsidRPr="003D6133">
        <w:rPr>
          <w:rFonts w:ascii="Arial" w:hAnsi="Arial" w:cs="Arial"/>
          <w:bCs/>
          <w:sz w:val="22"/>
        </w:rPr>
        <w:t xml:space="preserve">For System Organ Class, the number of patients with </w:t>
      </w:r>
      <w:r w:rsidRPr="003D6133">
        <w:rPr>
          <w:rFonts w:ascii="Arial" w:eastAsiaTheme="minorEastAsia" w:hAnsi="Arial" w:cs="Arial" w:hint="eastAsia"/>
          <w:bCs/>
          <w:sz w:val="22"/>
          <w:lang w:eastAsia="ja-JP"/>
        </w:rPr>
        <w:t>ADR</w:t>
      </w:r>
      <w:r w:rsidRPr="003D6133">
        <w:rPr>
          <w:rFonts w:ascii="Arial" w:hAnsi="Arial" w:cs="Arial"/>
          <w:bCs/>
          <w:sz w:val="22"/>
        </w:rPr>
        <w:t xml:space="preserve">s was tabulated. </w:t>
      </w:r>
    </w:p>
    <w:p w14:paraId="668423D3" w14:textId="77777777" w:rsidR="00545203" w:rsidRPr="003D6133" w:rsidRDefault="00545203" w:rsidP="00545203">
      <w:pPr>
        <w:snapToGrid w:val="0"/>
        <w:spacing w:line="240" w:lineRule="exact"/>
        <w:rPr>
          <w:rFonts w:ascii="Arial" w:eastAsia="MS Gothic" w:hAnsi="Arial" w:cs="Arial"/>
          <w:sz w:val="22"/>
          <w:szCs w:val="22"/>
          <w:lang w:eastAsia="ja-JP"/>
        </w:rPr>
      </w:pPr>
      <w:r w:rsidRPr="003D6133">
        <w:rPr>
          <w:rFonts w:ascii="Arial" w:hAnsi="Arial" w:cs="Arial"/>
          <w:bCs/>
          <w:sz w:val="22"/>
        </w:rPr>
        <w:t>MedDRA/J version 18.1.</w:t>
      </w:r>
    </w:p>
    <w:p w14:paraId="765F4A17" w14:textId="77777777" w:rsidR="00545203" w:rsidRPr="003D6133" w:rsidRDefault="00545203" w:rsidP="00545203"/>
    <w:p w14:paraId="5A16B8ED" w14:textId="77777777" w:rsidR="00283B96" w:rsidRPr="006B5FDC" w:rsidRDefault="00283B96"/>
    <w:sectPr w:rsidR="00283B96" w:rsidRPr="006B5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C15B9" w14:textId="77777777" w:rsidR="008E662D" w:rsidRDefault="008E662D" w:rsidP="006B5FDC">
      <w:r>
        <w:separator/>
      </w:r>
    </w:p>
  </w:endnote>
  <w:endnote w:type="continuationSeparator" w:id="0">
    <w:p w14:paraId="235CBD02" w14:textId="77777777" w:rsidR="008E662D" w:rsidRDefault="008E662D" w:rsidP="006B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EBCAD" w14:textId="77777777" w:rsidR="008E662D" w:rsidRDefault="008E662D" w:rsidP="006B5FDC">
      <w:r>
        <w:separator/>
      </w:r>
    </w:p>
  </w:footnote>
  <w:footnote w:type="continuationSeparator" w:id="0">
    <w:p w14:paraId="5244668B" w14:textId="77777777" w:rsidR="008E662D" w:rsidRDefault="008E662D" w:rsidP="006B5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54A"/>
    <w:rsid w:val="00006FA2"/>
    <w:rsid w:val="00084F25"/>
    <w:rsid w:val="00244D48"/>
    <w:rsid w:val="00283B96"/>
    <w:rsid w:val="00294879"/>
    <w:rsid w:val="00545203"/>
    <w:rsid w:val="006B5FDC"/>
    <w:rsid w:val="00890D81"/>
    <w:rsid w:val="008A354A"/>
    <w:rsid w:val="008B4093"/>
    <w:rsid w:val="008E662D"/>
    <w:rsid w:val="00924A5D"/>
    <w:rsid w:val="00AA34AB"/>
    <w:rsid w:val="00B02A5F"/>
    <w:rsid w:val="00BB2D15"/>
    <w:rsid w:val="00BF15E1"/>
    <w:rsid w:val="00C0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76D0F8"/>
  <w15:docId w15:val="{478CEC20-829E-42EA-AD64-FE30FF02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BB2D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B2D15"/>
  </w:style>
  <w:style w:type="character" w:customStyle="1" w:styleId="CommentTextChar">
    <w:name w:val="Comment Text Char"/>
    <w:basedOn w:val="DefaultParagraphFont"/>
    <w:link w:val="CommentText"/>
    <w:uiPriority w:val="99"/>
    <w:rsid w:val="00BB2D1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BB2D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2D15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rsid w:val="00BB2D15"/>
    <w:pPr>
      <w:widowControl w:val="0"/>
      <w:adjustRightInd w:val="0"/>
      <w:snapToGrid w:val="0"/>
      <w:spacing w:after="0" w:line="280" w:lineRule="atLeast"/>
      <w:jc w:val="both"/>
    </w:pPr>
    <w:rPr>
      <w:rFonts w:ascii="Century" w:eastAsia="MS Mincho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2D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D15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B5FDC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FD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5FDC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FD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A3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3656</Characters>
  <Application>Microsoft Office Word</Application>
  <DocSecurity>0</DocSecurity>
  <Lines>406</Lines>
  <Paragraphs>400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Toshiba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Richardson</dc:creator>
  <cp:lastModifiedBy>Mary Richardson</cp:lastModifiedBy>
  <cp:revision>2</cp:revision>
  <dcterms:created xsi:type="dcterms:W3CDTF">2017-01-17T03:25:00Z</dcterms:created>
  <dcterms:modified xsi:type="dcterms:W3CDTF">2017-01-17T03:25:00Z</dcterms:modified>
</cp:coreProperties>
</file>