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B1CCDA" w14:textId="23CA72A7" w:rsidR="004A0885" w:rsidRPr="00322451" w:rsidRDefault="008F5FC1">
      <w:pPr>
        <w:rPr>
          <w:rFonts w:ascii="Times Roman" w:hAnsi="Times Roman" w:hint="eastAsia"/>
          <w:sz w:val="24"/>
          <w:szCs w:val="28"/>
        </w:rPr>
      </w:pPr>
      <w:r w:rsidRPr="00322451">
        <w:rPr>
          <w:rFonts w:ascii="Times Roman" w:hAnsi="Times Roman"/>
          <w:noProof/>
          <w:sz w:val="24"/>
          <w:szCs w:val="28"/>
          <w:lang w:val="en-IN" w:eastAsia="en-IN"/>
        </w:rPr>
        <w:drawing>
          <wp:inline distT="0" distB="0" distL="0" distR="0" wp14:anchorId="238A95CA" wp14:editId="2FF6A2A5">
            <wp:extent cx="4584700" cy="2755900"/>
            <wp:effectExtent l="0" t="0" r="6350" b="6350"/>
            <wp:docPr id="48765565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A49CD" w14:textId="77777777" w:rsidR="008F5FC1" w:rsidRPr="00322451" w:rsidRDefault="008F5FC1">
      <w:pPr>
        <w:rPr>
          <w:rFonts w:ascii="Times Roman" w:hAnsi="Times Roman" w:hint="eastAsia"/>
          <w:sz w:val="24"/>
          <w:szCs w:val="28"/>
        </w:rPr>
      </w:pPr>
    </w:p>
    <w:p w14:paraId="34452487" w14:textId="698DFBFB" w:rsidR="00247B28" w:rsidRDefault="008F5FC1" w:rsidP="00247B28">
      <w:pPr>
        <w:spacing w:line="480" w:lineRule="auto"/>
        <w:rPr>
          <w:rFonts w:ascii="Times Roman" w:hAnsi="Times Roman"/>
          <w:sz w:val="22"/>
          <w:szCs w:val="24"/>
        </w:rPr>
      </w:pPr>
      <w:r w:rsidRPr="00322451">
        <w:rPr>
          <w:rFonts w:ascii="Times Roman" w:hAnsi="Times Roman"/>
          <w:sz w:val="22"/>
          <w:szCs w:val="24"/>
        </w:rPr>
        <w:t>Figure S1</w:t>
      </w:r>
      <w:r w:rsidR="00A474AE">
        <w:rPr>
          <w:rFonts w:ascii="Times Roman" w:hAnsi="Times Roman"/>
          <w:sz w:val="22"/>
          <w:szCs w:val="24"/>
        </w:rPr>
        <w:t xml:space="preserve"> </w:t>
      </w:r>
      <w:proofErr w:type="gramStart"/>
      <w:r w:rsidR="00247B28" w:rsidRPr="00322451">
        <w:rPr>
          <w:rFonts w:ascii="Times Roman" w:hAnsi="Times Roman"/>
          <w:sz w:val="22"/>
          <w:szCs w:val="24"/>
        </w:rPr>
        <w:t>The</w:t>
      </w:r>
      <w:proofErr w:type="gramEnd"/>
      <w:r w:rsidR="00247B28" w:rsidRPr="00322451">
        <w:rPr>
          <w:rFonts w:ascii="Times Roman" w:hAnsi="Times Roman"/>
          <w:sz w:val="22"/>
          <w:szCs w:val="24"/>
        </w:rPr>
        <w:t xml:space="preserve"> distribution of valve types and sizes is shown graphically. In the SAPIEN series (Edwards Lifesciences, USA), 23-mm valves were most frequently u</w:t>
      </w:r>
      <w:bookmarkStart w:id="0" w:name="_GoBack"/>
      <w:bookmarkEnd w:id="0"/>
      <w:r w:rsidR="00247B28" w:rsidRPr="00322451">
        <w:rPr>
          <w:rFonts w:ascii="Times Roman" w:hAnsi="Times Roman"/>
          <w:sz w:val="22"/>
          <w:szCs w:val="24"/>
        </w:rPr>
        <w:t xml:space="preserve">sed, whereas in the </w:t>
      </w:r>
      <w:proofErr w:type="spellStart"/>
      <w:r w:rsidR="00247B28" w:rsidRPr="00322451">
        <w:rPr>
          <w:rFonts w:ascii="Times Roman" w:hAnsi="Times Roman"/>
          <w:sz w:val="22"/>
          <w:szCs w:val="24"/>
        </w:rPr>
        <w:t>Evolut</w:t>
      </w:r>
      <w:proofErr w:type="spellEnd"/>
      <w:r w:rsidR="00247B28" w:rsidRPr="00322451">
        <w:rPr>
          <w:rFonts w:ascii="Times Roman" w:hAnsi="Times Roman"/>
          <w:sz w:val="22"/>
          <w:szCs w:val="24"/>
        </w:rPr>
        <w:t xml:space="preserve"> series (Medtronic, USA), there was a tendency toward more frequent use of 29-mm valves.</w:t>
      </w:r>
    </w:p>
    <w:p w14:paraId="1F86E24B" w14:textId="77777777" w:rsidR="00A474AE" w:rsidRPr="004977ED" w:rsidRDefault="00A474AE" w:rsidP="003B7308">
      <w:pPr>
        <w:spacing w:line="480" w:lineRule="auto"/>
        <w:rPr>
          <w:sz w:val="22"/>
          <w:szCs w:val="24"/>
        </w:rPr>
      </w:pPr>
      <w:r w:rsidRPr="004977ED">
        <w:rPr>
          <w:noProof/>
          <w:sz w:val="22"/>
          <w:szCs w:val="24"/>
          <w:lang w:val="en-IN" w:eastAsia="en-IN"/>
        </w:rPr>
        <w:drawing>
          <wp:inline distT="0" distB="0" distL="0" distR="0" wp14:anchorId="5F420718" wp14:editId="03170295">
            <wp:extent cx="5400040" cy="3037840"/>
            <wp:effectExtent l="0" t="0" r="0" b="0"/>
            <wp:docPr id="23110848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108485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42D6B" w14:textId="77777777" w:rsidR="00A474AE" w:rsidRPr="004977ED" w:rsidRDefault="00A474AE" w:rsidP="003B7308">
      <w:pPr>
        <w:spacing w:line="480" w:lineRule="auto"/>
        <w:rPr>
          <w:sz w:val="22"/>
          <w:szCs w:val="24"/>
        </w:rPr>
      </w:pPr>
    </w:p>
    <w:p w14:paraId="34EC1081" w14:textId="015373D0" w:rsidR="00A474AE" w:rsidRPr="004977ED" w:rsidRDefault="00A474AE" w:rsidP="003B7308">
      <w:pPr>
        <w:spacing w:line="480" w:lineRule="auto"/>
        <w:rPr>
          <w:rFonts w:ascii="Times Roman" w:hAnsi="Times Roman" w:hint="eastAsia"/>
          <w:sz w:val="22"/>
          <w:szCs w:val="24"/>
        </w:rPr>
      </w:pPr>
      <w:r w:rsidRPr="004977ED">
        <w:rPr>
          <w:rFonts w:ascii="Times Roman" w:hAnsi="Times Roman" w:hint="eastAsia"/>
          <w:sz w:val="22"/>
          <w:szCs w:val="24"/>
        </w:rPr>
        <w:t>Figure S2</w:t>
      </w:r>
      <w:r>
        <w:rPr>
          <w:rFonts w:ascii="Times Roman" w:hAnsi="Times Roman"/>
          <w:sz w:val="22"/>
          <w:szCs w:val="24"/>
        </w:rPr>
        <w:t xml:space="preserve"> </w:t>
      </w:r>
      <w:r w:rsidRPr="004977ED">
        <w:rPr>
          <w:rFonts w:ascii="Times Roman" w:hAnsi="Times Roman"/>
          <w:sz w:val="22"/>
          <w:szCs w:val="24"/>
        </w:rPr>
        <w:t>Even in sensitivity analyses excluding dialysis-dependent patients, one-year survival remained significantly higher in the non-thoracotomy group (a; 78.8%</w:t>
      </w:r>
      <w:r w:rsidRPr="004977ED">
        <w:rPr>
          <w:rFonts w:ascii="Times Roman" w:hAnsi="Times Roman" w:hint="eastAsia"/>
          <w:sz w:val="22"/>
          <w:szCs w:val="24"/>
        </w:rPr>
        <w:t xml:space="preserve"> </w:t>
      </w:r>
      <w:r w:rsidRPr="004977ED">
        <w:rPr>
          <w:rFonts w:ascii="Times Roman" w:hAnsi="Times Roman"/>
          <w:sz w:val="22"/>
          <w:szCs w:val="24"/>
        </w:rPr>
        <w:t>vs.</w:t>
      </w:r>
      <w:r w:rsidRPr="004977ED">
        <w:rPr>
          <w:rFonts w:ascii="Times Roman" w:hAnsi="Times Roman" w:hint="eastAsia"/>
          <w:sz w:val="22"/>
          <w:szCs w:val="24"/>
        </w:rPr>
        <w:t xml:space="preserve"> </w:t>
      </w:r>
      <w:r w:rsidRPr="004977ED">
        <w:rPr>
          <w:rFonts w:ascii="Times Roman" w:hAnsi="Times Roman"/>
          <w:sz w:val="22"/>
          <w:szCs w:val="24"/>
        </w:rPr>
        <w:t>94.4%, p = 0.008), whereas no significant difference was observed between the two groups in mid-term survival (b; median survival 5.12 vs. 4.67 years, p = 0.25).</w:t>
      </w:r>
    </w:p>
    <w:p w14:paraId="5E08E242" w14:textId="77777777" w:rsidR="00A474AE" w:rsidRPr="00322451" w:rsidRDefault="00A474AE" w:rsidP="00247B28">
      <w:pPr>
        <w:spacing w:line="480" w:lineRule="auto"/>
        <w:rPr>
          <w:rFonts w:ascii="Times Roman" w:hAnsi="Times Roman" w:hint="eastAsia"/>
          <w:sz w:val="22"/>
          <w:szCs w:val="24"/>
        </w:rPr>
      </w:pPr>
    </w:p>
    <w:sectPr w:rsidR="00A474AE" w:rsidRPr="003224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Roman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C1"/>
    <w:rsid w:val="00117736"/>
    <w:rsid w:val="00247B28"/>
    <w:rsid w:val="00322451"/>
    <w:rsid w:val="004A0885"/>
    <w:rsid w:val="008F5FC1"/>
    <w:rsid w:val="00A474AE"/>
    <w:rsid w:val="00FB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B49D84"/>
  <w15:chartTrackingRefBased/>
  <w15:docId w15:val="{B6613990-0858-4E8C-B4E9-D7024162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8F5FC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F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F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FC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FC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FC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FC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FC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FC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FC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FC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FC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F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F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F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F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F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FC1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8F5F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5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FC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5F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5F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5F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F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5F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F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F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F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千明 愛知</dc:creator>
  <cp:keywords/>
  <dc:description/>
  <cp:lastModifiedBy>Chandrasekaran K Kasi E</cp:lastModifiedBy>
  <cp:revision>2</cp:revision>
  <dcterms:created xsi:type="dcterms:W3CDTF">2026-02-20T03:05:00Z</dcterms:created>
  <dcterms:modified xsi:type="dcterms:W3CDTF">2026-02-20T03:05:00Z</dcterms:modified>
</cp:coreProperties>
</file>