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1D23" w14:textId="77777777" w:rsidR="00236A5B" w:rsidRPr="00F7228F" w:rsidRDefault="00236A5B" w:rsidP="000B242D">
      <w:pPr>
        <w:spacing w:after="0" w:line="276" w:lineRule="auto"/>
        <w:rPr>
          <w:rFonts w:ascii="Arial" w:hAnsi="Arial" w:cs="Arial"/>
        </w:rPr>
      </w:pPr>
      <w:r w:rsidRPr="00F7228F">
        <w:rPr>
          <w:rFonts w:ascii="Arial" w:hAnsi="Arial" w:cs="Arial"/>
          <w:b/>
          <w:bCs/>
        </w:rPr>
        <w:t>Supplementary Table 1 –</w:t>
      </w:r>
      <w:r w:rsidRPr="00F7228F">
        <w:rPr>
          <w:rFonts w:ascii="Arial" w:hAnsi="Arial" w:cs="Arial"/>
        </w:rPr>
        <w:t xml:space="preserve"> Baseline characteristics by WFNS grade of subarachnoid haemorrhage patients. </w:t>
      </w:r>
      <w:r w:rsidRPr="00F7228F">
        <w:rPr>
          <w:rFonts w:ascii="Arial" w:hAnsi="Arial" w:cs="Arial"/>
          <w:vertAlign w:val="superscript"/>
        </w:rPr>
        <w:t xml:space="preserve">a </w:t>
      </w:r>
      <w:r w:rsidRPr="00F7228F">
        <w:rPr>
          <w:rFonts w:ascii="Arial" w:hAnsi="Arial" w:cs="Arial"/>
        </w:rPr>
        <w:t xml:space="preserve">Fisher’s exact. </w:t>
      </w:r>
      <w:r w:rsidRPr="00F7228F">
        <w:rPr>
          <w:rFonts w:ascii="Arial" w:hAnsi="Arial" w:cs="Arial"/>
          <w:vertAlign w:val="superscript"/>
        </w:rPr>
        <w:t xml:space="preserve">b </w:t>
      </w:r>
      <w:r w:rsidRPr="00F7228F">
        <w:rPr>
          <w:rFonts w:ascii="Arial" w:hAnsi="Arial" w:cs="Arial"/>
        </w:rPr>
        <w:t>Kruskal Wallis. World Federation of Neurosurgical Societies = WFNS; external ventricular drain = EVD.</w:t>
      </w:r>
    </w:p>
    <w:tbl>
      <w:tblPr>
        <w:tblStyle w:val="TableGrid"/>
        <w:tblW w:w="5000" w:type="pct"/>
        <w:tblLook w:val="04A0" w:firstRow="1" w:lastRow="0" w:firstColumn="1" w:lastColumn="0" w:noHBand="0" w:noVBand="1"/>
      </w:tblPr>
      <w:tblGrid>
        <w:gridCol w:w="3030"/>
        <w:gridCol w:w="3102"/>
        <w:gridCol w:w="2633"/>
        <w:gridCol w:w="2851"/>
        <w:gridCol w:w="2332"/>
      </w:tblGrid>
      <w:tr w:rsidR="00236A5B" w:rsidRPr="00F7228F" w14:paraId="5C2179BE" w14:textId="77777777" w:rsidTr="00CB0BB6">
        <w:tc>
          <w:tcPr>
            <w:tcW w:w="2198" w:type="pct"/>
            <w:gridSpan w:val="2"/>
          </w:tcPr>
          <w:p w14:paraId="72BBA154" w14:textId="77777777" w:rsidR="00236A5B" w:rsidRPr="00F7228F" w:rsidRDefault="00236A5B" w:rsidP="000B242D">
            <w:pPr>
              <w:spacing w:line="276" w:lineRule="auto"/>
              <w:rPr>
                <w:rFonts w:ascii="Arial" w:hAnsi="Arial" w:cs="Arial"/>
              </w:rPr>
            </w:pPr>
          </w:p>
        </w:tc>
        <w:tc>
          <w:tcPr>
            <w:tcW w:w="944" w:type="pct"/>
          </w:tcPr>
          <w:p w14:paraId="2328F6A6" w14:textId="77777777" w:rsidR="00236A5B" w:rsidRPr="00F7228F" w:rsidRDefault="00236A5B" w:rsidP="000B242D">
            <w:pPr>
              <w:spacing w:line="276" w:lineRule="auto"/>
              <w:rPr>
                <w:rFonts w:ascii="Arial" w:hAnsi="Arial" w:cs="Arial"/>
              </w:rPr>
            </w:pPr>
            <w:r w:rsidRPr="00F7228F">
              <w:rPr>
                <w:rFonts w:ascii="Arial" w:hAnsi="Arial" w:cs="Arial"/>
              </w:rPr>
              <w:t>WFNS grade</w:t>
            </w:r>
          </w:p>
          <w:p w14:paraId="758AFDC4" w14:textId="77777777" w:rsidR="00236A5B" w:rsidRPr="00F7228F" w:rsidRDefault="00236A5B" w:rsidP="000B242D">
            <w:pPr>
              <w:spacing w:line="276" w:lineRule="auto"/>
              <w:rPr>
                <w:rFonts w:ascii="Arial" w:hAnsi="Arial" w:cs="Arial"/>
              </w:rPr>
            </w:pPr>
            <w:r w:rsidRPr="00F7228F">
              <w:rPr>
                <w:rFonts w:ascii="Arial" w:hAnsi="Arial" w:cs="Arial"/>
              </w:rPr>
              <w:t>I-III (N = 66)</w:t>
            </w:r>
          </w:p>
        </w:tc>
        <w:tc>
          <w:tcPr>
            <w:tcW w:w="1022" w:type="pct"/>
          </w:tcPr>
          <w:p w14:paraId="703642A2" w14:textId="77777777" w:rsidR="00236A5B" w:rsidRPr="00F7228F" w:rsidRDefault="00236A5B" w:rsidP="000B242D">
            <w:pPr>
              <w:spacing w:line="276" w:lineRule="auto"/>
              <w:rPr>
                <w:rFonts w:ascii="Arial" w:hAnsi="Arial" w:cs="Arial"/>
              </w:rPr>
            </w:pPr>
            <w:r w:rsidRPr="00F7228F">
              <w:rPr>
                <w:rFonts w:ascii="Arial" w:hAnsi="Arial" w:cs="Arial"/>
              </w:rPr>
              <w:t xml:space="preserve">WFNS grade </w:t>
            </w:r>
          </w:p>
          <w:p w14:paraId="6CA7398F" w14:textId="77777777" w:rsidR="00236A5B" w:rsidRPr="00F7228F" w:rsidRDefault="00236A5B" w:rsidP="000B242D">
            <w:pPr>
              <w:spacing w:line="276" w:lineRule="auto"/>
              <w:rPr>
                <w:rFonts w:ascii="Arial" w:hAnsi="Arial" w:cs="Arial"/>
              </w:rPr>
            </w:pPr>
            <w:r w:rsidRPr="00F7228F">
              <w:rPr>
                <w:rFonts w:ascii="Arial" w:hAnsi="Arial" w:cs="Arial"/>
              </w:rPr>
              <w:t>IV-V (N = 30)</w:t>
            </w:r>
          </w:p>
        </w:tc>
        <w:tc>
          <w:tcPr>
            <w:tcW w:w="836" w:type="pct"/>
          </w:tcPr>
          <w:p w14:paraId="665814C3" w14:textId="77777777" w:rsidR="00236A5B" w:rsidRPr="00F7228F" w:rsidRDefault="00236A5B" w:rsidP="000B242D">
            <w:pPr>
              <w:spacing w:line="276" w:lineRule="auto"/>
              <w:rPr>
                <w:rFonts w:ascii="Arial" w:hAnsi="Arial" w:cs="Arial"/>
              </w:rPr>
            </w:pPr>
            <w:r w:rsidRPr="00F7228F">
              <w:rPr>
                <w:rFonts w:ascii="Arial" w:hAnsi="Arial" w:cs="Arial"/>
              </w:rPr>
              <w:t>P-value</w:t>
            </w:r>
          </w:p>
        </w:tc>
      </w:tr>
      <w:tr w:rsidR="00236A5B" w:rsidRPr="00F7228F" w14:paraId="7DA8C620" w14:textId="77777777" w:rsidTr="00CB0BB6">
        <w:trPr>
          <w:trHeight w:val="620"/>
        </w:trPr>
        <w:tc>
          <w:tcPr>
            <w:tcW w:w="2198" w:type="pct"/>
            <w:gridSpan w:val="2"/>
          </w:tcPr>
          <w:p w14:paraId="0B48665D" w14:textId="77777777" w:rsidR="00236A5B" w:rsidRPr="00F7228F" w:rsidRDefault="00236A5B" w:rsidP="000B242D">
            <w:pPr>
              <w:spacing w:line="276" w:lineRule="auto"/>
              <w:rPr>
                <w:rFonts w:ascii="Arial" w:hAnsi="Arial" w:cs="Arial"/>
              </w:rPr>
            </w:pPr>
            <w:r w:rsidRPr="00F7228F">
              <w:rPr>
                <w:rFonts w:ascii="Arial" w:hAnsi="Arial" w:cs="Arial"/>
              </w:rPr>
              <w:t xml:space="preserve">Age </w:t>
            </w:r>
          </w:p>
          <w:p w14:paraId="738BA652" w14:textId="77777777" w:rsidR="00236A5B" w:rsidRPr="00F7228F" w:rsidRDefault="00236A5B" w:rsidP="000B242D">
            <w:pPr>
              <w:spacing w:line="276" w:lineRule="auto"/>
              <w:rPr>
                <w:rFonts w:ascii="Arial" w:hAnsi="Arial" w:cs="Arial"/>
              </w:rPr>
            </w:pPr>
            <w:r w:rsidRPr="00F7228F">
              <w:rPr>
                <w:rFonts w:ascii="Arial" w:hAnsi="Arial" w:cs="Arial"/>
              </w:rPr>
              <w:t>[median, IQR]</w:t>
            </w:r>
          </w:p>
        </w:tc>
        <w:tc>
          <w:tcPr>
            <w:tcW w:w="944" w:type="pct"/>
          </w:tcPr>
          <w:p w14:paraId="4F787BE5" w14:textId="77777777" w:rsidR="00236A5B" w:rsidRPr="00F7228F" w:rsidRDefault="00236A5B" w:rsidP="000B242D">
            <w:pPr>
              <w:spacing w:line="276" w:lineRule="auto"/>
              <w:rPr>
                <w:rFonts w:ascii="Arial" w:hAnsi="Arial" w:cs="Arial"/>
              </w:rPr>
            </w:pPr>
            <w:r w:rsidRPr="00F7228F">
              <w:rPr>
                <w:rFonts w:ascii="Arial" w:hAnsi="Arial" w:cs="Arial"/>
              </w:rPr>
              <w:t xml:space="preserve">55 </w:t>
            </w:r>
          </w:p>
          <w:p w14:paraId="5C35CD71" w14:textId="77777777" w:rsidR="00236A5B" w:rsidRPr="00F7228F" w:rsidRDefault="00236A5B" w:rsidP="000B242D">
            <w:pPr>
              <w:spacing w:line="276" w:lineRule="auto"/>
              <w:rPr>
                <w:rFonts w:ascii="Arial" w:hAnsi="Arial" w:cs="Arial"/>
              </w:rPr>
            </w:pPr>
            <w:r w:rsidRPr="00F7228F">
              <w:rPr>
                <w:rFonts w:ascii="Arial" w:hAnsi="Arial" w:cs="Arial"/>
              </w:rPr>
              <w:t>(49 – 62)</w:t>
            </w:r>
          </w:p>
        </w:tc>
        <w:tc>
          <w:tcPr>
            <w:tcW w:w="1022" w:type="pct"/>
          </w:tcPr>
          <w:p w14:paraId="17174C4F" w14:textId="77777777" w:rsidR="00236A5B" w:rsidRPr="00F7228F" w:rsidRDefault="00236A5B" w:rsidP="000B242D">
            <w:pPr>
              <w:spacing w:line="276" w:lineRule="auto"/>
              <w:rPr>
                <w:rFonts w:ascii="Arial" w:hAnsi="Arial" w:cs="Arial"/>
              </w:rPr>
            </w:pPr>
            <w:r w:rsidRPr="00F7228F">
              <w:rPr>
                <w:rFonts w:ascii="Arial" w:hAnsi="Arial" w:cs="Arial"/>
              </w:rPr>
              <w:t>55.5</w:t>
            </w:r>
          </w:p>
          <w:p w14:paraId="73D72785" w14:textId="77777777" w:rsidR="00236A5B" w:rsidRPr="00F7228F" w:rsidRDefault="00236A5B" w:rsidP="000B242D">
            <w:pPr>
              <w:spacing w:line="276" w:lineRule="auto"/>
              <w:rPr>
                <w:rFonts w:ascii="Arial" w:hAnsi="Arial" w:cs="Arial"/>
              </w:rPr>
            </w:pPr>
            <w:r w:rsidRPr="00F7228F">
              <w:rPr>
                <w:rFonts w:ascii="Arial" w:hAnsi="Arial" w:cs="Arial"/>
              </w:rPr>
              <w:t>(50 – 65)</w:t>
            </w:r>
          </w:p>
        </w:tc>
        <w:tc>
          <w:tcPr>
            <w:tcW w:w="836" w:type="pct"/>
          </w:tcPr>
          <w:p w14:paraId="20141BB2" w14:textId="77777777" w:rsidR="00236A5B" w:rsidRPr="00F7228F" w:rsidRDefault="00236A5B" w:rsidP="000B242D">
            <w:pPr>
              <w:spacing w:line="276" w:lineRule="auto"/>
              <w:rPr>
                <w:rFonts w:ascii="Arial" w:hAnsi="Arial" w:cs="Arial"/>
                <w:vertAlign w:val="superscript"/>
              </w:rPr>
            </w:pPr>
          </w:p>
          <w:p w14:paraId="3E77313D"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0.610 </w:t>
            </w:r>
            <w:r w:rsidRPr="00F7228F">
              <w:rPr>
                <w:rFonts w:ascii="Arial" w:hAnsi="Arial" w:cs="Arial"/>
                <w:vertAlign w:val="superscript"/>
              </w:rPr>
              <w:t>b</w:t>
            </w:r>
          </w:p>
        </w:tc>
      </w:tr>
      <w:tr w:rsidR="00236A5B" w:rsidRPr="00F7228F" w14:paraId="539AE893" w14:textId="77777777" w:rsidTr="00CB0BB6">
        <w:tc>
          <w:tcPr>
            <w:tcW w:w="1086" w:type="pct"/>
            <w:vMerge w:val="restart"/>
          </w:tcPr>
          <w:p w14:paraId="4EC5B914" w14:textId="77777777" w:rsidR="00236A5B" w:rsidRPr="00F7228F" w:rsidRDefault="00236A5B" w:rsidP="000B242D">
            <w:pPr>
              <w:spacing w:line="276" w:lineRule="auto"/>
              <w:rPr>
                <w:rFonts w:ascii="Arial" w:hAnsi="Arial" w:cs="Arial"/>
              </w:rPr>
            </w:pPr>
            <w:r w:rsidRPr="00F7228F">
              <w:rPr>
                <w:rFonts w:ascii="Arial" w:hAnsi="Arial" w:cs="Arial"/>
              </w:rPr>
              <w:t>Sex (n, %)</w:t>
            </w:r>
          </w:p>
        </w:tc>
        <w:tc>
          <w:tcPr>
            <w:tcW w:w="1112" w:type="pct"/>
          </w:tcPr>
          <w:p w14:paraId="125A0D0F" w14:textId="77777777" w:rsidR="00236A5B" w:rsidRPr="00F7228F" w:rsidRDefault="00236A5B" w:rsidP="000B242D">
            <w:pPr>
              <w:spacing w:line="276" w:lineRule="auto"/>
              <w:rPr>
                <w:rFonts w:ascii="Arial" w:hAnsi="Arial" w:cs="Arial"/>
              </w:rPr>
            </w:pPr>
            <w:r w:rsidRPr="00F7228F">
              <w:rPr>
                <w:rFonts w:ascii="Arial" w:hAnsi="Arial" w:cs="Arial"/>
              </w:rPr>
              <w:t>Female</w:t>
            </w:r>
          </w:p>
        </w:tc>
        <w:tc>
          <w:tcPr>
            <w:tcW w:w="944" w:type="pct"/>
          </w:tcPr>
          <w:p w14:paraId="23B3B54B" w14:textId="77777777" w:rsidR="00236A5B" w:rsidRPr="00F7228F" w:rsidRDefault="00236A5B" w:rsidP="000B242D">
            <w:pPr>
              <w:spacing w:line="276" w:lineRule="auto"/>
              <w:rPr>
                <w:rFonts w:ascii="Arial" w:hAnsi="Arial" w:cs="Arial"/>
              </w:rPr>
            </w:pPr>
            <w:r w:rsidRPr="00F7228F">
              <w:rPr>
                <w:rFonts w:ascii="Arial" w:hAnsi="Arial" w:cs="Arial"/>
              </w:rPr>
              <w:t>46 (69.7)</w:t>
            </w:r>
          </w:p>
        </w:tc>
        <w:tc>
          <w:tcPr>
            <w:tcW w:w="1022" w:type="pct"/>
          </w:tcPr>
          <w:p w14:paraId="403EC49B" w14:textId="77777777" w:rsidR="00236A5B" w:rsidRPr="00F7228F" w:rsidRDefault="00236A5B" w:rsidP="000B242D">
            <w:pPr>
              <w:spacing w:line="276" w:lineRule="auto"/>
              <w:rPr>
                <w:rFonts w:ascii="Arial" w:hAnsi="Arial" w:cs="Arial"/>
              </w:rPr>
            </w:pPr>
            <w:r w:rsidRPr="00F7228F">
              <w:rPr>
                <w:rFonts w:ascii="Arial" w:hAnsi="Arial" w:cs="Arial"/>
              </w:rPr>
              <w:t>26 (86.7)</w:t>
            </w:r>
          </w:p>
        </w:tc>
        <w:tc>
          <w:tcPr>
            <w:tcW w:w="836" w:type="pct"/>
            <w:vMerge w:val="restart"/>
          </w:tcPr>
          <w:p w14:paraId="4309374A"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0.083 </w:t>
            </w:r>
            <w:r w:rsidRPr="00F7228F">
              <w:rPr>
                <w:rFonts w:ascii="Arial" w:hAnsi="Arial" w:cs="Arial"/>
                <w:vertAlign w:val="superscript"/>
              </w:rPr>
              <w:t>a</w:t>
            </w:r>
          </w:p>
        </w:tc>
      </w:tr>
      <w:tr w:rsidR="00236A5B" w:rsidRPr="00F7228F" w14:paraId="6A81E6C4" w14:textId="77777777" w:rsidTr="00CB0BB6">
        <w:tc>
          <w:tcPr>
            <w:tcW w:w="1086" w:type="pct"/>
            <w:vMerge/>
          </w:tcPr>
          <w:p w14:paraId="78D92F4F" w14:textId="77777777" w:rsidR="00236A5B" w:rsidRPr="00F7228F" w:rsidRDefault="00236A5B" w:rsidP="000B242D">
            <w:pPr>
              <w:spacing w:line="276" w:lineRule="auto"/>
              <w:rPr>
                <w:rFonts w:ascii="Arial" w:hAnsi="Arial" w:cs="Arial"/>
              </w:rPr>
            </w:pPr>
          </w:p>
        </w:tc>
        <w:tc>
          <w:tcPr>
            <w:tcW w:w="1112" w:type="pct"/>
          </w:tcPr>
          <w:p w14:paraId="3EF8D6B8" w14:textId="77777777" w:rsidR="00236A5B" w:rsidRPr="00F7228F" w:rsidRDefault="00236A5B" w:rsidP="000B242D">
            <w:pPr>
              <w:spacing w:line="276" w:lineRule="auto"/>
              <w:rPr>
                <w:rFonts w:ascii="Arial" w:hAnsi="Arial" w:cs="Arial"/>
              </w:rPr>
            </w:pPr>
            <w:r w:rsidRPr="00F7228F">
              <w:rPr>
                <w:rFonts w:ascii="Arial" w:hAnsi="Arial" w:cs="Arial"/>
              </w:rPr>
              <w:t>Male</w:t>
            </w:r>
          </w:p>
        </w:tc>
        <w:tc>
          <w:tcPr>
            <w:tcW w:w="944" w:type="pct"/>
          </w:tcPr>
          <w:p w14:paraId="6B5235C5" w14:textId="77777777" w:rsidR="00236A5B" w:rsidRPr="00F7228F" w:rsidRDefault="00236A5B" w:rsidP="000B242D">
            <w:pPr>
              <w:spacing w:line="276" w:lineRule="auto"/>
              <w:rPr>
                <w:rFonts w:ascii="Arial" w:hAnsi="Arial" w:cs="Arial"/>
              </w:rPr>
            </w:pPr>
            <w:r w:rsidRPr="00F7228F">
              <w:rPr>
                <w:rFonts w:ascii="Arial" w:hAnsi="Arial" w:cs="Arial"/>
              </w:rPr>
              <w:t>20 (30.3)</w:t>
            </w:r>
          </w:p>
        </w:tc>
        <w:tc>
          <w:tcPr>
            <w:tcW w:w="1022" w:type="pct"/>
          </w:tcPr>
          <w:p w14:paraId="4BE5BA1B" w14:textId="77777777" w:rsidR="00236A5B" w:rsidRPr="00F7228F" w:rsidRDefault="00236A5B" w:rsidP="000B242D">
            <w:pPr>
              <w:spacing w:line="276" w:lineRule="auto"/>
              <w:rPr>
                <w:rFonts w:ascii="Arial" w:hAnsi="Arial" w:cs="Arial"/>
              </w:rPr>
            </w:pPr>
            <w:r w:rsidRPr="00F7228F">
              <w:rPr>
                <w:rFonts w:ascii="Arial" w:hAnsi="Arial" w:cs="Arial"/>
              </w:rPr>
              <w:t>4 (13.3)</w:t>
            </w:r>
          </w:p>
        </w:tc>
        <w:tc>
          <w:tcPr>
            <w:tcW w:w="836" w:type="pct"/>
            <w:vMerge/>
          </w:tcPr>
          <w:p w14:paraId="47217B3E" w14:textId="77777777" w:rsidR="00236A5B" w:rsidRPr="00F7228F" w:rsidRDefault="00236A5B" w:rsidP="000B242D">
            <w:pPr>
              <w:spacing w:line="276" w:lineRule="auto"/>
              <w:rPr>
                <w:rFonts w:ascii="Arial" w:hAnsi="Arial" w:cs="Arial"/>
              </w:rPr>
            </w:pPr>
          </w:p>
        </w:tc>
      </w:tr>
      <w:tr w:rsidR="00236A5B" w:rsidRPr="00F7228F" w14:paraId="7F8BA454" w14:textId="77777777" w:rsidTr="00CB0BB6">
        <w:tc>
          <w:tcPr>
            <w:tcW w:w="1086" w:type="pct"/>
            <w:vMerge w:val="restart"/>
          </w:tcPr>
          <w:p w14:paraId="147EE6F7" w14:textId="77777777" w:rsidR="00236A5B" w:rsidRPr="00F7228F" w:rsidRDefault="00236A5B" w:rsidP="000B242D">
            <w:pPr>
              <w:spacing w:line="276" w:lineRule="auto"/>
              <w:rPr>
                <w:rFonts w:ascii="Arial" w:hAnsi="Arial" w:cs="Arial"/>
              </w:rPr>
            </w:pPr>
            <w:r w:rsidRPr="00F7228F">
              <w:rPr>
                <w:rFonts w:ascii="Arial" w:hAnsi="Arial" w:cs="Arial"/>
              </w:rPr>
              <w:t>Race (n, %)</w:t>
            </w:r>
          </w:p>
        </w:tc>
        <w:tc>
          <w:tcPr>
            <w:tcW w:w="1112" w:type="pct"/>
          </w:tcPr>
          <w:p w14:paraId="636F4B93" w14:textId="77777777" w:rsidR="00236A5B" w:rsidRPr="00F7228F" w:rsidRDefault="00236A5B" w:rsidP="000B242D">
            <w:pPr>
              <w:spacing w:line="276" w:lineRule="auto"/>
              <w:rPr>
                <w:rFonts w:ascii="Arial" w:hAnsi="Arial" w:cs="Arial"/>
              </w:rPr>
            </w:pPr>
            <w:r w:rsidRPr="00F7228F">
              <w:rPr>
                <w:rFonts w:ascii="Arial" w:hAnsi="Arial" w:cs="Arial"/>
              </w:rPr>
              <w:t>White</w:t>
            </w:r>
          </w:p>
        </w:tc>
        <w:tc>
          <w:tcPr>
            <w:tcW w:w="944" w:type="pct"/>
          </w:tcPr>
          <w:p w14:paraId="3FB328EF" w14:textId="77777777" w:rsidR="00236A5B" w:rsidRPr="00F7228F" w:rsidRDefault="00236A5B" w:rsidP="000B242D">
            <w:pPr>
              <w:spacing w:line="276" w:lineRule="auto"/>
              <w:rPr>
                <w:rFonts w:ascii="Arial" w:hAnsi="Arial" w:cs="Arial"/>
              </w:rPr>
            </w:pPr>
            <w:r w:rsidRPr="00F7228F">
              <w:rPr>
                <w:rFonts w:ascii="Arial" w:hAnsi="Arial" w:cs="Arial"/>
              </w:rPr>
              <w:t>64 (97.0)</w:t>
            </w:r>
          </w:p>
        </w:tc>
        <w:tc>
          <w:tcPr>
            <w:tcW w:w="1022" w:type="pct"/>
          </w:tcPr>
          <w:p w14:paraId="57362D31" w14:textId="77777777" w:rsidR="00236A5B" w:rsidRPr="00F7228F" w:rsidRDefault="00236A5B" w:rsidP="000B242D">
            <w:pPr>
              <w:spacing w:line="276" w:lineRule="auto"/>
              <w:rPr>
                <w:rFonts w:ascii="Arial" w:hAnsi="Arial" w:cs="Arial"/>
              </w:rPr>
            </w:pPr>
            <w:r w:rsidRPr="00F7228F">
              <w:rPr>
                <w:rFonts w:ascii="Arial" w:hAnsi="Arial" w:cs="Arial"/>
              </w:rPr>
              <w:t>29 (96.7)</w:t>
            </w:r>
          </w:p>
        </w:tc>
        <w:tc>
          <w:tcPr>
            <w:tcW w:w="836" w:type="pct"/>
            <w:vMerge w:val="restart"/>
          </w:tcPr>
          <w:p w14:paraId="54709EDF"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0.379 </w:t>
            </w:r>
            <w:r w:rsidRPr="00F7228F">
              <w:rPr>
                <w:rFonts w:ascii="Arial" w:hAnsi="Arial" w:cs="Arial"/>
                <w:vertAlign w:val="superscript"/>
              </w:rPr>
              <w:t>a</w:t>
            </w:r>
          </w:p>
        </w:tc>
      </w:tr>
      <w:tr w:rsidR="00236A5B" w:rsidRPr="00F7228F" w14:paraId="491D6177" w14:textId="77777777" w:rsidTr="00CB0BB6">
        <w:tc>
          <w:tcPr>
            <w:tcW w:w="1086" w:type="pct"/>
            <w:vMerge/>
          </w:tcPr>
          <w:p w14:paraId="2B2C2A1F" w14:textId="77777777" w:rsidR="00236A5B" w:rsidRPr="00F7228F" w:rsidRDefault="00236A5B" w:rsidP="000B242D">
            <w:pPr>
              <w:spacing w:line="276" w:lineRule="auto"/>
              <w:rPr>
                <w:rFonts w:ascii="Arial" w:hAnsi="Arial" w:cs="Arial"/>
              </w:rPr>
            </w:pPr>
          </w:p>
        </w:tc>
        <w:tc>
          <w:tcPr>
            <w:tcW w:w="1112" w:type="pct"/>
          </w:tcPr>
          <w:p w14:paraId="5858A7A0" w14:textId="77777777" w:rsidR="00236A5B" w:rsidRPr="00F7228F" w:rsidRDefault="00236A5B" w:rsidP="000B242D">
            <w:pPr>
              <w:spacing w:line="276" w:lineRule="auto"/>
              <w:rPr>
                <w:rFonts w:ascii="Arial" w:hAnsi="Arial" w:cs="Arial"/>
              </w:rPr>
            </w:pPr>
            <w:r w:rsidRPr="00F7228F">
              <w:rPr>
                <w:rFonts w:ascii="Arial" w:hAnsi="Arial" w:cs="Arial"/>
              </w:rPr>
              <w:t>Black</w:t>
            </w:r>
          </w:p>
        </w:tc>
        <w:tc>
          <w:tcPr>
            <w:tcW w:w="944" w:type="pct"/>
          </w:tcPr>
          <w:p w14:paraId="5C238016"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1022" w:type="pct"/>
          </w:tcPr>
          <w:p w14:paraId="58F5B976" w14:textId="77777777" w:rsidR="00236A5B" w:rsidRPr="00F7228F" w:rsidRDefault="00236A5B" w:rsidP="000B242D">
            <w:pPr>
              <w:spacing w:line="276" w:lineRule="auto"/>
              <w:rPr>
                <w:rFonts w:ascii="Arial" w:hAnsi="Arial" w:cs="Arial"/>
              </w:rPr>
            </w:pPr>
            <w:r w:rsidRPr="00F7228F">
              <w:rPr>
                <w:rFonts w:ascii="Arial" w:hAnsi="Arial" w:cs="Arial"/>
              </w:rPr>
              <w:t>1 (3.3)</w:t>
            </w:r>
          </w:p>
        </w:tc>
        <w:tc>
          <w:tcPr>
            <w:tcW w:w="836" w:type="pct"/>
            <w:vMerge/>
          </w:tcPr>
          <w:p w14:paraId="65D8CC2A" w14:textId="77777777" w:rsidR="00236A5B" w:rsidRPr="00F7228F" w:rsidRDefault="00236A5B" w:rsidP="000B242D">
            <w:pPr>
              <w:spacing w:line="276" w:lineRule="auto"/>
              <w:rPr>
                <w:rFonts w:ascii="Arial" w:hAnsi="Arial" w:cs="Arial"/>
              </w:rPr>
            </w:pPr>
          </w:p>
        </w:tc>
      </w:tr>
      <w:tr w:rsidR="00236A5B" w:rsidRPr="00F7228F" w14:paraId="05940D6B" w14:textId="77777777" w:rsidTr="00CB0BB6">
        <w:tc>
          <w:tcPr>
            <w:tcW w:w="1086" w:type="pct"/>
            <w:vMerge/>
          </w:tcPr>
          <w:p w14:paraId="0730F5E4" w14:textId="77777777" w:rsidR="00236A5B" w:rsidRPr="00F7228F" w:rsidRDefault="00236A5B" w:rsidP="000B242D">
            <w:pPr>
              <w:spacing w:line="276" w:lineRule="auto"/>
              <w:rPr>
                <w:rFonts w:ascii="Arial" w:hAnsi="Arial" w:cs="Arial"/>
              </w:rPr>
            </w:pPr>
          </w:p>
        </w:tc>
        <w:tc>
          <w:tcPr>
            <w:tcW w:w="1112" w:type="pct"/>
          </w:tcPr>
          <w:p w14:paraId="7C55CF44" w14:textId="77777777" w:rsidR="00236A5B" w:rsidRPr="00F7228F" w:rsidRDefault="00236A5B" w:rsidP="000B242D">
            <w:pPr>
              <w:spacing w:line="276" w:lineRule="auto"/>
              <w:rPr>
                <w:rFonts w:ascii="Arial" w:hAnsi="Arial" w:cs="Arial"/>
              </w:rPr>
            </w:pPr>
            <w:r w:rsidRPr="00F7228F">
              <w:rPr>
                <w:rFonts w:ascii="Arial" w:hAnsi="Arial" w:cs="Arial"/>
              </w:rPr>
              <w:t>Asian</w:t>
            </w:r>
          </w:p>
        </w:tc>
        <w:tc>
          <w:tcPr>
            <w:tcW w:w="944" w:type="pct"/>
          </w:tcPr>
          <w:p w14:paraId="02FD60B0" w14:textId="77777777" w:rsidR="00236A5B" w:rsidRPr="00F7228F" w:rsidRDefault="00236A5B" w:rsidP="000B242D">
            <w:pPr>
              <w:spacing w:line="276" w:lineRule="auto"/>
              <w:rPr>
                <w:rFonts w:ascii="Arial" w:hAnsi="Arial" w:cs="Arial"/>
              </w:rPr>
            </w:pPr>
            <w:r w:rsidRPr="00F7228F">
              <w:rPr>
                <w:rFonts w:ascii="Arial" w:hAnsi="Arial" w:cs="Arial"/>
              </w:rPr>
              <w:t>2 (3.0)</w:t>
            </w:r>
          </w:p>
        </w:tc>
        <w:tc>
          <w:tcPr>
            <w:tcW w:w="1022" w:type="pct"/>
          </w:tcPr>
          <w:p w14:paraId="4D72F283"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836" w:type="pct"/>
            <w:vMerge/>
          </w:tcPr>
          <w:p w14:paraId="4DCE7CBC" w14:textId="77777777" w:rsidR="00236A5B" w:rsidRPr="00F7228F" w:rsidRDefault="00236A5B" w:rsidP="000B242D">
            <w:pPr>
              <w:spacing w:line="276" w:lineRule="auto"/>
              <w:rPr>
                <w:rFonts w:ascii="Arial" w:hAnsi="Arial" w:cs="Arial"/>
              </w:rPr>
            </w:pPr>
          </w:p>
        </w:tc>
      </w:tr>
      <w:tr w:rsidR="00236A5B" w:rsidRPr="00F7228F" w14:paraId="0C18F3F0" w14:textId="77777777" w:rsidTr="00CB0BB6">
        <w:tc>
          <w:tcPr>
            <w:tcW w:w="1086" w:type="pct"/>
            <w:vMerge w:val="restart"/>
          </w:tcPr>
          <w:p w14:paraId="1BD38289" w14:textId="77777777" w:rsidR="00236A5B" w:rsidRPr="00F7228F" w:rsidRDefault="00236A5B" w:rsidP="000B242D">
            <w:pPr>
              <w:spacing w:line="276" w:lineRule="auto"/>
              <w:rPr>
                <w:rFonts w:ascii="Arial" w:hAnsi="Arial" w:cs="Arial"/>
              </w:rPr>
            </w:pPr>
            <w:r w:rsidRPr="00F7228F">
              <w:rPr>
                <w:rFonts w:ascii="Arial" w:hAnsi="Arial" w:cs="Arial"/>
              </w:rPr>
              <w:t>Premorbid hypertension</w:t>
            </w:r>
          </w:p>
        </w:tc>
        <w:tc>
          <w:tcPr>
            <w:tcW w:w="1112" w:type="pct"/>
          </w:tcPr>
          <w:p w14:paraId="1C43923F"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674E3182" w14:textId="77777777" w:rsidR="00236A5B" w:rsidRPr="00F7228F" w:rsidRDefault="00236A5B" w:rsidP="000B242D">
            <w:pPr>
              <w:spacing w:line="276" w:lineRule="auto"/>
              <w:rPr>
                <w:rFonts w:ascii="Arial" w:hAnsi="Arial" w:cs="Arial"/>
              </w:rPr>
            </w:pPr>
            <w:r w:rsidRPr="00F7228F">
              <w:rPr>
                <w:rFonts w:ascii="Arial" w:hAnsi="Arial" w:cs="Arial"/>
              </w:rPr>
              <w:t>21 (31.8)</w:t>
            </w:r>
          </w:p>
        </w:tc>
        <w:tc>
          <w:tcPr>
            <w:tcW w:w="1022" w:type="pct"/>
          </w:tcPr>
          <w:p w14:paraId="3DCE3207" w14:textId="77777777" w:rsidR="00236A5B" w:rsidRPr="00F7228F" w:rsidRDefault="00236A5B" w:rsidP="000B242D">
            <w:pPr>
              <w:spacing w:line="276" w:lineRule="auto"/>
              <w:rPr>
                <w:rFonts w:ascii="Arial" w:hAnsi="Arial" w:cs="Arial"/>
              </w:rPr>
            </w:pPr>
            <w:r w:rsidRPr="00F7228F">
              <w:rPr>
                <w:rFonts w:ascii="Arial" w:hAnsi="Arial" w:cs="Arial"/>
              </w:rPr>
              <w:t>7 (23.3)</w:t>
            </w:r>
          </w:p>
        </w:tc>
        <w:tc>
          <w:tcPr>
            <w:tcW w:w="836" w:type="pct"/>
            <w:vMerge w:val="restart"/>
          </w:tcPr>
          <w:p w14:paraId="2A61FC4E" w14:textId="77777777" w:rsidR="00236A5B" w:rsidRPr="00F7228F" w:rsidRDefault="00236A5B" w:rsidP="000B242D">
            <w:pPr>
              <w:spacing w:line="276" w:lineRule="auto"/>
              <w:rPr>
                <w:rFonts w:ascii="Arial" w:hAnsi="Arial" w:cs="Arial"/>
              </w:rPr>
            </w:pPr>
            <w:r w:rsidRPr="00F7228F">
              <w:rPr>
                <w:rFonts w:ascii="Arial" w:hAnsi="Arial" w:cs="Arial"/>
              </w:rPr>
              <w:t xml:space="preserve">0.473 </w:t>
            </w:r>
            <w:r w:rsidRPr="00F7228F">
              <w:rPr>
                <w:rFonts w:ascii="Arial" w:hAnsi="Arial" w:cs="Arial"/>
                <w:vertAlign w:val="superscript"/>
              </w:rPr>
              <w:t>a</w:t>
            </w:r>
          </w:p>
        </w:tc>
      </w:tr>
      <w:tr w:rsidR="00236A5B" w:rsidRPr="00F7228F" w14:paraId="53E725F1" w14:textId="77777777" w:rsidTr="00CB0BB6">
        <w:tc>
          <w:tcPr>
            <w:tcW w:w="1086" w:type="pct"/>
            <w:vMerge/>
          </w:tcPr>
          <w:p w14:paraId="3452E91F" w14:textId="77777777" w:rsidR="00236A5B" w:rsidRPr="00F7228F" w:rsidRDefault="00236A5B" w:rsidP="000B242D">
            <w:pPr>
              <w:spacing w:line="276" w:lineRule="auto"/>
              <w:rPr>
                <w:rFonts w:ascii="Arial" w:hAnsi="Arial" w:cs="Arial"/>
              </w:rPr>
            </w:pPr>
          </w:p>
        </w:tc>
        <w:tc>
          <w:tcPr>
            <w:tcW w:w="1112" w:type="pct"/>
          </w:tcPr>
          <w:p w14:paraId="6BC6272C"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2BD9A5D1" w14:textId="77777777" w:rsidR="00236A5B" w:rsidRPr="00F7228F" w:rsidRDefault="00236A5B" w:rsidP="000B242D">
            <w:pPr>
              <w:spacing w:line="276" w:lineRule="auto"/>
              <w:rPr>
                <w:rFonts w:ascii="Arial" w:hAnsi="Arial" w:cs="Arial"/>
              </w:rPr>
            </w:pPr>
            <w:r w:rsidRPr="00F7228F">
              <w:rPr>
                <w:rFonts w:ascii="Arial" w:hAnsi="Arial" w:cs="Arial"/>
              </w:rPr>
              <w:t>45 (68.2)</w:t>
            </w:r>
          </w:p>
        </w:tc>
        <w:tc>
          <w:tcPr>
            <w:tcW w:w="1022" w:type="pct"/>
          </w:tcPr>
          <w:p w14:paraId="57BB0CE1" w14:textId="77777777" w:rsidR="00236A5B" w:rsidRPr="00F7228F" w:rsidRDefault="00236A5B" w:rsidP="000B242D">
            <w:pPr>
              <w:spacing w:line="276" w:lineRule="auto"/>
              <w:rPr>
                <w:rFonts w:ascii="Arial" w:hAnsi="Arial" w:cs="Arial"/>
              </w:rPr>
            </w:pPr>
            <w:r w:rsidRPr="00F7228F">
              <w:rPr>
                <w:rFonts w:ascii="Arial" w:hAnsi="Arial" w:cs="Arial"/>
              </w:rPr>
              <w:t>23 (76.7)</w:t>
            </w:r>
          </w:p>
        </w:tc>
        <w:tc>
          <w:tcPr>
            <w:tcW w:w="836" w:type="pct"/>
            <w:vMerge/>
          </w:tcPr>
          <w:p w14:paraId="3DE9F84B" w14:textId="77777777" w:rsidR="00236A5B" w:rsidRPr="00F7228F" w:rsidRDefault="00236A5B" w:rsidP="000B242D">
            <w:pPr>
              <w:spacing w:line="276" w:lineRule="auto"/>
              <w:rPr>
                <w:rFonts w:ascii="Arial" w:hAnsi="Arial" w:cs="Arial"/>
              </w:rPr>
            </w:pPr>
          </w:p>
        </w:tc>
      </w:tr>
      <w:tr w:rsidR="00236A5B" w:rsidRPr="00F7228F" w14:paraId="5EF66B97" w14:textId="77777777" w:rsidTr="00CB0BB6">
        <w:tc>
          <w:tcPr>
            <w:tcW w:w="1086" w:type="pct"/>
            <w:vMerge w:val="restart"/>
          </w:tcPr>
          <w:p w14:paraId="65A78071" w14:textId="77777777" w:rsidR="00236A5B" w:rsidRPr="00F7228F" w:rsidRDefault="00236A5B" w:rsidP="000B242D">
            <w:pPr>
              <w:spacing w:line="276" w:lineRule="auto"/>
              <w:rPr>
                <w:rFonts w:ascii="Arial" w:hAnsi="Arial" w:cs="Arial"/>
              </w:rPr>
            </w:pPr>
            <w:r w:rsidRPr="00F7228F">
              <w:rPr>
                <w:rFonts w:ascii="Arial" w:hAnsi="Arial" w:cs="Arial"/>
              </w:rPr>
              <w:t>WFNS Grade (n, %)</w:t>
            </w:r>
          </w:p>
        </w:tc>
        <w:tc>
          <w:tcPr>
            <w:tcW w:w="1112" w:type="pct"/>
          </w:tcPr>
          <w:p w14:paraId="65F74C7C" w14:textId="77777777" w:rsidR="00236A5B" w:rsidRPr="00F7228F" w:rsidRDefault="00236A5B" w:rsidP="000B242D">
            <w:pPr>
              <w:spacing w:line="276" w:lineRule="auto"/>
              <w:rPr>
                <w:rFonts w:ascii="Arial" w:hAnsi="Arial" w:cs="Arial"/>
              </w:rPr>
            </w:pPr>
            <w:r w:rsidRPr="00F7228F">
              <w:rPr>
                <w:rFonts w:ascii="Arial" w:hAnsi="Arial" w:cs="Arial"/>
              </w:rPr>
              <w:t>I</w:t>
            </w:r>
          </w:p>
        </w:tc>
        <w:tc>
          <w:tcPr>
            <w:tcW w:w="944" w:type="pct"/>
          </w:tcPr>
          <w:p w14:paraId="5B3E1E4A" w14:textId="77777777" w:rsidR="00236A5B" w:rsidRPr="00F7228F" w:rsidRDefault="00236A5B" w:rsidP="000B242D">
            <w:pPr>
              <w:spacing w:line="276" w:lineRule="auto"/>
              <w:rPr>
                <w:rFonts w:ascii="Arial" w:hAnsi="Arial" w:cs="Arial"/>
              </w:rPr>
            </w:pPr>
            <w:r w:rsidRPr="00F7228F">
              <w:rPr>
                <w:rFonts w:ascii="Arial" w:hAnsi="Arial" w:cs="Arial"/>
              </w:rPr>
              <w:t>43 (65.2)</w:t>
            </w:r>
          </w:p>
        </w:tc>
        <w:tc>
          <w:tcPr>
            <w:tcW w:w="1022" w:type="pct"/>
          </w:tcPr>
          <w:p w14:paraId="791CF6A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836" w:type="pct"/>
            <w:vMerge w:val="restart"/>
          </w:tcPr>
          <w:p w14:paraId="672ED1C9" w14:textId="77777777" w:rsidR="00236A5B" w:rsidRPr="00F7228F" w:rsidRDefault="00236A5B" w:rsidP="000B242D">
            <w:pPr>
              <w:spacing w:line="276" w:lineRule="auto"/>
              <w:rPr>
                <w:rFonts w:ascii="Arial" w:hAnsi="Arial" w:cs="Arial"/>
              </w:rPr>
            </w:pPr>
            <w:r w:rsidRPr="00F7228F">
              <w:rPr>
                <w:rFonts w:ascii="Arial" w:hAnsi="Arial" w:cs="Arial"/>
              </w:rPr>
              <w:t>NA</w:t>
            </w:r>
          </w:p>
          <w:p w14:paraId="0A32EE8E" w14:textId="77777777" w:rsidR="00236A5B" w:rsidRPr="00F7228F" w:rsidRDefault="00236A5B" w:rsidP="000B242D">
            <w:pPr>
              <w:spacing w:line="276" w:lineRule="auto"/>
              <w:rPr>
                <w:rFonts w:ascii="Arial" w:hAnsi="Arial" w:cs="Arial"/>
              </w:rPr>
            </w:pPr>
          </w:p>
        </w:tc>
      </w:tr>
      <w:tr w:rsidR="00236A5B" w:rsidRPr="00F7228F" w14:paraId="12264789" w14:textId="77777777" w:rsidTr="00CB0BB6">
        <w:tc>
          <w:tcPr>
            <w:tcW w:w="1086" w:type="pct"/>
            <w:vMerge/>
          </w:tcPr>
          <w:p w14:paraId="2E8A6DED" w14:textId="77777777" w:rsidR="00236A5B" w:rsidRPr="00F7228F" w:rsidRDefault="00236A5B" w:rsidP="000B242D">
            <w:pPr>
              <w:spacing w:line="276" w:lineRule="auto"/>
              <w:rPr>
                <w:rFonts w:ascii="Arial" w:hAnsi="Arial" w:cs="Arial"/>
              </w:rPr>
            </w:pPr>
          </w:p>
        </w:tc>
        <w:tc>
          <w:tcPr>
            <w:tcW w:w="1112" w:type="pct"/>
          </w:tcPr>
          <w:p w14:paraId="0FA7F06C" w14:textId="77777777" w:rsidR="00236A5B" w:rsidRPr="00F7228F" w:rsidRDefault="00236A5B" w:rsidP="000B242D">
            <w:pPr>
              <w:spacing w:line="276" w:lineRule="auto"/>
              <w:rPr>
                <w:rFonts w:ascii="Arial" w:hAnsi="Arial" w:cs="Arial"/>
              </w:rPr>
            </w:pPr>
            <w:r w:rsidRPr="00F7228F">
              <w:rPr>
                <w:rFonts w:ascii="Arial" w:hAnsi="Arial" w:cs="Arial"/>
              </w:rPr>
              <w:t>II</w:t>
            </w:r>
          </w:p>
        </w:tc>
        <w:tc>
          <w:tcPr>
            <w:tcW w:w="944" w:type="pct"/>
          </w:tcPr>
          <w:p w14:paraId="38BF121D" w14:textId="77777777" w:rsidR="00236A5B" w:rsidRPr="00F7228F" w:rsidRDefault="00236A5B" w:rsidP="000B242D">
            <w:pPr>
              <w:spacing w:line="276" w:lineRule="auto"/>
              <w:rPr>
                <w:rFonts w:ascii="Arial" w:hAnsi="Arial" w:cs="Arial"/>
              </w:rPr>
            </w:pPr>
            <w:r w:rsidRPr="00F7228F">
              <w:rPr>
                <w:rFonts w:ascii="Arial" w:hAnsi="Arial" w:cs="Arial"/>
              </w:rPr>
              <w:t>16 (24.2)</w:t>
            </w:r>
          </w:p>
        </w:tc>
        <w:tc>
          <w:tcPr>
            <w:tcW w:w="1022" w:type="pct"/>
          </w:tcPr>
          <w:p w14:paraId="1526A2D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836" w:type="pct"/>
            <w:vMerge/>
          </w:tcPr>
          <w:p w14:paraId="06414CA7" w14:textId="77777777" w:rsidR="00236A5B" w:rsidRPr="00F7228F" w:rsidRDefault="00236A5B" w:rsidP="000B242D">
            <w:pPr>
              <w:spacing w:line="276" w:lineRule="auto"/>
              <w:rPr>
                <w:rFonts w:ascii="Arial" w:hAnsi="Arial" w:cs="Arial"/>
              </w:rPr>
            </w:pPr>
          </w:p>
        </w:tc>
      </w:tr>
      <w:tr w:rsidR="00236A5B" w:rsidRPr="00F7228F" w14:paraId="13FA23BE" w14:textId="77777777" w:rsidTr="00CB0BB6">
        <w:tc>
          <w:tcPr>
            <w:tcW w:w="1086" w:type="pct"/>
            <w:vMerge/>
          </w:tcPr>
          <w:p w14:paraId="61931454" w14:textId="77777777" w:rsidR="00236A5B" w:rsidRPr="00F7228F" w:rsidRDefault="00236A5B" w:rsidP="000B242D">
            <w:pPr>
              <w:spacing w:line="276" w:lineRule="auto"/>
              <w:rPr>
                <w:rFonts w:ascii="Arial" w:hAnsi="Arial" w:cs="Arial"/>
              </w:rPr>
            </w:pPr>
          </w:p>
        </w:tc>
        <w:tc>
          <w:tcPr>
            <w:tcW w:w="1112" w:type="pct"/>
          </w:tcPr>
          <w:p w14:paraId="627FD83E" w14:textId="77777777" w:rsidR="00236A5B" w:rsidRPr="00F7228F" w:rsidRDefault="00236A5B" w:rsidP="000B242D">
            <w:pPr>
              <w:spacing w:line="276" w:lineRule="auto"/>
              <w:rPr>
                <w:rFonts w:ascii="Arial" w:hAnsi="Arial" w:cs="Arial"/>
              </w:rPr>
            </w:pPr>
            <w:r w:rsidRPr="00F7228F">
              <w:rPr>
                <w:rFonts w:ascii="Arial" w:hAnsi="Arial" w:cs="Arial"/>
              </w:rPr>
              <w:t>III</w:t>
            </w:r>
          </w:p>
        </w:tc>
        <w:tc>
          <w:tcPr>
            <w:tcW w:w="944" w:type="pct"/>
          </w:tcPr>
          <w:p w14:paraId="5D97BAC8" w14:textId="77777777" w:rsidR="00236A5B" w:rsidRPr="00F7228F" w:rsidRDefault="00236A5B" w:rsidP="000B242D">
            <w:pPr>
              <w:spacing w:line="276" w:lineRule="auto"/>
              <w:rPr>
                <w:rFonts w:ascii="Arial" w:hAnsi="Arial" w:cs="Arial"/>
              </w:rPr>
            </w:pPr>
            <w:r w:rsidRPr="00F7228F">
              <w:rPr>
                <w:rFonts w:ascii="Arial" w:hAnsi="Arial" w:cs="Arial"/>
              </w:rPr>
              <w:t>7 (10.6)</w:t>
            </w:r>
          </w:p>
        </w:tc>
        <w:tc>
          <w:tcPr>
            <w:tcW w:w="1022" w:type="pct"/>
          </w:tcPr>
          <w:p w14:paraId="20E578F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836" w:type="pct"/>
            <w:vMerge/>
          </w:tcPr>
          <w:p w14:paraId="1E5DEA81" w14:textId="77777777" w:rsidR="00236A5B" w:rsidRPr="00F7228F" w:rsidRDefault="00236A5B" w:rsidP="000B242D">
            <w:pPr>
              <w:spacing w:line="276" w:lineRule="auto"/>
              <w:rPr>
                <w:rFonts w:ascii="Arial" w:hAnsi="Arial" w:cs="Arial"/>
              </w:rPr>
            </w:pPr>
          </w:p>
        </w:tc>
      </w:tr>
      <w:tr w:rsidR="00236A5B" w:rsidRPr="00F7228F" w14:paraId="77522F2D" w14:textId="77777777" w:rsidTr="00CB0BB6">
        <w:tc>
          <w:tcPr>
            <w:tcW w:w="1086" w:type="pct"/>
            <w:vMerge/>
          </w:tcPr>
          <w:p w14:paraId="7E39F16F" w14:textId="77777777" w:rsidR="00236A5B" w:rsidRPr="00F7228F" w:rsidRDefault="00236A5B" w:rsidP="000B242D">
            <w:pPr>
              <w:spacing w:line="276" w:lineRule="auto"/>
              <w:rPr>
                <w:rFonts w:ascii="Arial" w:hAnsi="Arial" w:cs="Arial"/>
              </w:rPr>
            </w:pPr>
          </w:p>
        </w:tc>
        <w:tc>
          <w:tcPr>
            <w:tcW w:w="1112" w:type="pct"/>
          </w:tcPr>
          <w:p w14:paraId="0FF01F1F" w14:textId="77777777" w:rsidR="00236A5B" w:rsidRPr="00F7228F" w:rsidRDefault="00236A5B" w:rsidP="000B242D">
            <w:pPr>
              <w:spacing w:line="276" w:lineRule="auto"/>
              <w:rPr>
                <w:rFonts w:ascii="Arial" w:hAnsi="Arial" w:cs="Arial"/>
              </w:rPr>
            </w:pPr>
            <w:r w:rsidRPr="00F7228F">
              <w:rPr>
                <w:rFonts w:ascii="Arial" w:hAnsi="Arial" w:cs="Arial"/>
              </w:rPr>
              <w:t>IV</w:t>
            </w:r>
          </w:p>
        </w:tc>
        <w:tc>
          <w:tcPr>
            <w:tcW w:w="944" w:type="pct"/>
          </w:tcPr>
          <w:p w14:paraId="09E69C0A"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022" w:type="pct"/>
          </w:tcPr>
          <w:p w14:paraId="6EFCF2D0" w14:textId="77777777" w:rsidR="00236A5B" w:rsidRPr="00F7228F" w:rsidRDefault="00236A5B" w:rsidP="000B242D">
            <w:pPr>
              <w:spacing w:line="276" w:lineRule="auto"/>
              <w:rPr>
                <w:rFonts w:ascii="Arial" w:hAnsi="Arial" w:cs="Arial"/>
              </w:rPr>
            </w:pPr>
            <w:r w:rsidRPr="00F7228F">
              <w:rPr>
                <w:rFonts w:ascii="Arial" w:hAnsi="Arial" w:cs="Arial"/>
              </w:rPr>
              <w:t>25 (83.3)</w:t>
            </w:r>
          </w:p>
        </w:tc>
        <w:tc>
          <w:tcPr>
            <w:tcW w:w="836" w:type="pct"/>
            <w:vMerge/>
          </w:tcPr>
          <w:p w14:paraId="78FC04D4" w14:textId="77777777" w:rsidR="00236A5B" w:rsidRPr="00F7228F" w:rsidRDefault="00236A5B" w:rsidP="000B242D">
            <w:pPr>
              <w:spacing w:line="276" w:lineRule="auto"/>
              <w:rPr>
                <w:rFonts w:ascii="Arial" w:hAnsi="Arial" w:cs="Arial"/>
              </w:rPr>
            </w:pPr>
          </w:p>
        </w:tc>
      </w:tr>
      <w:tr w:rsidR="00236A5B" w:rsidRPr="00F7228F" w14:paraId="5D9AA44B" w14:textId="77777777" w:rsidTr="00CB0BB6">
        <w:tc>
          <w:tcPr>
            <w:tcW w:w="1086" w:type="pct"/>
            <w:vMerge/>
          </w:tcPr>
          <w:p w14:paraId="26E8BC6C" w14:textId="77777777" w:rsidR="00236A5B" w:rsidRPr="00F7228F" w:rsidRDefault="00236A5B" w:rsidP="000B242D">
            <w:pPr>
              <w:spacing w:line="276" w:lineRule="auto"/>
              <w:rPr>
                <w:rFonts w:ascii="Arial" w:hAnsi="Arial" w:cs="Arial"/>
              </w:rPr>
            </w:pPr>
          </w:p>
        </w:tc>
        <w:tc>
          <w:tcPr>
            <w:tcW w:w="1112" w:type="pct"/>
          </w:tcPr>
          <w:p w14:paraId="49914470" w14:textId="77777777" w:rsidR="00236A5B" w:rsidRPr="00F7228F" w:rsidRDefault="00236A5B" w:rsidP="000B242D">
            <w:pPr>
              <w:spacing w:line="276" w:lineRule="auto"/>
              <w:rPr>
                <w:rFonts w:ascii="Arial" w:hAnsi="Arial" w:cs="Arial"/>
              </w:rPr>
            </w:pPr>
            <w:r w:rsidRPr="00F7228F">
              <w:rPr>
                <w:rFonts w:ascii="Arial" w:hAnsi="Arial" w:cs="Arial"/>
              </w:rPr>
              <w:t>V</w:t>
            </w:r>
          </w:p>
        </w:tc>
        <w:tc>
          <w:tcPr>
            <w:tcW w:w="944" w:type="pct"/>
          </w:tcPr>
          <w:p w14:paraId="64FB6848"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022" w:type="pct"/>
          </w:tcPr>
          <w:p w14:paraId="1BDC8C11" w14:textId="77777777" w:rsidR="00236A5B" w:rsidRPr="00F7228F" w:rsidRDefault="00236A5B" w:rsidP="000B242D">
            <w:pPr>
              <w:spacing w:line="276" w:lineRule="auto"/>
              <w:rPr>
                <w:rFonts w:ascii="Arial" w:hAnsi="Arial" w:cs="Arial"/>
              </w:rPr>
            </w:pPr>
            <w:r w:rsidRPr="00F7228F">
              <w:rPr>
                <w:rFonts w:ascii="Arial" w:hAnsi="Arial" w:cs="Arial"/>
              </w:rPr>
              <w:t>5 (16.7)</w:t>
            </w:r>
          </w:p>
        </w:tc>
        <w:tc>
          <w:tcPr>
            <w:tcW w:w="836" w:type="pct"/>
            <w:vMerge/>
          </w:tcPr>
          <w:p w14:paraId="76F62FF4" w14:textId="77777777" w:rsidR="00236A5B" w:rsidRPr="00F7228F" w:rsidRDefault="00236A5B" w:rsidP="000B242D">
            <w:pPr>
              <w:spacing w:line="276" w:lineRule="auto"/>
              <w:rPr>
                <w:rFonts w:ascii="Arial" w:hAnsi="Arial" w:cs="Arial"/>
              </w:rPr>
            </w:pPr>
          </w:p>
        </w:tc>
      </w:tr>
      <w:tr w:rsidR="00236A5B" w:rsidRPr="00F7228F" w14:paraId="01A213D2" w14:textId="77777777" w:rsidTr="00CB0BB6">
        <w:tc>
          <w:tcPr>
            <w:tcW w:w="2198" w:type="pct"/>
            <w:gridSpan w:val="2"/>
          </w:tcPr>
          <w:p w14:paraId="109DA671" w14:textId="77777777" w:rsidR="00236A5B" w:rsidRPr="00F7228F" w:rsidRDefault="00236A5B" w:rsidP="000B242D">
            <w:pPr>
              <w:spacing w:line="276" w:lineRule="auto"/>
              <w:rPr>
                <w:rFonts w:ascii="Arial" w:hAnsi="Arial" w:cs="Arial"/>
              </w:rPr>
            </w:pPr>
            <w:r w:rsidRPr="00F7228F">
              <w:rPr>
                <w:rFonts w:ascii="Arial" w:hAnsi="Arial" w:cs="Arial"/>
              </w:rPr>
              <w:t>Blood volume (cm</w:t>
            </w:r>
            <w:r w:rsidRPr="00F7228F">
              <w:rPr>
                <w:rFonts w:ascii="Arial" w:hAnsi="Arial" w:cs="Arial"/>
                <w:vertAlign w:val="superscript"/>
              </w:rPr>
              <w:t>3</w:t>
            </w:r>
            <w:r w:rsidRPr="00F7228F">
              <w:rPr>
                <w:rFonts w:ascii="Arial" w:hAnsi="Arial" w:cs="Arial"/>
              </w:rPr>
              <w:t>) [median, IQR]</w:t>
            </w:r>
          </w:p>
        </w:tc>
        <w:tc>
          <w:tcPr>
            <w:tcW w:w="944" w:type="pct"/>
          </w:tcPr>
          <w:p w14:paraId="0B0704B0" w14:textId="77777777" w:rsidR="00236A5B" w:rsidRPr="00F7228F" w:rsidRDefault="00236A5B" w:rsidP="000B242D">
            <w:pPr>
              <w:spacing w:line="276" w:lineRule="auto"/>
              <w:rPr>
                <w:rFonts w:ascii="Arial" w:hAnsi="Arial" w:cs="Arial"/>
              </w:rPr>
            </w:pPr>
            <w:r w:rsidRPr="00F7228F">
              <w:rPr>
                <w:rFonts w:ascii="Arial" w:hAnsi="Arial" w:cs="Arial"/>
              </w:rPr>
              <w:t>15.9</w:t>
            </w:r>
          </w:p>
          <w:p w14:paraId="274B79EE" w14:textId="77777777" w:rsidR="00236A5B" w:rsidRPr="00F7228F" w:rsidRDefault="00236A5B" w:rsidP="000B242D">
            <w:pPr>
              <w:spacing w:line="276" w:lineRule="auto"/>
              <w:rPr>
                <w:rFonts w:ascii="Arial" w:hAnsi="Arial" w:cs="Arial"/>
              </w:rPr>
            </w:pPr>
            <w:r w:rsidRPr="00F7228F">
              <w:rPr>
                <w:rFonts w:ascii="Arial" w:hAnsi="Arial" w:cs="Arial"/>
              </w:rPr>
              <w:t>(7.1 – 32.4)</w:t>
            </w:r>
          </w:p>
        </w:tc>
        <w:tc>
          <w:tcPr>
            <w:tcW w:w="1022" w:type="pct"/>
          </w:tcPr>
          <w:p w14:paraId="15915676" w14:textId="77777777" w:rsidR="00236A5B" w:rsidRPr="00F7228F" w:rsidRDefault="00236A5B" w:rsidP="000B242D">
            <w:pPr>
              <w:spacing w:line="276" w:lineRule="auto"/>
              <w:rPr>
                <w:rFonts w:ascii="Arial" w:hAnsi="Arial" w:cs="Arial"/>
              </w:rPr>
            </w:pPr>
            <w:r w:rsidRPr="00F7228F">
              <w:rPr>
                <w:rFonts w:ascii="Arial" w:hAnsi="Arial" w:cs="Arial"/>
              </w:rPr>
              <w:t>30.9</w:t>
            </w:r>
          </w:p>
          <w:p w14:paraId="03AEACC9" w14:textId="77777777" w:rsidR="00236A5B" w:rsidRPr="00F7228F" w:rsidRDefault="00236A5B" w:rsidP="000B242D">
            <w:pPr>
              <w:spacing w:line="276" w:lineRule="auto"/>
              <w:rPr>
                <w:rFonts w:ascii="Arial" w:hAnsi="Arial" w:cs="Arial"/>
              </w:rPr>
            </w:pPr>
            <w:r w:rsidRPr="00F7228F">
              <w:rPr>
                <w:rFonts w:ascii="Arial" w:hAnsi="Arial" w:cs="Arial"/>
              </w:rPr>
              <w:t>(16.9 – 47.5)</w:t>
            </w:r>
          </w:p>
        </w:tc>
        <w:tc>
          <w:tcPr>
            <w:tcW w:w="836" w:type="pct"/>
          </w:tcPr>
          <w:p w14:paraId="5F274C2C" w14:textId="77777777" w:rsidR="00236A5B" w:rsidRPr="00F7228F" w:rsidRDefault="00236A5B" w:rsidP="000B242D">
            <w:pPr>
              <w:spacing w:line="276" w:lineRule="auto"/>
              <w:rPr>
                <w:rFonts w:ascii="Arial" w:hAnsi="Arial" w:cs="Arial"/>
              </w:rPr>
            </w:pPr>
            <w:r w:rsidRPr="00F7228F">
              <w:rPr>
                <w:rFonts w:ascii="Arial" w:hAnsi="Arial" w:cs="Arial"/>
              </w:rPr>
              <w:t>&lt; 0.001</w:t>
            </w:r>
            <w:r w:rsidRPr="00F7228F">
              <w:rPr>
                <w:rFonts w:ascii="Arial" w:hAnsi="Arial" w:cs="Arial"/>
                <w:vertAlign w:val="superscript"/>
              </w:rPr>
              <w:t xml:space="preserve"> b</w:t>
            </w:r>
          </w:p>
        </w:tc>
      </w:tr>
      <w:tr w:rsidR="00236A5B" w:rsidRPr="00F7228F" w14:paraId="4198CD3B" w14:textId="77777777" w:rsidTr="00CB0BB6">
        <w:tc>
          <w:tcPr>
            <w:tcW w:w="1086" w:type="pct"/>
            <w:vMerge w:val="restart"/>
          </w:tcPr>
          <w:p w14:paraId="41DF1EFA" w14:textId="77777777" w:rsidR="00236A5B" w:rsidRPr="00F7228F" w:rsidRDefault="00236A5B" w:rsidP="000B242D">
            <w:pPr>
              <w:spacing w:line="276" w:lineRule="auto"/>
              <w:rPr>
                <w:rFonts w:ascii="Arial" w:hAnsi="Arial" w:cs="Arial"/>
              </w:rPr>
            </w:pPr>
            <w:r w:rsidRPr="00F7228F">
              <w:rPr>
                <w:rFonts w:ascii="Arial" w:hAnsi="Arial" w:cs="Arial"/>
              </w:rPr>
              <w:t>Intracerebral haemorrhage present (n, %)</w:t>
            </w:r>
          </w:p>
        </w:tc>
        <w:tc>
          <w:tcPr>
            <w:tcW w:w="1112" w:type="pct"/>
          </w:tcPr>
          <w:p w14:paraId="27B445CC"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49E67468" w14:textId="77777777" w:rsidR="00236A5B" w:rsidRPr="00F7228F" w:rsidRDefault="00236A5B" w:rsidP="000B242D">
            <w:pPr>
              <w:spacing w:line="276" w:lineRule="auto"/>
              <w:rPr>
                <w:rFonts w:ascii="Arial" w:hAnsi="Arial" w:cs="Arial"/>
              </w:rPr>
            </w:pPr>
            <w:r w:rsidRPr="00F7228F">
              <w:rPr>
                <w:rFonts w:ascii="Arial" w:hAnsi="Arial" w:cs="Arial"/>
              </w:rPr>
              <w:t>8 (12.1)</w:t>
            </w:r>
          </w:p>
        </w:tc>
        <w:tc>
          <w:tcPr>
            <w:tcW w:w="1022" w:type="pct"/>
          </w:tcPr>
          <w:p w14:paraId="290C96B2" w14:textId="77777777" w:rsidR="00236A5B" w:rsidRPr="00F7228F" w:rsidRDefault="00236A5B" w:rsidP="000B242D">
            <w:pPr>
              <w:spacing w:line="276" w:lineRule="auto"/>
              <w:rPr>
                <w:rFonts w:ascii="Arial" w:hAnsi="Arial" w:cs="Arial"/>
              </w:rPr>
            </w:pPr>
            <w:r w:rsidRPr="00F7228F">
              <w:rPr>
                <w:rFonts w:ascii="Arial" w:hAnsi="Arial" w:cs="Arial"/>
              </w:rPr>
              <w:t>7 (23.3)</w:t>
            </w:r>
          </w:p>
        </w:tc>
        <w:tc>
          <w:tcPr>
            <w:tcW w:w="836" w:type="pct"/>
            <w:vMerge w:val="restart"/>
          </w:tcPr>
          <w:p w14:paraId="62FDE721" w14:textId="77777777" w:rsidR="00236A5B" w:rsidRPr="00F7228F" w:rsidRDefault="00236A5B" w:rsidP="000B242D">
            <w:pPr>
              <w:spacing w:line="276" w:lineRule="auto"/>
              <w:rPr>
                <w:rFonts w:ascii="Arial" w:hAnsi="Arial" w:cs="Arial"/>
              </w:rPr>
            </w:pPr>
            <w:r w:rsidRPr="00F7228F">
              <w:rPr>
                <w:rFonts w:ascii="Arial" w:hAnsi="Arial" w:cs="Arial"/>
              </w:rPr>
              <w:t xml:space="preserve">0.227 </w:t>
            </w:r>
            <w:r w:rsidRPr="00F7228F">
              <w:rPr>
                <w:rFonts w:ascii="Arial" w:hAnsi="Arial" w:cs="Arial"/>
                <w:vertAlign w:val="superscript"/>
              </w:rPr>
              <w:t>a</w:t>
            </w:r>
          </w:p>
        </w:tc>
      </w:tr>
      <w:tr w:rsidR="00236A5B" w:rsidRPr="00F7228F" w14:paraId="43EFFB06" w14:textId="77777777" w:rsidTr="00CB0BB6">
        <w:tc>
          <w:tcPr>
            <w:tcW w:w="1086" w:type="pct"/>
            <w:vMerge/>
          </w:tcPr>
          <w:p w14:paraId="1E062E05" w14:textId="77777777" w:rsidR="00236A5B" w:rsidRPr="00F7228F" w:rsidRDefault="00236A5B" w:rsidP="000B242D">
            <w:pPr>
              <w:spacing w:line="276" w:lineRule="auto"/>
              <w:rPr>
                <w:rFonts w:ascii="Arial" w:hAnsi="Arial" w:cs="Arial"/>
              </w:rPr>
            </w:pPr>
          </w:p>
        </w:tc>
        <w:tc>
          <w:tcPr>
            <w:tcW w:w="1112" w:type="pct"/>
          </w:tcPr>
          <w:p w14:paraId="6E204AA2"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67DC1A5E" w14:textId="77777777" w:rsidR="00236A5B" w:rsidRPr="00F7228F" w:rsidRDefault="00236A5B" w:rsidP="000B242D">
            <w:pPr>
              <w:spacing w:line="276" w:lineRule="auto"/>
              <w:rPr>
                <w:rFonts w:ascii="Arial" w:hAnsi="Arial" w:cs="Arial"/>
              </w:rPr>
            </w:pPr>
            <w:r w:rsidRPr="00F7228F">
              <w:rPr>
                <w:rFonts w:ascii="Arial" w:hAnsi="Arial" w:cs="Arial"/>
              </w:rPr>
              <w:t>57 (86.4)</w:t>
            </w:r>
          </w:p>
        </w:tc>
        <w:tc>
          <w:tcPr>
            <w:tcW w:w="1022" w:type="pct"/>
          </w:tcPr>
          <w:p w14:paraId="01EC692F" w14:textId="77777777" w:rsidR="00236A5B" w:rsidRPr="00F7228F" w:rsidRDefault="00236A5B" w:rsidP="000B242D">
            <w:pPr>
              <w:spacing w:line="276" w:lineRule="auto"/>
              <w:rPr>
                <w:rFonts w:ascii="Arial" w:hAnsi="Arial" w:cs="Arial"/>
              </w:rPr>
            </w:pPr>
            <w:r w:rsidRPr="00F7228F">
              <w:rPr>
                <w:rFonts w:ascii="Arial" w:hAnsi="Arial" w:cs="Arial"/>
              </w:rPr>
              <w:t>23 (76.7)</w:t>
            </w:r>
          </w:p>
        </w:tc>
        <w:tc>
          <w:tcPr>
            <w:tcW w:w="836" w:type="pct"/>
            <w:vMerge/>
          </w:tcPr>
          <w:p w14:paraId="658BEC2A" w14:textId="77777777" w:rsidR="00236A5B" w:rsidRPr="00F7228F" w:rsidRDefault="00236A5B" w:rsidP="000B242D">
            <w:pPr>
              <w:spacing w:line="276" w:lineRule="auto"/>
              <w:rPr>
                <w:rFonts w:ascii="Arial" w:hAnsi="Arial" w:cs="Arial"/>
              </w:rPr>
            </w:pPr>
          </w:p>
        </w:tc>
      </w:tr>
      <w:tr w:rsidR="00236A5B" w:rsidRPr="00F7228F" w14:paraId="3FCF4568" w14:textId="77777777" w:rsidTr="00CB0BB6">
        <w:tc>
          <w:tcPr>
            <w:tcW w:w="1086" w:type="pct"/>
            <w:vMerge/>
          </w:tcPr>
          <w:p w14:paraId="687DF802" w14:textId="77777777" w:rsidR="00236A5B" w:rsidRPr="00F7228F" w:rsidRDefault="00236A5B" w:rsidP="000B242D">
            <w:pPr>
              <w:spacing w:line="276" w:lineRule="auto"/>
              <w:rPr>
                <w:rFonts w:ascii="Arial" w:hAnsi="Arial" w:cs="Arial"/>
              </w:rPr>
            </w:pPr>
          </w:p>
        </w:tc>
        <w:tc>
          <w:tcPr>
            <w:tcW w:w="1112" w:type="pct"/>
          </w:tcPr>
          <w:p w14:paraId="43A054F8" w14:textId="77777777" w:rsidR="00236A5B" w:rsidRPr="00F7228F" w:rsidRDefault="00236A5B" w:rsidP="000B242D">
            <w:pPr>
              <w:spacing w:line="276" w:lineRule="auto"/>
              <w:rPr>
                <w:rFonts w:ascii="Arial" w:hAnsi="Arial" w:cs="Arial"/>
              </w:rPr>
            </w:pPr>
            <w:r w:rsidRPr="00F7228F">
              <w:rPr>
                <w:rFonts w:ascii="Arial" w:hAnsi="Arial" w:cs="Arial"/>
              </w:rPr>
              <w:t>Missing</w:t>
            </w:r>
          </w:p>
        </w:tc>
        <w:tc>
          <w:tcPr>
            <w:tcW w:w="944" w:type="pct"/>
          </w:tcPr>
          <w:p w14:paraId="78E88BAD" w14:textId="77777777" w:rsidR="00236A5B" w:rsidRPr="00F7228F" w:rsidRDefault="00236A5B" w:rsidP="000B242D">
            <w:pPr>
              <w:spacing w:line="276" w:lineRule="auto"/>
              <w:rPr>
                <w:rFonts w:ascii="Arial" w:hAnsi="Arial" w:cs="Arial"/>
              </w:rPr>
            </w:pPr>
            <w:r w:rsidRPr="00F7228F">
              <w:rPr>
                <w:rFonts w:ascii="Arial" w:hAnsi="Arial" w:cs="Arial"/>
              </w:rPr>
              <w:t>1 (1.5)</w:t>
            </w:r>
          </w:p>
        </w:tc>
        <w:tc>
          <w:tcPr>
            <w:tcW w:w="1022" w:type="pct"/>
          </w:tcPr>
          <w:p w14:paraId="0C436709"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836" w:type="pct"/>
          </w:tcPr>
          <w:p w14:paraId="10D46910"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4AD18C38" w14:textId="77777777" w:rsidTr="00CB0BB6">
        <w:tc>
          <w:tcPr>
            <w:tcW w:w="1086" w:type="pct"/>
            <w:vMerge w:val="restart"/>
          </w:tcPr>
          <w:p w14:paraId="0DA68246" w14:textId="77777777" w:rsidR="00236A5B" w:rsidRPr="00F7228F" w:rsidRDefault="00236A5B" w:rsidP="000B242D">
            <w:pPr>
              <w:spacing w:line="276" w:lineRule="auto"/>
              <w:rPr>
                <w:rFonts w:ascii="Arial" w:hAnsi="Arial" w:cs="Arial"/>
              </w:rPr>
            </w:pPr>
            <w:r w:rsidRPr="00F7228F">
              <w:rPr>
                <w:rFonts w:ascii="Arial" w:hAnsi="Arial" w:cs="Arial"/>
              </w:rPr>
              <w:t>Intraventricular haemorrhage present (n, %)</w:t>
            </w:r>
          </w:p>
        </w:tc>
        <w:tc>
          <w:tcPr>
            <w:tcW w:w="1112" w:type="pct"/>
          </w:tcPr>
          <w:p w14:paraId="47E06297"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06330650" w14:textId="77777777" w:rsidR="00236A5B" w:rsidRPr="00F7228F" w:rsidRDefault="00236A5B" w:rsidP="000B242D">
            <w:pPr>
              <w:spacing w:line="276" w:lineRule="auto"/>
              <w:rPr>
                <w:rFonts w:ascii="Arial" w:hAnsi="Arial" w:cs="Arial"/>
              </w:rPr>
            </w:pPr>
            <w:r w:rsidRPr="00F7228F">
              <w:rPr>
                <w:rFonts w:ascii="Arial" w:hAnsi="Arial" w:cs="Arial"/>
              </w:rPr>
              <w:t>43 (65.2)</w:t>
            </w:r>
          </w:p>
        </w:tc>
        <w:tc>
          <w:tcPr>
            <w:tcW w:w="1022" w:type="pct"/>
          </w:tcPr>
          <w:p w14:paraId="6E85DB2A" w14:textId="77777777" w:rsidR="00236A5B" w:rsidRPr="00F7228F" w:rsidRDefault="00236A5B" w:rsidP="000B242D">
            <w:pPr>
              <w:spacing w:line="276" w:lineRule="auto"/>
              <w:rPr>
                <w:rFonts w:ascii="Arial" w:hAnsi="Arial" w:cs="Arial"/>
              </w:rPr>
            </w:pPr>
            <w:r w:rsidRPr="00F7228F">
              <w:rPr>
                <w:rFonts w:ascii="Arial" w:hAnsi="Arial" w:cs="Arial"/>
              </w:rPr>
              <w:t>28 (93.3)</w:t>
            </w:r>
          </w:p>
        </w:tc>
        <w:tc>
          <w:tcPr>
            <w:tcW w:w="836" w:type="pct"/>
            <w:vMerge w:val="restart"/>
          </w:tcPr>
          <w:p w14:paraId="2035CBA0" w14:textId="77777777" w:rsidR="00236A5B" w:rsidRPr="00F7228F" w:rsidRDefault="00236A5B" w:rsidP="000B242D">
            <w:pPr>
              <w:spacing w:line="276" w:lineRule="auto"/>
              <w:rPr>
                <w:rFonts w:ascii="Arial" w:hAnsi="Arial" w:cs="Arial"/>
              </w:rPr>
            </w:pPr>
            <w:r w:rsidRPr="00F7228F">
              <w:rPr>
                <w:rFonts w:ascii="Arial" w:hAnsi="Arial" w:cs="Arial"/>
              </w:rPr>
              <w:t xml:space="preserve">0.005 </w:t>
            </w:r>
            <w:r w:rsidRPr="00F7228F">
              <w:rPr>
                <w:rFonts w:ascii="Arial" w:hAnsi="Arial" w:cs="Arial"/>
                <w:vertAlign w:val="superscript"/>
              </w:rPr>
              <w:t>a</w:t>
            </w:r>
          </w:p>
        </w:tc>
      </w:tr>
      <w:tr w:rsidR="00236A5B" w:rsidRPr="00F7228F" w14:paraId="2E2CFCC4" w14:textId="77777777" w:rsidTr="00CB0BB6">
        <w:tc>
          <w:tcPr>
            <w:tcW w:w="1086" w:type="pct"/>
            <w:vMerge/>
          </w:tcPr>
          <w:p w14:paraId="63FD2B0A" w14:textId="77777777" w:rsidR="00236A5B" w:rsidRPr="00F7228F" w:rsidRDefault="00236A5B" w:rsidP="000B242D">
            <w:pPr>
              <w:spacing w:line="276" w:lineRule="auto"/>
              <w:rPr>
                <w:rFonts w:ascii="Arial" w:hAnsi="Arial" w:cs="Arial"/>
              </w:rPr>
            </w:pPr>
          </w:p>
        </w:tc>
        <w:tc>
          <w:tcPr>
            <w:tcW w:w="1112" w:type="pct"/>
          </w:tcPr>
          <w:p w14:paraId="026911A7"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13D6E02E" w14:textId="77777777" w:rsidR="00236A5B" w:rsidRPr="00F7228F" w:rsidRDefault="00236A5B" w:rsidP="000B242D">
            <w:pPr>
              <w:spacing w:line="276" w:lineRule="auto"/>
              <w:rPr>
                <w:rFonts w:ascii="Arial" w:hAnsi="Arial" w:cs="Arial"/>
              </w:rPr>
            </w:pPr>
            <w:r w:rsidRPr="00F7228F">
              <w:rPr>
                <w:rFonts w:ascii="Arial" w:hAnsi="Arial" w:cs="Arial"/>
              </w:rPr>
              <w:t>22 (33.3)</w:t>
            </w:r>
          </w:p>
        </w:tc>
        <w:tc>
          <w:tcPr>
            <w:tcW w:w="1022" w:type="pct"/>
          </w:tcPr>
          <w:p w14:paraId="3562F425" w14:textId="77777777" w:rsidR="00236A5B" w:rsidRPr="00F7228F" w:rsidRDefault="00236A5B" w:rsidP="000B242D">
            <w:pPr>
              <w:spacing w:line="276" w:lineRule="auto"/>
              <w:rPr>
                <w:rFonts w:ascii="Arial" w:hAnsi="Arial" w:cs="Arial"/>
              </w:rPr>
            </w:pPr>
            <w:r w:rsidRPr="00F7228F">
              <w:rPr>
                <w:rFonts w:ascii="Arial" w:hAnsi="Arial" w:cs="Arial"/>
              </w:rPr>
              <w:t>2 (6.7)</w:t>
            </w:r>
          </w:p>
        </w:tc>
        <w:tc>
          <w:tcPr>
            <w:tcW w:w="836" w:type="pct"/>
            <w:vMerge/>
          </w:tcPr>
          <w:p w14:paraId="303CF919" w14:textId="77777777" w:rsidR="00236A5B" w:rsidRPr="00F7228F" w:rsidRDefault="00236A5B" w:rsidP="000B242D">
            <w:pPr>
              <w:spacing w:line="276" w:lineRule="auto"/>
              <w:rPr>
                <w:rFonts w:ascii="Arial" w:hAnsi="Arial" w:cs="Arial"/>
              </w:rPr>
            </w:pPr>
          </w:p>
        </w:tc>
      </w:tr>
      <w:tr w:rsidR="00236A5B" w:rsidRPr="00F7228F" w14:paraId="7B9540EB" w14:textId="77777777" w:rsidTr="00CB0BB6">
        <w:tc>
          <w:tcPr>
            <w:tcW w:w="1086" w:type="pct"/>
            <w:vMerge/>
          </w:tcPr>
          <w:p w14:paraId="0EE9A606" w14:textId="77777777" w:rsidR="00236A5B" w:rsidRPr="00F7228F" w:rsidRDefault="00236A5B" w:rsidP="000B242D">
            <w:pPr>
              <w:spacing w:line="276" w:lineRule="auto"/>
              <w:rPr>
                <w:rFonts w:ascii="Arial" w:hAnsi="Arial" w:cs="Arial"/>
              </w:rPr>
            </w:pPr>
          </w:p>
        </w:tc>
        <w:tc>
          <w:tcPr>
            <w:tcW w:w="1112" w:type="pct"/>
          </w:tcPr>
          <w:p w14:paraId="3492FE36" w14:textId="77777777" w:rsidR="00236A5B" w:rsidRPr="00F7228F" w:rsidRDefault="00236A5B" w:rsidP="000B242D">
            <w:pPr>
              <w:spacing w:line="276" w:lineRule="auto"/>
              <w:rPr>
                <w:rFonts w:ascii="Arial" w:hAnsi="Arial" w:cs="Arial"/>
              </w:rPr>
            </w:pPr>
            <w:r w:rsidRPr="00F7228F">
              <w:rPr>
                <w:rFonts w:ascii="Arial" w:hAnsi="Arial" w:cs="Arial"/>
              </w:rPr>
              <w:t>Missing</w:t>
            </w:r>
          </w:p>
        </w:tc>
        <w:tc>
          <w:tcPr>
            <w:tcW w:w="944" w:type="pct"/>
          </w:tcPr>
          <w:p w14:paraId="062F22C8" w14:textId="77777777" w:rsidR="00236A5B" w:rsidRPr="00F7228F" w:rsidRDefault="00236A5B" w:rsidP="000B242D">
            <w:pPr>
              <w:spacing w:line="276" w:lineRule="auto"/>
              <w:rPr>
                <w:rFonts w:ascii="Arial" w:hAnsi="Arial" w:cs="Arial"/>
              </w:rPr>
            </w:pPr>
            <w:r w:rsidRPr="00F7228F">
              <w:rPr>
                <w:rFonts w:ascii="Arial" w:hAnsi="Arial" w:cs="Arial"/>
              </w:rPr>
              <w:t>1 (1.5)</w:t>
            </w:r>
          </w:p>
        </w:tc>
        <w:tc>
          <w:tcPr>
            <w:tcW w:w="1022" w:type="pct"/>
          </w:tcPr>
          <w:p w14:paraId="5955F8DE"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836" w:type="pct"/>
          </w:tcPr>
          <w:p w14:paraId="52394EEA"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208C24D5" w14:textId="77777777" w:rsidTr="00CB0BB6">
        <w:tc>
          <w:tcPr>
            <w:tcW w:w="1086" w:type="pct"/>
            <w:vMerge w:val="restart"/>
          </w:tcPr>
          <w:p w14:paraId="27E87660" w14:textId="77777777" w:rsidR="00236A5B" w:rsidRPr="00F7228F" w:rsidRDefault="00236A5B" w:rsidP="000B242D">
            <w:pPr>
              <w:spacing w:line="276" w:lineRule="auto"/>
              <w:rPr>
                <w:rFonts w:ascii="Arial" w:hAnsi="Arial" w:cs="Arial"/>
              </w:rPr>
            </w:pPr>
            <w:r w:rsidRPr="00F7228F">
              <w:rPr>
                <w:rFonts w:ascii="Arial" w:hAnsi="Arial" w:cs="Arial"/>
              </w:rPr>
              <w:t>EVD inserted (n, %)</w:t>
            </w:r>
          </w:p>
        </w:tc>
        <w:tc>
          <w:tcPr>
            <w:tcW w:w="1112" w:type="pct"/>
          </w:tcPr>
          <w:p w14:paraId="1C121639"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7CEB37E9" w14:textId="77777777" w:rsidR="00236A5B" w:rsidRPr="00F7228F" w:rsidRDefault="00236A5B" w:rsidP="000B242D">
            <w:pPr>
              <w:spacing w:line="276" w:lineRule="auto"/>
              <w:rPr>
                <w:rFonts w:ascii="Arial" w:hAnsi="Arial" w:cs="Arial"/>
              </w:rPr>
            </w:pPr>
            <w:r w:rsidRPr="00F7228F">
              <w:rPr>
                <w:rFonts w:ascii="Arial" w:hAnsi="Arial" w:cs="Arial"/>
              </w:rPr>
              <w:t>11 (16.7)</w:t>
            </w:r>
          </w:p>
        </w:tc>
        <w:tc>
          <w:tcPr>
            <w:tcW w:w="1022" w:type="pct"/>
          </w:tcPr>
          <w:p w14:paraId="66CCD01E" w14:textId="77777777" w:rsidR="00236A5B" w:rsidRPr="00F7228F" w:rsidRDefault="00236A5B" w:rsidP="000B242D">
            <w:pPr>
              <w:spacing w:line="276" w:lineRule="auto"/>
              <w:rPr>
                <w:rFonts w:ascii="Arial" w:hAnsi="Arial" w:cs="Arial"/>
              </w:rPr>
            </w:pPr>
            <w:r w:rsidRPr="00F7228F">
              <w:rPr>
                <w:rFonts w:ascii="Arial" w:hAnsi="Arial" w:cs="Arial"/>
              </w:rPr>
              <w:t>21 (70.0)</w:t>
            </w:r>
          </w:p>
        </w:tc>
        <w:tc>
          <w:tcPr>
            <w:tcW w:w="836" w:type="pct"/>
            <w:vMerge w:val="restart"/>
          </w:tcPr>
          <w:p w14:paraId="5A58ED15" w14:textId="77777777" w:rsidR="00236A5B" w:rsidRPr="00F7228F" w:rsidRDefault="00236A5B" w:rsidP="000B242D">
            <w:pPr>
              <w:spacing w:line="276" w:lineRule="auto"/>
              <w:rPr>
                <w:rFonts w:ascii="Arial" w:hAnsi="Arial" w:cs="Arial"/>
              </w:rPr>
            </w:pPr>
            <w:r w:rsidRPr="00F7228F">
              <w:rPr>
                <w:rFonts w:ascii="Arial" w:hAnsi="Arial" w:cs="Arial"/>
              </w:rPr>
              <w:t xml:space="preserve">&lt; 0.001 </w:t>
            </w:r>
            <w:r w:rsidRPr="00F7228F">
              <w:rPr>
                <w:rFonts w:ascii="Arial" w:hAnsi="Arial" w:cs="Arial"/>
                <w:vertAlign w:val="superscript"/>
              </w:rPr>
              <w:t>a</w:t>
            </w:r>
          </w:p>
        </w:tc>
      </w:tr>
      <w:tr w:rsidR="00236A5B" w:rsidRPr="00F7228F" w14:paraId="46612F57" w14:textId="77777777" w:rsidTr="00CB0BB6">
        <w:tc>
          <w:tcPr>
            <w:tcW w:w="1086" w:type="pct"/>
            <w:vMerge/>
          </w:tcPr>
          <w:p w14:paraId="3B6DCFED" w14:textId="77777777" w:rsidR="00236A5B" w:rsidRPr="00F7228F" w:rsidRDefault="00236A5B" w:rsidP="000B242D">
            <w:pPr>
              <w:spacing w:line="276" w:lineRule="auto"/>
              <w:rPr>
                <w:rFonts w:ascii="Arial" w:hAnsi="Arial" w:cs="Arial"/>
              </w:rPr>
            </w:pPr>
          </w:p>
        </w:tc>
        <w:tc>
          <w:tcPr>
            <w:tcW w:w="1112" w:type="pct"/>
          </w:tcPr>
          <w:p w14:paraId="7ECE9B0C"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571F2766" w14:textId="77777777" w:rsidR="00236A5B" w:rsidRPr="00F7228F" w:rsidRDefault="00236A5B" w:rsidP="000B242D">
            <w:pPr>
              <w:spacing w:line="276" w:lineRule="auto"/>
              <w:rPr>
                <w:rFonts w:ascii="Arial" w:hAnsi="Arial" w:cs="Arial"/>
              </w:rPr>
            </w:pPr>
            <w:r w:rsidRPr="00F7228F">
              <w:rPr>
                <w:rFonts w:ascii="Arial" w:hAnsi="Arial" w:cs="Arial"/>
              </w:rPr>
              <w:t>55 (83.3)</w:t>
            </w:r>
          </w:p>
        </w:tc>
        <w:tc>
          <w:tcPr>
            <w:tcW w:w="1022" w:type="pct"/>
          </w:tcPr>
          <w:p w14:paraId="613760A0" w14:textId="77777777" w:rsidR="00236A5B" w:rsidRPr="00F7228F" w:rsidRDefault="00236A5B" w:rsidP="000B242D">
            <w:pPr>
              <w:spacing w:line="276" w:lineRule="auto"/>
              <w:rPr>
                <w:rFonts w:ascii="Arial" w:hAnsi="Arial" w:cs="Arial"/>
              </w:rPr>
            </w:pPr>
            <w:r w:rsidRPr="00F7228F">
              <w:rPr>
                <w:rFonts w:ascii="Arial" w:hAnsi="Arial" w:cs="Arial"/>
              </w:rPr>
              <w:t>9 (30.0)</w:t>
            </w:r>
          </w:p>
        </w:tc>
        <w:tc>
          <w:tcPr>
            <w:tcW w:w="836" w:type="pct"/>
            <w:vMerge/>
          </w:tcPr>
          <w:p w14:paraId="2482BB89" w14:textId="77777777" w:rsidR="00236A5B" w:rsidRPr="00F7228F" w:rsidRDefault="00236A5B" w:rsidP="000B242D">
            <w:pPr>
              <w:spacing w:line="276" w:lineRule="auto"/>
              <w:rPr>
                <w:rFonts w:ascii="Arial" w:hAnsi="Arial" w:cs="Arial"/>
              </w:rPr>
            </w:pPr>
          </w:p>
        </w:tc>
      </w:tr>
      <w:tr w:rsidR="00ED4BBA" w:rsidRPr="00F7228F" w14:paraId="57646A6A" w14:textId="77777777" w:rsidTr="00CB0BB6">
        <w:tc>
          <w:tcPr>
            <w:tcW w:w="1086" w:type="pct"/>
            <w:vMerge w:val="restart"/>
          </w:tcPr>
          <w:p w14:paraId="1FB709E5" w14:textId="0E770003" w:rsidR="00ED4BBA" w:rsidRPr="00F7228F" w:rsidRDefault="00ED4BBA" w:rsidP="00ED4BBA">
            <w:pPr>
              <w:spacing w:line="276" w:lineRule="auto"/>
              <w:rPr>
                <w:rFonts w:ascii="Arial" w:hAnsi="Arial" w:cs="Arial"/>
              </w:rPr>
            </w:pPr>
            <w:r w:rsidRPr="00F7228F">
              <w:rPr>
                <w:rFonts w:ascii="Arial" w:hAnsi="Arial" w:cs="Arial"/>
              </w:rPr>
              <w:t>Given SFX-01 (n, %)</w:t>
            </w:r>
          </w:p>
        </w:tc>
        <w:tc>
          <w:tcPr>
            <w:tcW w:w="1112" w:type="pct"/>
          </w:tcPr>
          <w:p w14:paraId="4C0365EA" w14:textId="7A8D25FD" w:rsidR="00ED4BBA" w:rsidRPr="00F7228F" w:rsidRDefault="00ED4BBA" w:rsidP="00ED4BBA">
            <w:pPr>
              <w:spacing w:line="276" w:lineRule="auto"/>
              <w:rPr>
                <w:rFonts w:ascii="Arial" w:hAnsi="Arial" w:cs="Arial"/>
              </w:rPr>
            </w:pPr>
            <w:r w:rsidRPr="00F7228F">
              <w:rPr>
                <w:rFonts w:ascii="Arial" w:hAnsi="Arial" w:cs="Arial"/>
              </w:rPr>
              <w:t>Yes</w:t>
            </w:r>
          </w:p>
        </w:tc>
        <w:tc>
          <w:tcPr>
            <w:tcW w:w="944" w:type="pct"/>
          </w:tcPr>
          <w:p w14:paraId="3969A60A" w14:textId="4B55BAC3" w:rsidR="00ED4BBA" w:rsidRPr="00F7228F" w:rsidRDefault="00ED4BBA" w:rsidP="00ED4BBA">
            <w:pPr>
              <w:spacing w:line="276" w:lineRule="auto"/>
              <w:rPr>
                <w:rFonts w:ascii="Arial" w:hAnsi="Arial" w:cs="Arial"/>
              </w:rPr>
            </w:pPr>
            <w:r w:rsidRPr="00F7228F">
              <w:rPr>
                <w:rFonts w:ascii="Arial" w:hAnsi="Arial" w:cs="Arial"/>
              </w:rPr>
              <w:t>33 (50.0)</w:t>
            </w:r>
          </w:p>
        </w:tc>
        <w:tc>
          <w:tcPr>
            <w:tcW w:w="1022" w:type="pct"/>
          </w:tcPr>
          <w:p w14:paraId="251393EB" w14:textId="5EB8F59C" w:rsidR="00ED4BBA" w:rsidRPr="00F7228F" w:rsidRDefault="00ED4BBA" w:rsidP="00ED4BBA">
            <w:pPr>
              <w:spacing w:line="276" w:lineRule="auto"/>
              <w:rPr>
                <w:rFonts w:ascii="Arial" w:hAnsi="Arial" w:cs="Arial"/>
              </w:rPr>
            </w:pPr>
            <w:r w:rsidRPr="00F7228F">
              <w:rPr>
                <w:rFonts w:ascii="Arial" w:hAnsi="Arial" w:cs="Arial"/>
              </w:rPr>
              <w:t>12 (40.0)</w:t>
            </w:r>
          </w:p>
        </w:tc>
        <w:tc>
          <w:tcPr>
            <w:tcW w:w="836" w:type="pct"/>
            <w:vMerge w:val="restart"/>
          </w:tcPr>
          <w:p w14:paraId="7B1E6061" w14:textId="26BA03A8" w:rsidR="00ED4BBA" w:rsidRPr="00F7228F" w:rsidRDefault="00ED4BBA" w:rsidP="00ED4BBA">
            <w:pPr>
              <w:spacing w:line="276" w:lineRule="auto"/>
              <w:rPr>
                <w:rFonts w:ascii="Arial" w:hAnsi="Arial" w:cs="Arial"/>
              </w:rPr>
            </w:pPr>
            <w:r w:rsidRPr="00F7228F">
              <w:rPr>
                <w:rFonts w:ascii="Arial" w:hAnsi="Arial" w:cs="Arial"/>
              </w:rPr>
              <w:t xml:space="preserve">0.387 </w:t>
            </w:r>
            <w:r w:rsidRPr="00F7228F">
              <w:rPr>
                <w:rFonts w:ascii="Arial" w:hAnsi="Arial" w:cs="Arial"/>
                <w:vertAlign w:val="superscript"/>
              </w:rPr>
              <w:t>a</w:t>
            </w:r>
          </w:p>
        </w:tc>
      </w:tr>
      <w:tr w:rsidR="00ED4BBA" w:rsidRPr="00F7228F" w14:paraId="5E0FE64A" w14:textId="77777777" w:rsidTr="00CB0BB6">
        <w:tc>
          <w:tcPr>
            <w:tcW w:w="1086" w:type="pct"/>
            <w:vMerge/>
          </w:tcPr>
          <w:p w14:paraId="4253440B" w14:textId="77777777" w:rsidR="00ED4BBA" w:rsidRPr="00F7228F" w:rsidRDefault="00ED4BBA" w:rsidP="00ED4BBA">
            <w:pPr>
              <w:spacing w:line="276" w:lineRule="auto"/>
              <w:rPr>
                <w:rFonts w:ascii="Arial" w:hAnsi="Arial" w:cs="Arial"/>
              </w:rPr>
            </w:pPr>
          </w:p>
        </w:tc>
        <w:tc>
          <w:tcPr>
            <w:tcW w:w="1112" w:type="pct"/>
          </w:tcPr>
          <w:p w14:paraId="0F66242E" w14:textId="13F75F29" w:rsidR="00ED4BBA" w:rsidRPr="00F7228F" w:rsidRDefault="00ED4BBA" w:rsidP="00ED4BBA">
            <w:pPr>
              <w:spacing w:line="276" w:lineRule="auto"/>
              <w:rPr>
                <w:rFonts w:ascii="Arial" w:hAnsi="Arial" w:cs="Arial"/>
              </w:rPr>
            </w:pPr>
            <w:r w:rsidRPr="00F7228F">
              <w:rPr>
                <w:rFonts w:ascii="Arial" w:hAnsi="Arial" w:cs="Arial"/>
              </w:rPr>
              <w:t>No</w:t>
            </w:r>
          </w:p>
        </w:tc>
        <w:tc>
          <w:tcPr>
            <w:tcW w:w="944" w:type="pct"/>
          </w:tcPr>
          <w:p w14:paraId="5C86A571" w14:textId="71A51A88" w:rsidR="00ED4BBA" w:rsidRPr="00F7228F" w:rsidRDefault="00ED4BBA" w:rsidP="00ED4BBA">
            <w:pPr>
              <w:spacing w:line="276" w:lineRule="auto"/>
              <w:rPr>
                <w:rFonts w:ascii="Arial" w:hAnsi="Arial" w:cs="Arial"/>
              </w:rPr>
            </w:pPr>
            <w:r w:rsidRPr="00F7228F">
              <w:rPr>
                <w:rFonts w:ascii="Arial" w:hAnsi="Arial" w:cs="Arial"/>
              </w:rPr>
              <w:t>33 (50.0)</w:t>
            </w:r>
          </w:p>
        </w:tc>
        <w:tc>
          <w:tcPr>
            <w:tcW w:w="1022" w:type="pct"/>
          </w:tcPr>
          <w:p w14:paraId="3485CAC0" w14:textId="6B7BB1E5" w:rsidR="00ED4BBA" w:rsidRPr="00F7228F" w:rsidRDefault="00ED4BBA" w:rsidP="00ED4BBA">
            <w:pPr>
              <w:spacing w:line="276" w:lineRule="auto"/>
              <w:rPr>
                <w:rFonts w:ascii="Arial" w:hAnsi="Arial" w:cs="Arial"/>
              </w:rPr>
            </w:pPr>
            <w:r w:rsidRPr="00F7228F">
              <w:rPr>
                <w:rFonts w:ascii="Arial" w:hAnsi="Arial" w:cs="Arial"/>
              </w:rPr>
              <w:t>18 (60.0)</w:t>
            </w:r>
          </w:p>
        </w:tc>
        <w:tc>
          <w:tcPr>
            <w:tcW w:w="836" w:type="pct"/>
            <w:vMerge/>
          </w:tcPr>
          <w:p w14:paraId="0BBFF468" w14:textId="77777777" w:rsidR="00ED4BBA" w:rsidRPr="00F7228F" w:rsidRDefault="00ED4BBA" w:rsidP="00ED4BBA">
            <w:pPr>
              <w:spacing w:line="276" w:lineRule="auto"/>
              <w:rPr>
                <w:rFonts w:ascii="Arial" w:hAnsi="Arial" w:cs="Arial"/>
              </w:rPr>
            </w:pPr>
          </w:p>
        </w:tc>
      </w:tr>
      <w:tr w:rsidR="00ED4BBA" w:rsidRPr="00F7228F" w14:paraId="55E162E6" w14:textId="77777777" w:rsidTr="00CB0BB6">
        <w:tc>
          <w:tcPr>
            <w:tcW w:w="1086" w:type="pct"/>
            <w:vMerge w:val="restart"/>
          </w:tcPr>
          <w:p w14:paraId="1961FBC4" w14:textId="77777777" w:rsidR="00ED4BBA" w:rsidRPr="00F7228F" w:rsidRDefault="00ED4BBA" w:rsidP="00ED4BBA">
            <w:pPr>
              <w:spacing w:line="276" w:lineRule="auto"/>
              <w:rPr>
                <w:rFonts w:ascii="Arial" w:hAnsi="Arial" w:cs="Arial"/>
              </w:rPr>
            </w:pPr>
            <w:r w:rsidRPr="00F7228F">
              <w:rPr>
                <w:rFonts w:ascii="Arial" w:hAnsi="Arial" w:cs="Arial"/>
              </w:rPr>
              <w:lastRenderedPageBreak/>
              <w:t>Aneurysm location (n, %)</w:t>
            </w:r>
          </w:p>
        </w:tc>
        <w:tc>
          <w:tcPr>
            <w:tcW w:w="1112" w:type="pct"/>
          </w:tcPr>
          <w:p w14:paraId="5F045BE7" w14:textId="77777777" w:rsidR="00ED4BBA" w:rsidRPr="00F7228F" w:rsidRDefault="00ED4BBA" w:rsidP="00ED4BBA">
            <w:pPr>
              <w:spacing w:line="276" w:lineRule="auto"/>
              <w:rPr>
                <w:rFonts w:ascii="Arial" w:hAnsi="Arial" w:cs="Arial"/>
              </w:rPr>
            </w:pPr>
            <w:r w:rsidRPr="00F7228F">
              <w:rPr>
                <w:rFonts w:ascii="Arial" w:hAnsi="Arial" w:cs="Arial"/>
              </w:rPr>
              <w:t xml:space="preserve">Anterior Cerebral </w:t>
            </w:r>
          </w:p>
        </w:tc>
        <w:tc>
          <w:tcPr>
            <w:tcW w:w="944" w:type="pct"/>
          </w:tcPr>
          <w:p w14:paraId="4546949E" w14:textId="77777777" w:rsidR="00ED4BBA" w:rsidRPr="00F7228F" w:rsidRDefault="00ED4BBA" w:rsidP="00ED4BBA">
            <w:pPr>
              <w:spacing w:line="276" w:lineRule="auto"/>
              <w:rPr>
                <w:rFonts w:ascii="Arial" w:hAnsi="Arial" w:cs="Arial"/>
              </w:rPr>
            </w:pPr>
            <w:r w:rsidRPr="00F7228F">
              <w:rPr>
                <w:rFonts w:ascii="Arial" w:hAnsi="Arial" w:cs="Arial"/>
              </w:rPr>
              <w:t>30 (45.4)</w:t>
            </w:r>
          </w:p>
        </w:tc>
        <w:tc>
          <w:tcPr>
            <w:tcW w:w="1022" w:type="pct"/>
          </w:tcPr>
          <w:p w14:paraId="3FC05A39" w14:textId="77777777" w:rsidR="00ED4BBA" w:rsidRPr="00F7228F" w:rsidRDefault="00ED4BBA" w:rsidP="00ED4BBA">
            <w:pPr>
              <w:spacing w:line="276" w:lineRule="auto"/>
              <w:rPr>
                <w:rFonts w:ascii="Arial" w:hAnsi="Arial" w:cs="Arial"/>
              </w:rPr>
            </w:pPr>
            <w:r w:rsidRPr="00F7228F">
              <w:rPr>
                <w:rFonts w:ascii="Arial" w:hAnsi="Arial" w:cs="Arial"/>
              </w:rPr>
              <w:t>9 (30.0)</w:t>
            </w:r>
          </w:p>
        </w:tc>
        <w:tc>
          <w:tcPr>
            <w:tcW w:w="836" w:type="pct"/>
            <w:vMerge w:val="restart"/>
          </w:tcPr>
          <w:p w14:paraId="51521AF7" w14:textId="77777777" w:rsidR="00ED4BBA" w:rsidRPr="00F7228F" w:rsidRDefault="00ED4BBA" w:rsidP="00ED4BBA">
            <w:pPr>
              <w:spacing w:line="276" w:lineRule="auto"/>
              <w:rPr>
                <w:rFonts w:ascii="Arial" w:hAnsi="Arial" w:cs="Arial"/>
              </w:rPr>
            </w:pPr>
            <w:r w:rsidRPr="00F7228F">
              <w:rPr>
                <w:rFonts w:ascii="Arial" w:hAnsi="Arial" w:cs="Arial"/>
              </w:rPr>
              <w:t xml:space="preserve">0.057 </w:t>
            </w:r>
            <w:r w:rsidRPr="00F7228F">
              <w:rPr>
                <w:rFonts w:ascii="Arial" w:hAnsi="Arial" w:cs="Arial"/>
                <w:vertAlign w:val="superscript"/>
              </w:rPr>
              <w:t>a</w:t>
            </w:r>
          </w:p>
        </w:tc>
      </w:tr>
      <w:tr w:rsidR="00ED4BBA" w:rsidRPr="00F7228F" w14:paraId="35CAE949" w14:textId="77777777" w:rsidTr="00CB0BB6">
        <w:tc>
          <w:tcPr>
            <w:tcW w:w="1086" w:type="pct"/>
            <w:vMerge/>
          </w:tcPr>
          <w:p w14:paraId="429C0458" w14:textId="77777777" w:rsidR="00ED4BBA" w:rsidRPr="00F7228F" w:rsidRDefault="00ED4BBA" w:rsidP="00ED4BBA">
            <w:pPr>
              <w:spacing w:line="276" w:lineRule="auto"/>
              <w:rPr>
                <w:rFonts w:ascii="Arial" w:hAnsi="Arial" w:cs="Arial"/>
              </w:rPr>
            </w:pPr>
          </w:p>
        </w:tc>
        <w:tc>
          <w:tcPr>
            <w:tcW w:w="1112" w:type="pct"/>
            <w:shd w:val="clear" w:color="auto" w:fill="auto"/>
          </w:tcPr>
          <w:p w14:paraId="765F884B" w14:textId="77777777" w:rsidR="00ED4BBA" w:rsidRPr="00F7228F" w:rsidRDefault="00ED4BBA" w:rsidP="00ED4BBA">
            <w:pPr>
              <w:spacing w:line="276" w:lineRule="auto"/>
              <w:rPr>
                <w:rFonts w:ascii="Arial" w:hAnsi="Arial" w:cs="Arial"/>
              </w:rPr>
            </w:pPr>
            <w:r w:rsidRPr="00F7228F">
              <w:rPr>
                <w:rFonts w:ascii="Arial" w:hAnsi="Arial" w:cs="Arial"/>
              </w:rPr>
              <w:t xml:space="preserve">Internal Carotid </w:t>
            </w:r>
          </w:p>
        </w:tc>
        <w:tc>
          <w:tcPr>
            <w:tcW w:w="944" w:type="pct"/>
          </w:tcPr>
          <w:p w14:paraId="49FCADC4" w14:textId="77777777" w:rsidR="00ED4BBA" w:rsidRPr="00F7228F" w:rsidRDefault="00ED4BBA" w:rsidP="00ED4BBA">
            <w:pPr>
              <w:spacing w:line="276" w:lineRule="auto"/>
              <w:rPr>
                <w:rFonts w:ascii="Arial" w:hAnsi="Arial" w:cs="Arial"/>
              </w:rPr>
            </w:pPr>
            <w:r w:rsidRPr="00F7228F">
              <w:rPr>
                <w:rFonts w:ascii="Arial" w:hAnsi="Arial" w:cs="Arial"/>
              </w:rPr>
              <w:t>13 (19.7)</w:t>
            </w:r>
          </w:p>
        </w:tc>
        <w:tc>
          <w:tcPr>
            <w:tcW w:w="1022" w:type="pct"/>
          </w:tcPr>
          <w:p w14:paraId="7DA3103E" w14:textId="77777777" w:rsidR="00ED4BBA" w:rsidRPr="00F7228F" w:rsidRDefault="00ED4BBA" w:rsidP="00ED4BBA">
            <w:pPr>
              <w:spacing w:line="276" w:lineRule="auto"/>
              <w:rPr>
                <w:rFonts w:ascii="Arial" w:hAnsi="Arial" w:cs="Arial"/>
              </w:rPr>
            </w:pPr>
            <w:r w:rsidRPr="00F7228F">
              <w:rPr>
                <w:rFonts w:ascii="Arial" w:hAnsi="Arial" w:cs="Arial"/>
              </w:rPr>
              <w:t>4 (13.3)</w:t>
            </w:r>
          </w:p>
        </w:tc>
        <w:tc>
          <w:tcPr>
            <w:tcW w:w="836" w:type="pct"/>
            <w:vMerge/>
          </w:tcPr>
          <w:p w14:paraId="73B304C5" w14:textId="77777777" w:rsidR="00ED4BBA" w:rsidRPr="00F7228F" w:rsidRDefault="00ED4BBA" w:rsidP="00ED4BBA">
            <w:pPr>
              <w:spacing w:line="276" w:lineRule="auto"/>
              <w:rPr>
                <w:rFonts w:ascii="Arial" w:hAnsi="Arial" w:cs="Arial"/>
              </w:rPr>
            </w:pPr>
          </w:p>
        </w:tc>
      </w:tr>
      <w:tr w:rsidR="00ED4BBA" w:rsidRPr="00F7228F" w14:paraId="197F9D6A" w14:textId="77777777" w:rsidTr="00CB0BB6">
        <w:tc>
          <w:tcPr>
            <w:tcW w:w="1086" w:type="pct"/>
            <w:vMerge/>
          </w:tcPr>
          <w:p w14:paraId="446468C4" w14:textId="77777777" w:rsidR="00ED4BBA" w:rsidRPr="00F7228F" w:rsidRDefault="00ED4BBA" w:rsidP="00ED4BBA">
            <w:pPr>
              <w:spacing w:line="276" w:lineRule="auto"/>
              <w:rPr>
                <w:rFonts w:ascii="Arial" w:hAnsi="Arial" w:cs="Arial"/>
              </w:rPr>
            </w:pPr>
          </w:p>
        </w:tc>
        <w:tc>
          <w:tcPr>
            <w:tcW w:w="1112" w:type="pct"/>
          </w:tcPr>
          <w:p w14:paraId="5B13F979" w14:textId="77777777" w:rsidR="00ED4BBA" w:rsidRPr="00F7228F" w:rsidRDefault="00ED4BBA" w:rsidP="00ED4BBA">
            <w:pPr>
              <w:spacing w:line="276" w:lineRule="auto"/>
              <w:rPr>
                <w:rFonts w:ascii="Arial" w:hAnsi="Arial" w:cs="Arial"/>
              </w:rPr>
            </w:pPr>
            <w:r w:rsidRPr="00F7228F">
              <w:rPr>
                <w:rFonts w:ascii="Arial" w:hAnsi="Arial" w:cs="Arial"/>
              </w:rPr>
              <w:t xml:space="preserve">Middle Cerebral </w:t>
            </w:r>
          </w:p>
        </w:tc>
        <w:tc>
          <w:tcPr>
            <w:tcW w:w="944" w:type="pct"/>
          </w:tcPr>
          <w:p w14:paraId="285681BB" w14:textId="77777777" w:rsidR="00ED4BBA" w:rsidRPr="00F7228F" w:rsidRDefault="00ED4BBA" w:rsidP="00ED4BBA">
            <w:pPr>
              <w:spacing w:line="276" w:lineRule="auto"/>
              <w:rPr>
                <w:rFonts w:ascii="Arial" w:hAnsi="Arial" w:cs="Arial"/>
              </w:rPr>
            </w:pPr>
            <w:r w:rsidRPr="00F7228F">
              <w:rPr>
                <w:rFonts w:ascii="Arial" w:hAnsi="Arial" w:cs="Arial"/>
              </w:rPr>
              <w:t>17 (25.8)</w:t>
            </w:r>
          </w:p>
        </w:tc>
        <w:tc>
          <w:tcPr>
            <w:tcW w:w="1022" w:type="pct"/>
          </w:tcPr>
          <w:p w14:paraId="19BBB68E" w14:textId="77777777" w:rsidR="00ED4BBA" w:rsidRPr="00F7228F" w:rsidRDefault="00ED4BBA" w:rsidP="00ED4BBA">
            <w:pPr>
              <w:spacing w:line="276" w:lineRule="auto"/>
              <w:rPr>
                <w:rFonts w:ascii="Arial" w:hAnsi="Arial" w:cs="Arial"/>
              </w:rPr>
            </w:pPr>
            <w:r w:rsidRPr="00F7228F">
              <w:rPr>
                <w:rFonts w:ascii="Arial" w:hAnsi="Arial" w:cs="Arial"/>
              </w:rPr>
              <w:t>9 (30.0)</w:t>
            </w:r>
          </w:p>
        </w:tc>
        <w:tc>
          <w:tcPr>
            <w:tcW w:w="836" w:type="pct"/>
            <w:vMerge/>
          </w:tcPr>
          <w:p w14:paraId="51573456" w14:textId="77777777" w:rsidR="00ED4BBA" w:rsidRPr="00F7228F" w:rsidRDefault="00ED4BBA" w:rsidP="00ED4BBA">
            <w:pPr>
              <w:spacing w:line="276" w:lineRule="auto"/>
              <w:rPr>
                <w:rFonts w:ascii="Arial" w:hAnsi="Arial" w:cs="Arial"/>
              </w:rPr>
            </w:pPr>
          </w:p>
        </w:tc>
      </w:tr>
      <w:tr w:rsidR="00ED4BBA" w:rsidRPr="00F7228F" w14:paraId="391B0BBB" w14:textId="77777777" w:rsidTr="00CB0BB6">
        <w:tc>
          <w:tcPr>
            <w:tcW w:w="1086" w:type="pct"/>
            <w:vMerge/>
          </w:tcPr>
          <w:p w14:paraId="4FC69AA3" w14:textId="77777777" w:rsidR="00ED4BBA" w:rsidRPr="00F7228F" w:rsidRDefault="00ED4BBA" w:rsidP="00ED4BBA">
            <w:pPr>
              <w:spacing w:line="276" w:lineRule="auto"/>
              <w:rPr>
                <w:rFonts w:ascii="Arial" w:hAnsi="Arial" w:cs="Arial"/>
              </w:rPr>
            </w:pPr>
          </w:p>
        </w:tc>
        <w:tc>
          <w:tcPr>
            <w:tcW w:w="1112" w:type="pct"/>
          </w:tcPr>
          <w:p w14:paraId="112742B9" w14:textId="77777777" w:rsidR="00ED4BBA" w:rsidRPr="00F7228F" w:rsidRDefault="00ED4BBA" w:rsidP="00ED4BBA">
            <w:pPr>
              <w:spacing w:line="276" w:lineRule="auto"/>
              <w:rPr>
                <w:rFonts w:ascii="Arial" w:hAnsi="Arial" w:cs="Arial"/>
              </w:rPr>
            </w:pPr>
            <w:r w:rsidRPr="00F7228F">
              <w:rPr>
                <w:rFonts w:ascii="Arial" w:hAnsi="Arial" w:cs="Arial"/>
              </w:rPr>
              <w:t>Vertebrobasilar</w:t>
            </w:r>
          </w:p>
        </w:tc>
        <w:tc>
          <w:tcPr>
            <w:tcW w:w="944" w:type="pct"/>
          </w:tcPr>
          <w:p w14:paraId="2A376F14" w14:textId="77777777" w:rsidR="00ED4BBA" w:rsidRPr="00F7228F" w:rsidRDefault="00ED4BBA" w:rsidP="00ED4BBA">
            <w:pPr>
              <w:spacing w:line="276" w:lineRule="auto"/>
              <w:rPr>
                <w:rFonts w:ascii="Arial" w:hAnsi="Arial" w:cs="Arial"/>
              </w:rPr>
            </w:pPr>
            <w:r w:rsidRPr="00F7228F">
              <w:rPr>
                <w:rFonts w:ascii="Arial" w:hAnsi="Arial" w:cs="Arial"/>
              </w:rPr>
              <w:t>4 (6.1)</w:t>
            </w:r>
          </w:p>
        </w:tc>
        <w:tc>
          <w:tcPr>
            <w:tcW w:w="1022" w:type="pct"/>
          </w:tcPr>
          <w:p w14:paraId="2BAD0AC3" w14:textId="77777777" w:rsidR="00ED4BBA" w:rsidRPr="00F7228F" w:rsidRDefault="00ED4BBA" w:rsidP="00ED4BBA">
            <w:pPr>
              <w:spacing w:line="276" w:lineRule="auto"/>
              <w:rPr>
                <w:rFonts w:ascii="Arial" w:hAnsi="Arial" w:cs="Arial"/>
              </w:rPr>
            </w:pPr>
            <w:r w:rsidRPr="00F7228F">
              <w:rPr>
                <w:rFonts w:ascii="Arial" w:hAnsi="Arial" w:cs="Arial"/>
              </w:rPr>
              <w:t>8 (26.7)</w:t>
            </w:r>
          </w:p>
        </w:tc>
        <w:tc>
          <w:tcPr>
            <w:tcW w:w="836" w:type="pct"/>
            <w:vMerge/>
          </w:tcPr>
          <w:p w14:paraId="2882B308" w14:textId="77777777" w:rsidR="00ED4BBA" w:rsidRPr="00F7228F" w:rsidRDefault="00ED4BBA" w:rsidP="00ED4BBA">
            <w:pPr>
              <w:spacing w:line="276" w:lineRule="auto"/>
              <w:rPr>
                <w:rFonts w:ascii="Arial" w:hAnsi="Arial" w:cs="Arial"/>
              </w:rPr>
            </w:pPr>
          </w:p>
        </w:tc>
      </w:tr>
      <w:tr w:rsidR="00ED4BBA" w:rsidRPr="00F7228F" w14:paraId="4411D55F" w14:textId="77777777" w:rsidTr="00CB0BB6">
        <w:tc>
          <w:tcPr>
            <w:tcW w:w="1086" w:type="pct"/>
            <w:vMerge/>
          </w:tcPr>
          <w:p w14:paraId="5D9DC5E5" w14:textId="77777777" w:rsidR="00ED4BBA" w:rsidRPr="00F7228F" w:rsidRDefault="00ED4BBA" w:rsidP="00ED4BBA">
            <w:pPr>
              <w:spacing w:line="276" w:lineRule="auto"/>
              <w:rPr>
                <w:rFonts w:ascii="Arial" w:hAnsi="Arial" w:cs="Arial"/>
              </w:rPr>
            </w:pPr>
          </w:p>
        </w:tc>
        <w:tc>
          <w:tcPr>
            <w:tcW w:w="1112" w:type="pct"/>
          </w:tcPr>
          <w:p w14:paraId="08BDCE8B" w14:textId="77777777" w:rsidR="00ED4BBA" w:rsidRPr="00F7228F" w:rsidRDefault="00ED4BBA" w:rsidP="00ED4BBA">
            <w:pPr>
              <w:spacing w:line="276" w:lineRule="auto"/>
              <w:rPr>
                <w:rFonts w:ascii="Arial" w:hAnsi="Arial" w:cs="Arial"/>
              </w:rPr>
            </w:pPr>
            <w:r w:rsidRPr="00F7228F">
              <w:rPr>
                <w:rFonts w:ascii="Arial" w:hAnsi="Arial" w:cs="Arial"/>
              </w:rPr>
              <w:t>Non-aneurysmal</w:t>
            </w:r>
          </w:p>
        </w:tc>
        <w:tc>
          <w:tcPr>
            <w:tcW w:w="944" w:type="pct"/>
          </w:tcPr>
          <w:p w14:paraId="74A950A2" w14:textId="77777777" w:rsidR="00ED4BBA" w:rsidRPr="00F7228F" w:rsidRDefault="00ED4BBA" w:rsidP="00ED4BBA">
            <w:pPr>
              <w:spacing w:line="276" w:lineRule="auto"/>
              <w:rPr>
                <w:rFonts w:ascii="Arial" w:hAnsi="Arial" w:cs="Arial"/>
              </w:rPr>
            </w:pPr>
            <w:r w:rsidRPr="00F7228F">
              <w:rPr>
                <w:rFonts w:ascii="Arial" w:hAnsi="Arial" w:cs="Arial"/>
              </w:rPr>
              <w:t>2 (3.0)</w:t>
            </w:r>
          </w:p>
        </w:tc>
        <w:tc>
          <w:tcPr>
            <w:tcW w:w="1022" w:type="pct"/>
          </w:tcPr>
          <w:p w14:paraId="1E874227" w14:textId="77777777" w:rsidR="00ED4BBA" w:rsidRPr="00F7228F" w:rsidRDefault="00ED4BBA" w:rsidP="00ED4BBA">
            <w:pPr>
              <w:spacing w:line="276" w:lineRule="auto"/>
              <w:rPr>
                <w:rFonts w:ascii="Arial" w:hAnsi="Arial" w:cs="Arial"/>
              </w:rPr>
            </w:pPr>
            <w:r w:rsidRPr="00F7228F">
              <w:rPr>
                <w:rFonts w:ascii="Arial" w:hAnsi="Arial" w:cs="Arial"/>
              </w:rPr>
              <w:t>0 (0.0)</w:t>
            </w:r>
          </w:p>
        </w:tc>
        <w:tc>
          <w:tcPr>
            <w:tcW w:w="836" w:type="pct"/>
            <w:vMerge/>
          </w:tcPr>
          <w:p w14:paraId="460189D7" w14:textId="77777777" w:rsidR="00ED4BBA" w:rsidRPr="00F7228F" w:rsidRDefault="00ED4BBA" w:rsidP="00ED4BBA">
            <w:pPr>
              <w:spacing w:line="276" w:lineRule="auto"/>
              <w:rPr>
                <w:rFonts w:ascii="Arial" w:hAnsi="Arial" w:cs="Arial"/>
              </w:rPr>
            </w:pPr>
          </w:p>
        </w:tc>
      </w:tr>
      <w:tr w:rsidR="00ED4BBA" w:rsidRPr="00F7228F" w14:paraId="3D63C9CE" w14:textId="77777777" w:rsidTr="00CB0BB6">
        <w:tc>
          <w:tcPr>
            <w:tcW w:w="1086" w:type="pct"/>
            <w:vMerge w:val="restart"/>
          </w:tcPr>
          <w:p w14:paraId="7B33764C" w14:textId="77777777" w:rsidR="00ED4BBA" w:rsidRPr="00F7228F" w:rsidRDefault="00ED4BBA" w:rsidP="00ED4BBA">
            <w:pPr>
              <w:spacing w:line="276" w:lineRule="auto"/>
              <w:rPr>
                <w:rFonts w:ascii="Arial" w:hAnsi="Arial" w:cs="Arial"/>
              </w:rPr>
            </w:pPr>
            <w:r w:rsidRPr="00F7228F">
              <w:rPr>
                <w:rFonts w:ascii="Arial" w:hAnsi="Arial" w:cs="Arial"/>
              </w:rPr>
              <w:t>Securing of the aneurysm (n, %)</w:t>
            </w:r>
          </w:p>
        </w:tc>
        <w:tc>
          <w:tcPr>
            <w:tcW w:w="1112" w:type="pct"/>
          </w:tcPr>
          <w:p w14:paraId="004E4B2F" w14:textId="77777777" w:rsidR="00ED4BBA" w:rsidRPr="00F7228F" w:rsidRDefault="00ED4BBA" w:rsidP="00ED4BBA">
            <w:pPr>
              <w:spacing w:line="276" w:lineRule="auto"/>
              <w:rPr>
                <w:rFonts w:ascii="Arial" w:hAnsi="Arial" w:cs="Arial"/>
              </w:rPr>
            </w:pPr>
            <w:r w:rsidRPr="00F7228F">
              <w:rPr>
                <w:rFonts w:ascii="Arial" w:hAnsi="Arial" w:cs="Arial"/>
              </w:rPr>
              <w:t>Clipping</w:t>
            </w:r>
          </w:p>
        </w:tc>
        <w:tc>
          <w:tcPr>
            <w:tcW w:w="944" w:type="pct"/>
          </w:tcPr>
          <w:p w14:paraId="56A6EA11" w14:textId="77777777" w:rsidR="00ED4BBA" w:rsidRPr="00F7228F" w:rsidRDefault="00ED4BBA" w:rsidP="00ED4BBA">
            <w:pPr>
              <w:spacing w:line="276" w:lineRule="auto"/>
              <w:rPr>
                <w:rFonts w:ascii="Arial" w:hAnsi="Arial" w:cs="Arial"/>
              </w:rPr>
            </w:pPr>
            <w:r w:rsidRPr="00F7228F">
              <w:rPr>
                <w:rFonts w:ascii="Arial" w:hAnsi="Arial" w:cs="Arial"/>
              </w:rPr>
              <w:t>16 (24.2)</w:t>
            </w:r>
          </w:p>
        </w:tc>
        <w:tc>
          <w:tcPr>
            <w:tcW w:w="1022" w:type="pct"/>
          </w:tcPr>
          <w:p w14:paraId="5C6E7D85" w14:textId="77777777" w:rsidR="00ED4BBA" w:rsidRPr="00F7228F" w:rsidRDefault="00ED4BBA" w:rsidP="00ED4BBA">
            <w:pPr>
              <w:spacing w:line="276" w:lineRule="auto"/>
              <w:rPr>
                <w:rFonts w:ascii="Arial" w:hAnsi="Arial" w:cs="Arial"/>
              </w:rPr>
            </w:pPr>
            <w:r w:rsidRPr="00F7228F">
              <w:rPr>
                <w:rFonts w:ascii="Arial" w:hAnsi="Arial" w:cs="Arial"/>
              </w:rPr>
              <w:t>7 (23.3)</w:t>
            </w:r>
          </w:p>
        </w:tc>
        <w:tc>
          <w:tcPr>
            <w:tcW w:w="836" w:type="pct"/>
            <w:vMerge w:val="restart"/>
          </w:tcPr>
          <w:p w14:paraId="15D23C66" w14:textId="77777777" w:rsidR="00ED4BBA" w:rsidRPr="00F7228F" w:rsidRDefault="00ED4BBA" w:rsidP="00ED4BBA">
            <w:pPr>
              <w:spacing w:line="276" w:lineRule="auto"/>
              <w:rPr>
                <w:rFonts w:ascii="Arial" w:hAnsi="Arial" w:cs="Arial"/>
              </w:rPr>
            </w:pPr>
            <w:r w:rsidRPr="00F7228F">
              <w:rPr>
                <w:rFonts w:ascii="Arial" w:hAnsi="Arial" w:cs="Arial"/>
              </w:rPr>
              <w:t xml:space="preserve">1.000 </w:t>
            </w:r>
            <w:r w:rsidRPr="00F7228F">
              <w:rPr>
                <w:rFonts w:ascii="Arial" w:hAnsi="Arial" w:cs="Arial"/>
                <w:vertAlign w:val="superscript"/>
              </w:rPr>
              <w:t>a</w:t>
            </w:r>
          </w:p>
        </w:tc>
      </w:tr>
      <w:tr w:rsidR="00ED4BBA" w:rsidRPr="00F7228F" w14:paraId="7888E026" w14:textId="77777777" w:rsidTr="00CB0BB6">
        <w:trPr>
          <w:trHeight w:val="92"/>
        </w:trPr>
        <w:tc>
          <w:tcPr>
            <w:tcW w:w="1086" w:type="pct"/>
            <w:vMerge/>
          </w:tcPr>
          <w:p w14:paraId="3841B8E1" w14:textId="77777777" w:rsidR="00ED4BBA" w:rsidRPr="00F7228F" w:rsidRDefault="00ED4BBA" w:rsidP="00ED4BBA">
            <w:pPr>
              <w:spacing w:line="276" w:lineRule="auto"/>
              <w:rPr>
                <w:rFonts w:ascii="Arial" w:hAnsi="Arial" w:cs="Arial"/>
              </w:rPr>
            </w:pPr>
          </w:p>
        </w:tc>
        <w:tc>
          <w:tcPr>
            <w:tcW w:w="1112" w:type="pct"/>
          </w:tcPr>
          <w:p w14:paraId="4C5E6FCC" w14:textId="77777777" w:rsidR="00ED4BBA" w:rsidRPr="00F7228F" w:rsidRDefault="00ED4BBA" w:rsidP="00ED4BBA">
            <w:pPr>
              <w:spacing w:line="276" w:lineRule="auto"/>
              <w:rPr>
                <w:rFonts w:ascii="Arial" w:hAnsi="Arial" w:cs="Arial"/>
              </w:rPr>
            </w:pPr>
            <w:r w:rsidRPr="00F7228F">
              <w:rPr>
                <w:rFonts w:ascii="Arial" w:hAnsi="Arial" w:cs="Arial"/>
              </w:rPr>
              <w:t>Coiling</w:t>
            </w:r>
          </w:p>
        </w:tc>
        <w:tc>
          <w:tcPr>
            <w:tcW w:w="944" w:type="pct"/>
          </w:tcPr>
          <w:p w14:paraId="5DF3B9B4" w14:textId="77777777" w:rsidR="00ED4BBA" w:rsidRPr="00F7228F" w:rsidRDefault="00ED4BBA" w:rsidP="00ED4BBA">
            <w:pPr>
              <w:spacing w:line="276" w:lineRule="auto"/>
              <w:rPr>
                <w:rFonts w:ascii="Arial" w:hAnsi="Arial" w:cs="Arial"/>
              </w:rPr>
            </w:pPr>
            <w:r w:rsidRPr="00F7228F">
              <w:rPr>
                <w:rFonts w:ascii="Arial" w:hAnsi="Arial" w:cs="Arial"/>
              </w:rPr>
              <w:t>48 (72.7)</w:t>
            </w:r>
          </w:p>
        </w:tc>
        <w:tc>
          <w:tcPr>
            <w:tcW w:w="1022" w:type="pct"/>
          </w:tcPr>
          <w:p w14:paraId="6A280B00" w14:textId="77777777" w:rsidR="00ED4BBA" w:rsidRPr="00F7228F" w:rsidRDefault="00ED4BBA" w:rsidP="00ED4BBA">
            <w:pPr>
              <w:spacing w:line="276" w:lineRule="auto"/>
              <w:rPr>
                <w:rFonts w:ascii="Arial" w:hAnsi="Arial" w:cs="Arial"/>
              </w:rPr>
            </w:pPr>
            <w:r w:rsidRPr="00F7228F">
              <w:rPr>
                <w:rFonts w:ascii="Arial" w:hAnsi="Arial" w:cs="Arial"/>
              </w:rPr>
              <w:t>23 (76.7)</w:t>
            </w:r>
          </w:p>
        </w:tc>
        <w:tc>
          <w:tcPr>
            <w:tcW w:w="836" w:type="pct"/>
            <w:vMerge/>
          </w:tcPr>
          <w:p w14:paraId="1D3AEC53" w14:textId="77777777" w:rsidR="00ED4BBA" w:rsidRPr="00F7228F" w:rsidRDefault="00ED4BBA" w:rsidP="00ED4BBA">
            <w:pPr>
              <w:spacing w:line="276" w:lineRule="auto"/>
              <w:rPr>
                <w:rFonts w:ascii="Arial" w:hAnsi="Arial" w:cs="Arial"/>
              </w:rPr>
            </w:pPr>
          </w:p>
        </w:tc>
      </w:tr>
      <w:tr w:rsidR="00ED4BBA" w:rsidRPr="00F7228F" w14:paraId="05BAC76C" w14:textId="77777777" w:rsidTr="00CB0BB6">
        <w:tc>
          <w:tcPr>
            <w:tcW w:w="1086" w:type="pct"/>
            <w:vMerge/>
          </w:tcPr>
          <w:p w14:paraId="360C1441" w14:textId="77777777" w:rsidR="00ED4BBA" w:rsidRPr="00F7228F" w:rsidRDefault="00ED4BBA" w:rsidP="00ED4BBA">
            <w:pPr>
              <w:spacing w:line="276" w:lineRule="auto"/>
              <w:rPr>
                <w:rFonts w:ascii="Arial" w:hAnsi="Arial" w:cs="Arial"/>
              </w:rPr>
            </w:pPr>
          </w:p>
        </w:tc>
        <w:tc>
          <w:tcPr>
            <w:tcW w:w="1112" w:type="pct"/>
          </w:tcPr>
          <w:p w14:paraId="0871E499" w14:textId="77777777" w:rsidR="00ED4BBA" w:rsidRPr="00F7228F" w:rsidRDefault="00ED4BBA" w:rsidP="00ED4BBA">
            <w:pPr>
              <w:spacing w:line="276" w:lineRule="auto"/>
              <w:rPr>
                <w:rFonts w:ascii="Arial" w:hAnsi="Arial" w:cs="Arial"/>
              </w:rPr>
            </w:pPr>
            <w:r w:rsidRPr="00F7228F">
              <w:rPr>
                <w:rFonts w:ascii="Arial" w:hAnsi="Arial" w:cs="Arial"/>
              </w:rPr>
              <w:t>Not applicable</w:t>
            </w:r>
          </w:p>
        </w:tc>
        <w:tc>
          <w:tcPr>
            <w:tcW w:w="944" w:type="pct"/>
          </w:tcPr>
          <w:p w14:paraId="145B730A" w14:textId="77777777" w:rsidR="00ED4BBA" w:rsidRPr="00F7228F" w:rsidRDefault="00ED4BBA" w:rsidP="00ED4BBA">
            <w:pPr>
              <w:spacing w:line="276" w:lineRule="auto"/>
              <w:rPr>
                <w:rFonts w:ascii="Arial" w:hAnsi="Arial" w:cs="Arial"/>
              </w:rPr>
            </w:pPr>
            <w:r w:rsidRPr="00F7228F">
              <w:rPr>
                <w:rFonts w:ascii="Arial" w:hAnsi="Arial" w:cs="Arial"/>
              </w:rPr>
              <w:t>2 (3.0)</w:t>
            </w:r>
          </w:p>
        </w:tc>
        <w:tc>
          <w:tcPr>
            <w:tcW w:w="1022" w:type="pct"/>
          </w:tcPr>
          <w:p w14:paraId="1358F59E" w14:textId="77777777" w:rsidR="00ED4BBA" w:rsidRPr="00F7228F" w:rsidRDefault="00ED4BBA" w:rsidP="00ED4BBA">
            <w:pPr>
              <w:spacing w:line="276" w:lineRule="auto"/>
              <w:rPr>
                <w:rFonts w:ascii="Arial" w:hAnsi="Arial" w:cs="Arial"/>
              </w:rPr>
            </w:pPr>
            <w:r w:rsidRPr="00F7228F">
              <w:rPr>
                <w:rFonts w:ascii="Arial" w:hAnsi="Arial" w:cs="Arial"/>
              </w:rPr>
              <w:t>0 (0.0)</w:t>
            </w:r>
          </w:p>
        </w:tc>
        <w:tc>
          <w:tcPr>
            <w:tcW w:w="836" w:type="pct"/>
            <w:vMerge/>
          </w:tcPr>
          <w:p w14:paraId="56D35D9A" w14:textId="77777777" w:rsidR="00ED4BBA" w:rsidRPr="00F7228F" w:rsidRDefault="00ED4BBA" w:rsidP="00ED4BBA">
            <w:pPr>
              <w:spacing w:line="276" w:lineRule="auto"/>
              <w:rPr>
                <w:rFonts w:ascii="Arial" w:hAnsi="Arial" w:cs="Arial"/>
              </w:rPr>
            </w:pPr>
          </w:p>
        </w:tc>
      </w:tr>
    </w:tbl>
    <w:p w14:paraId="698131FB" w14:textId="77777777" w:rsidR="00236A5B" w:rsidRPr="00F7228F" w:rsidRDefault="00236A5B" w:rsidP="000B242D">
      <w:pPr>
        <w:spacing w:after="0" w:line="276" w:lineRule="auto"/>
        <w:rPr>
          <w:rFonts w:ascii="Arial" w:hAnsi="Arial" w:cs="Arial"/>
        </w:rPr>
      </w:pPr>
    </w:p>
    <w:p w14:paraId="1C67496C" w14:textId="77777777" w:rsidR="00236A5B" w:rsidRPr="00F7228F" w:rsidRDefault="00236A5B" w:rsidP="000B242D">
      <w:pPr>
        <w:spacing w:after="0" w:line="276" w:lineRule="auto"/>
        <w:rPr>
          <w:rFonts w:ascii="Arial" w:hAnsi="Arial" w:cs="Arial"/>
        </w:rPr>
      </w:pPr>
      <w:r w:rsidRPr="00F7228F">
        <w:rPr>
          <w:rFonts w:ascii="Arial" w:hAnsi="Arial" w:cs="Arial"/>
          <w:b/>
          <w:bCs/>
        </w:rPr>
        <w:t>Supplementary Table 2 –</w:t>
      </w:r>
      <w:r w:rsidRPr="00F7228F">
        <w:rPr>
          <w:rFonts w:ascii="Arial" w:hAnsi="Arial" w:cs="Arial"/>
        </w:rPr>
        <w:t xml:space="preserve"> Baseline characteristics by method of CSF collection for subarachnoid haemorrhage patients. </w:t>
      </w:r>
      <w:r w:rsidRPr="00F7228F">
        <w:rPr>
          <w:rFonts w:ascii="Arial" w:hAnsi="Arial" w:cs="Arial"/>
          <w:vertAlign w:val="superscript"/>
        </w:rPr>
        <w:t xml:space="preserve">a </w:t>
      </w:r>
      <w:r w:rsidRPr="00F7228F">
        <w:rPr>
          <w:rFonts w:ascii="Arial" w:hAnsi="Arial" w:cs="Arial"/>
        </w:rPr>
        <w:t xml:space="preserve">Fisher’s exact. </w:t>
      </w:r>
      <w:r w:rsidRPr="00F7228F">
        <w:rPr>
          <w:rFonts w:ascii="Arial" w:hAnsi="Arial" w:cs="Arial"/>
          <w:vertAlign w:val="superscript"/>
        </w:rPr>
        <w:t xml:space="preserve">b </w:t>
      </w:r>
      <w:r w:rsidRPr="00F7228F">
        <w:rPr>
          <w:rFonts w:ascii="Arial" w:hAnsi="Arial" w:cs="Arial"/>
        </w:rPr>
        <w:t>Kruskal Wallis. World Federation of Neurosurgical Societies = WFNS; lumbar puncture = LP; external ventricular drain = EVD.</w:t>
      </w:r>
    </w:p>
    <w:tbl>
      <w:tblPr>
        <w:tblStyle w:val="TableGrid"/>
        <w:tblW w:w="5000" w:type="pct"/>
        <w:tblLook w:val="04A0" w:firstRow="1" w:lastRow="0" w:firstColumn="1" w:lastColumn="0" w:noHBand="0" w:noVBand="1"/>
      </w:tblPr>
      <w:tblGrid>
        <w:gridCol w:w="3030"/>
        <w:gridCol w:w="3102"/>
        <w:gridCol w:w="2633"/>
        <w:gridCol w:w="2851"/>
        <w:gridCol w:w="2332"/>
      </w:tblGrid>
      <w:tr w:rsidR="00236A5B" w:rsidRPr="00F7228F" w14:paraId="1DC127D3" w14:textId="77777777" w:rsidTr="00CB0BB6">
        <w:tc>
          <w:tcPr>
            <w:tcW w:w="2198" w:type="pct"/>
            <w:gridSpan w:val="2"/>
          </w:tcPr>
          <w:p w14:paraId="4178628A" w14:textId="77777777" w:rsidR="00236A5B" w:rsidRPr="00F7228F" w:rsidRDefault="00236A5B" w:rsidP="000B242D">
            <w:pPr>
              <w:spacing w:line="276" w:lineRule="auto"/>
              <w:rPr>
                <w:rFonts w:ascii="Arial" w:hAnsi="Arial" w:cs="Arial"/>
              </w:rPr>
            </w:pPr>
          </w:p>
        </w:tc>
        <w:tc>
          <w:tcPr>
            <w:tcW w:w="944" w:type="pct"/>
          </w:tcPr>
          <w:p w14:paraId="42692BB6" w14:textId="77777777" w:rsidR="00236A5B" w:rsidRPr="00F7228F" w:rsidRDefault="00236A5B" w:rsidP="000B242D">
            <w:pPr>
              <w:spacing w:line="276" w:lineRule="auto"/>
              <w:rPr>
                <w:rFonts w:ascii="Arial" w:hAnsi="Arial" w:cs="Arial"/>
              </w:rPr>
            </w:pPr>
            <w:r w:rsidRPr="00F7228F">
              <w:rPr>
                <w:rFonts w:ascii="Arial" w:hAnsi="Arial" w:cs="Arial"/>
              </w:rPr>
              <w:t>LP (N = 51)</w:t>
            </w:r>
          </w:p>
        </w:tc>
        <w:tc>
          <w:tcPr>
            <w:tcW w:w="1022" w:type="pct"/>
          </w:tcPr>
          <w:p w14:paraId="57BECE51" w14:textId="77777777" w:rsidR="00236A5B" w:rsidRPr="00F7228F" w:rsidRDefault="00236A5B" w:rsidP="000B242D">
            <w:pPr>
              <w:spacing w:line="276" w:lineRule="auto"/>
              <w:rPr>
                <w:rFonts w:ascii="Arial" w:hAnsi="Arial" w:cs="Arial"/>
              </w:rPr>
            </w:pPr>
            <w:r w:rsidRPr="00F7228F">
              <w:rPr>
                <w:rFonts w:ascii="Arial" w:hAnsi="Arial" w:cs="Arial"/>
              </w:rPr>
              <w:t>EVD (N = 32)</w:t>
            </w:r>
          </w:p>
        </w:tc>
        <w:tc>
          <w:tcPr>
            <w:tcW w:w="836" w:type="pct"/>
          </w:tcPr>
          <w:p w14:paraId="4DFDD42A" w14:textId="77777777" w:rsidR="00236A5B" w:rsidRPr="00F7228F" w:rsidRDefault="00236A5B" w:rsidP="000B242D">
            <w:pPr>
              <w:spacing w:line="276" w:lineRule="auto"/>
              <w:rPr>
                <w:rFonts w:ascii="Arial" w:hAnsi="Arial" w:cs="Arial"/>
              </w:rPr>
            </w:pPr>
            <w:r w:rsidRPr="00F7228F">
              <w:rPr>
                <w:rFonts w:ascii="Arial" w:hAnsi="Arial" w:cs="Arial"/>
              </w:rPr>
              <w:t>P-value</w:t>
            </w:r>
          </w:p>
        </w:tc>
      </w:tr>
      <w:tr w:rsidR="00236A5B" w:rsidRPr="00F7228F" w14:paraId="2C10A9F4" w14:textId="77777777" w:rsidTr="00CB0BB6">
        <w:trPr>
          <w:trHeight w:val="620"/>
        </w:trPr>
        <w:tc>
          <w:tcPr>
            <w:tcW w:w="2198" w:type="pct"/>
            <w:gridSpan w:val="2"/>
          </w:tcPr>
          <w:p w14:paraId="162197F5" w14:textId="77777777" w:rsidR="00236A5B" w:rsidRPr="00F7228F" w:rsidRDefault="00236A5B" w:rsidP="000B242D">
            <w:pPr>
              <w:spacing w:line="276" w:lineRule="auto"/>
              <w:rPr>
                <w:rFonts w:ascii="Arial" w:hAnsi="Arial" w:cs="Arial"/>
              </w:rPr>
            </w:pPr>
            <w:r w:rsidRPr="00F7228F">
              <w:rPr>
                <w:rFonts w:ascii="Arial" w:hAnsi="Arial" w:cs="Arial"/>
              </w:rPr>
              <w:t xml:space="preserve">Age </w:t>
            </w:r>
          </w:p>
          <w:p w14:paraId="21CF3E5D" w14:textId="77777777" w:rsidR="00236A5B" w:rsidRPr="00F7228F" w:rsidRDefault="00236A5B" w:rsidP="000B242D">
            <w:pPr>
              <w:spacing w:line="276" w:lineRule="auto"/>
              <w:rPr>
                <w:rFonts w:ascii="Arial" w:hAnsi="Arial" w:cs="Arial"/>
              </w:rPr>
            </w:pPr>
            <w:r w:rsidRPr="00F7228F">
              <w:rPr>
                <w:rFonts w:ascii="Arial" w:hAnsi="Arial" w:cs="Arial"/>
              </w:rPr>
              <w:t>[median, IQR]</w:t>
            </w:r>
          </w:p>
        </w:tc>
        <w:tc>
          <w:tcPr>
            <w:tcW w:w="944" w:type="pct"/>
          </w:tcPr>
          <w:p w14:paraId="26983DA5" w14:textId="77777777" w:rsidR="00236A5B" w:rsidRPr="00F7228F" w:rsidRDefault="00236A5B" w:rsidP="000B242D">
            <w:pPr>
              <w:spacing w:line="276" w:lineRule="auto"/>
              <w:rPr>
                <w:rFonts w:ascii="Arial" w:hAnsi="Arial" w:cs="Arial"/>
              </w:rPr>
            </w:pPr>
            <w:r w:rsidRPr="00F7228F">
              <w:rPr>
                <w:rFonts w:ascii="Arial" w:hAnsi="Arial" w:cs="Arial"/>
              </w:rPr>
              <w:t>55</w:t>
            </w:r>
          </w:p>
          <w:p w14:paraId="39819DD6" w14:textId="77777777" w:rsidR="00236A5B" w:rsidRPr="00F7228F" w:rsidRDefault="00236A5B" w:rsidP="000B242D">
            <w:pPr>
              <w:spacing w:line="276" w:lineRule="auto"/>
              <w:rPr>
                <w:rFonts w:ascii="Arial" w:hAnsi="Arial" w:cs="Arial"/>
              </w:rPr>
            </w:pPr>
            <w:r w:rsidRPr="00F7228F">
              <w:rPr>
                <w:rFonts w:ascii="Arial" w:hAnsi="Arial" w:cs="Arial"/>
              </w:rPr>
              <w:t>(50 – 62)</w:t>
            </w:r>
          </w:p>
        </w:tc>
        <w:tc>
          <w:tcPr>
            <w:tcW w:w="1022" w:type="pct"/>
          </w:tcPr>
          <w:p w14:paraId="3C90EBBD" w14:textId="77777777" w:rsidR="00236A5B" w:rsidRPr="00F7228F" w:rsidRDefault="00236A5B" w:rsidP="000B242D">
            <w:pPr>
              <w:spacing w:line="276" w:lineRule="auto"/>
              <w:rPr>
                <w:rFonts w:ascii="Arial" w:hAnsi="Arial" w:cs="Arial"/>
              </w:rPr>
            </w:pPr>
            <w:r w:rsidRPr="00F7228F">
              <w:rPr>
                <w:rFonts w:ascii="Arial" w:hAnsi="Arial" w:cs="Arial"/>
              </w:rPr>
              <w:t>56</w:t>
            </w:r>
          </w:p>
          <w:p w14:paraId="1EB09910" w14:textId="77777777" w:rsidR="00236A5B" w:rsidRPr="00F7228F" w:rsidRDefault="00236A5B" w:rsidP="000B242D">
            <w:pPr>
              <w:spacing w:line="276" w:lineRule="auto"/>
              <w:rPr>
                <w:rFonts w:ascii="Arial" w:hAnsi="Arial" w:cs="Arial"/>
              </w:rPr>
            </w:pPr>
            <w:r w:rsidRPr="00F7228F">
              <w:rPr>
                <w:rFonts w:ascii="Arial" w:hAnsi="Arial" w:cs="Arial"/>
              </w:rPr>
              <w:t>(49.5 – 66.5)</w:t>
            </w:r>
          </w:p>
        </w:tc>
        <w:tc>
          <w:tcPr>
            <w:tcW w:w="836" w:type="pct"/>
          </w:tcPr>
          <w:p w14:paraId="77ECC7C3" w14:textId="77777777" w:rsidR="00236A5B" w:rsidRPr="00F7228F" w:rsidRDefault="00236A5B" w:rsidP="000B242D">
            <w:pPr>
              <w:spacing w:line="276" w:lineRule="auto"/>
              <w:rPr>
                <w:rFonts w:ascii="Arial" w:hAnsi="Arial" w:cs="Arial"/>
                <w:vertAlign w:val="superscript"/>
              </w:rPr>
            </w:pPr>
          </w:p>
          <w:p w14:paraId="51B87295"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0.694 </w:t>
            </w:r>
            <w:r w:rsidRPr="00F7228F">
              <w:rPr>
                <w:rFonts w:ascii="Arial" w:hAnsi="Arial" w:cs="Arial"/>
                <w:vertAlign w:val="superscript"/>
              </w:rPr>
              <w:t>b</w:t>
            </w:r>
          </w:p>
        </w:tc>
      </w:tr>
      <w:tr w:rsidR="00236A5B" w:rsidRPr="00F7228F" w14:paraId="6C378488" w14:textId="77777777" w:rsidTr="00CB0BB6">
        <w:tc>
          <w:tcPr>
            <w:tcW w:w="1086" w:type="pct"/>
            <w:vMerge w:val="restart"/>
          </w:tcPr>
          <w:p w14:paraId="1654B7BB" w14:textId="77777777" w:rsidR="00236A5B" w:rsidRPr="00F7228F" w:rsidRDefault="00236A5B" w:rsidP="000B242D">
            <w:pPr>
              <w:spacing w:line="276" w:lineRule="auto"/>
              <w:rPr>
                <w:rFonts w:ascii="Arial" w:hAnsi="Arial" w:cs="Arial"/>
              </w:rPr>
            </w:pPr>
            <w:r w:rsidRPr="00F7228F">
              <w:rPr>
                <w:rFonts w:ascii="Arial" w:hAnsi="Arial" w:cs="Arial"/>
              </w:rPr>
              <w:t>Sex (n, %)</w:t>
            </w:r>
          </w:p>
        </w:tc>
        <w:tc>
          <w:tcPr>
            <w:tcW w:w="1112" w:type="pct"/>
          </w:tcPr>
          <w:p w14:paraId="4B193C5A" w14:textId="77777777" w:rsidR="00236A5B" w:rsidRPr="00F7228F" w:rsidRDefault="00236A5B" w:rsidP="000B242D">
            <w:pPr>
              <w:spacing w:line="276" w:lineRule="auto"/>
              <w:rPr>
                <w:rFonts w:ascii="Arial" w:hAnsi="Arial" w:cs="Arial"/>
              </w:rPr>
            </w:pPr>
            <w:r w:rsidRPr="00F7228F">
              <w:rPr>
                <w:rFonts w:ascii="Arial" w:hAnsi="Arial" w:cs="Arial"/>
              </w:rPr>
              <w:t>Female</w:t>
            </w:r>
          </w:p>
        </w:tc>
        <w:tc>
          <w:tcPr>
            <w:tcW w:w="944" w:type="pct"/>
          </w:tcPr>
          <w:p w14:paraId="222D241C" w14:textId="77777777" w:rsidR="00236A5B" w:rsidRPr="00F7228F" w:rsidRDefault="00236A5B" w:rsidP="000B242D">
            <w:pPr>
              <w:spacing w:line="276" w:lineRule="auto"/>
              <w:rPr>
                <w:rFonts w:ascii="Arial" w:hAnsi="Arial" w:cs="Arial"/>
              </w:rPr>
            </w:pPr>
            <w:r w:rsidRPr="00F7228F">
              <w:rPr>
                <w:rFonts w:ascii="Arial" w:hAnsi="Arial" w:cs="Arial"/>
              </w:rPr>
              <w:t>38 (74.5)</w:t>
            </w:r>
          </w:p>
        </w:tc>
        <w:tc>
          <w:tcPr>
            <w:tcW w:w="1022" w:type="pct"/>
          </w:tcPr>
          <w:p w14:paraId="38CF10BA" w14:textId="77777777" w:rsidR="00236A5B" w:rsidRPr="00F7228F" w:rsidRDefault="00236A5B" w:rsidP="000B242D">
            <w:pPr>
              <w:spacing w:line="276" w:lineRule="auto"/>
              <w:rPr>
                <w:rFonts w:ascii="Arial" w:hAnsi="Arial" w:cs="Arial"/>
              </w:rPr>
            </w:pPr>
            <w:r w:rsidRPr="00F7228F">
              <w:rPr>
                <w:rFonts w:ascii="Arial" w:hAnsi="Arial" w:cs="Arial"/>
              </w:rPr>
              <w:t>26 (81.3)</w:t>
            </w:r>
          </w:p>
        </w:tc>
        <w:tc>
          <w:tcPr>
            <w:tcW w:w="836" w:type="pct"/>
            <w:vMerge w:val="restart"/>
          </w:tcPr>
          <w:p w14:paraId="7AC17F24"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0.333 </w:t>
            </w:r>
            <w:r w:rsidRPr="00F7228F">
              <w:rPr>
                <w:rFonts w:ascii="Arial" w:hAnsi="Arial" w:cs="Arial"/>
                <w:vertAlign w:val="superscript"/>
              </w:rPr>
              <w:t>a</w:t>
            </w:r>
          </w:p>
        </w:tc>
      </w:tr>
      <w:tr w:rsidR="00236A5B" w:rsidRPr="00F7228F" w14:paraId="4E5B69D4" w14:textId="77777777" w:rsidTr="00CB0BB6">
        <w:tc>
          <w:tcPr>
            <w:tcW w:w="1086" w:type="pct"/>
            <w:vMerge/>
          </w:tcPr>
          <w:p w14:paraId="28E44A5F" w14:textId="77777777" w:rsidR="00236A5B" w:rsidRPr="00F7228F" w:rsidRDefault="00236A5B" w:rsidP="000B242D">
            <w:pPr>
              <w:spacing w:line="276" w:lineRule="auto"/>
              <w:rPr>
                <w:rFonts w:ascii="Arial" w:hAnsi="Arial" w:cs="Arial"/>
              </w:rPr>
            </w:pPr>
          </w:p>
        </w:tc>
        <w:tc>
          <w:tcPr>
            <w:tcW w:w="1112" w:type="pct"/>
          </w:tcPr>
          <w:p w14:paraId="5905E6D1" w14:textId="77777777" w:rsidR="00236A5B" w:rsidRPr="00F7228F" w:rsidRDefault="00236A5B" w:rsidP="000B242D">
            <w:pPr>
              <w:spacing w:line="276" w:lineRule="auto"/>
              <w:rPr>
                <w:rFonts w:ascii="Arial" w:hAnsi="Arial" w:cs="Arial"/>
              </w:rPr>
            </w:pPr>
            <w:r w:rsidRPr="00F7228F">
              <w:rPr>
                <w:rFonts w:ascii="Arial" w:hAnsi="Arial" w:cs="Arial"/>
              </w:rPr>
              <w:t>Male</w:t>
            </w:r>
          </w:p>
        </w:tc>
        <w:tc>
          <w:tcPr>
            <w:tcW w:w="944" w:type="pct"/>
          </w:tcPr>
          <w:p w14:paraId="5274C4A1" w14:textId="77777777" w:rsidR="00236A5B" w:rsidRPr="00F7228F" w:rsidRDefault="00236A5B" w:rsidP="000B242D">
            <w:pPr>
              <w:spacing w:line="276" w:lineRule="auto"/>
              <w:rPr>
                <w:rFonts w:ascii="Arial" w:hAnsi="Arial" w:cs="Arial"/>
              </w:rPr>
            </w:pPr>
            <w:r w:rsidRPr="00F7228F">
              <w:rPr>
                <w:rFonts w:ascii="Arial" w:hAnsi="Arial" w:cs="Arial"/>
              </w:rPr>
              <w:t>13 (25.5)</w:t>
            </w:r>
          </w:p>
        </w:tc>
        <w:tc>
          <w:tcPr>
            <w:tcW w:w="1022" w:type="pct"/>
          </w:tcPr>
          <w:p w14:paraId="64A8331F" w14:textId="77777777" w:rsidR="00236A5B" w:rsidRPr="00F7228F" w:rsidRDefault="00236A5B" w:rsidP="000B242D">
            <w:pPr>
              <w:spacing w:line="276" w:lineRule="auto"/>
              <w:rPr>
                <w:rFonts w:ascii="Arial" w:hAnsi="Arial" w:cs="Arial"/>
              </w:rPr>
            </w:pPr>
            <w:r w:rsidRPr="00F7228F">
              <w:rPr>
                <w:rFonts w:ascii="Arial" w:hAnsi="Arial" w:cs="Arial"/>
              </w:rPr>
              <w:t>6 (18.8)</w:t>
            </w:r>
          </w:p>
        </w:tc>
        <w:tc>
          <w:tcPr>
            <w:tcW w:w="836" w:type="pct"/>
            <w:vMerge/>
          </w:tcPr>
          <w:p w14:paraId="23BE15EA" w14:textId="77777777" w:rsidR="00236A5B" w:rsidRPr="00F7228F" w:rsidRDefault="00236A5B" w:rsidP="000B242D">
            <w:pPr>
              <w:spacing w:line="276" w:lineRule="auto"/>
              <w:rPr>
                <w:rFonts w:ascii="Arial" w:hAnsi="Arial" w:cs="Arial"/>
              </w:rPr>
            </w:pPr>
          </w:p>
        </w:tc>
      </w:tr>
      <w:tr w:rsidR="00236A5B" w:rsidRPr="00F7228F" w14:paraId="5DE3EE0A" w14:textId="77777777" w:rsidTr="00CB0BB6">
        <w:tc>
          <w:tcPr>
            <w:tcW w:w="1086" w:type="pct"/>
            <w:vMerge w:val="restart"/>
          </w:tcPr>
          <w:p w14:paraId="23F7D038" w14:textId="77777777" w:rsidR="00236A5B" w:rsidRPr="00F7228F" w:rsidRDefault="00236A5B" w:rsidP="000B242D">
            <w:pPr>
              <w:spacing w:line="276" w:lineRule="auto"/>
              <w:rPr>
                <w:rFonts w:ascii="Arial" w:hAnsi="Arial" w:cs="Arial"/>
              </w:rPr>
            </w:pPr>
            <w:r w:rsidRPr="00F7228F">
              <w:rPr>
                <w:rFonts w:ascii="Arial" w:hAnsi="Arial" w:cs="Arial"/>
              </w:rPr>
              <w:t>Race (n, %)</w:t>
            </w:r>
          </w:p>
        </w:tc>
        <w:tc>
          <w:tcPr>
            <w:tcW w:w="1112" w:type="pct"/>
          </w:tcPr>
          <w:p w14:paraId="74FBC4E4" w14:textId="77777777" w:rsidR="00236A5B" w:rsidRPr="00F7228F" w:rsidRDefault="00236A5B" w:rsidP="000B242D">
            <w:pPr>
              <w:spacing w:line="276" w:lineRule="auto"/>
              <w:rPr>
                <w:rFonts w:ascii="Arial" w:hAnsi="Arial" w:cs="Arial"/>
              </w:rPr>
            </w:pPr>
            <w:r w:rsidRPr="00F7228F">
              <w:rPr>
                <w:rFonts w:ascii="Arial" w:hAnsi="Arial" w:cs="Arial"/>
              </w:rPr>
              <w:t>White</w:t>
            </w:r>
          </w:p>
        </w:tc>
        <w:tc>
          <w:tcPr>
            <w:tcW w:w="944" w:type="pct"/>
          </w:tcPr>
          <w:p w14:paraId="79BD42C7" w14:textId="77777777" w:rsidR="00236A5B" w:rsidRPr="00F7228F" w:rsidRDefault="00236A5B" w:rsidP="000B242D">
            <w:pPr>
              <w:spacing w:line="276" w:lineRule="auto"/>
              <w:rPr>
                <w:rFonts w:ascii="Arial" w:hAnsi="Arial" w:cs="Arial"/>
              </w:rPr>
            </w:pPr>
            <w:r w:rsidRPr="00F7228F">
              <w:rPr>
                <w:rFonts w:ascii="Arial" w:hAnsi="Arial" w:cs="Arial"/>
              </w:rPr>
              <w:t>49 (96.1)</w:t>
            </w:r>
          </w:p>
        </w:tc>
        <w:tc>
          <w:tcPr>
            <w:tcW w:w="1022" w:type="pct"/>
          </w:tcPr>
          <w:p w14:paraId="6CB7D87B" w14:textId="77777777" w:rsidR="00236A5B" w:rsidRPr="00F7228F" w:rsidRDefault="00236A5B" w:rsidP="000B242D">
            <w:pPr>
              <w:spacing w:line="276" w:lineRule="auto"/>
              <w:rPr>
                <w:rFonts w:ascii="Arial" w:hAnsi="Arial" w:cs="Arial"/>
              </w:rPr>
            </w:pPr>
            <w:r w:rsidRPr="00F7228F">
              <w:rPr>
                <w:rFonts w:ascii="Arial" w:hAnsi="Arial" w:cs="Arial"/>
              </w:rPr>
              <w:t>32 (100.0)</w:t>
            </w:r>
          </w:p>
        </w:tc>
        <w:tc>
          <w:tcPr>
            <w:tcW w:w="836" w:type="pct"/>
            <w:vMerge w:val="restart"/>
          </w:tcPr>
          <w:p w14:paraId="63F8E131" w14:textId="77777777" w:rsidR="00236A5B" w:rsidRPr="00F7228F" w:rsidRDefault="00236A5B" w:rsidP="000B242D">
            <w:pPr>
              <w:spacing w:line="276" w:lineRule="auto"/>
              <w:rPr>
                <w:rFonts w:ascii="Arial" w:hAnsi="Arial" w:cs="Arial"/>
                <w:vertAlign w:val="superscript"/>
              </w:rPr>
            </w:pPr>
            <w:r w:rsidRPr="00F7228F">
              <w:rPr>
                <w:rFonts w:ascii="Arial" w:hAnsi="Arial" w:cs="Arial"/>
              </w:rPr>
              <w:t xml:space="preserve">0.520 </w:t>
            </w:r>
            <w:r w:rsidRPr="00F7228F">
              <w:rPr>
                <w:rFonts w:ascii="Arial" w:hAnsi="Arial" w:cs="Arial"/>
                <w:vertAlign w:val="superscript"/>
              </w:rPr>
              <w:t>a</w:t>
            </w:r>
          </w:p>
        </w:tc>
      </w:tr>
      <w:tr w:rsidR="00236A5B" w:rsidRPr="00F7228F" w14:paraId="5B889506" w14:textId="77777777" w:rsidTr="00CB0BB6">
        <w:tc>
          <w:tcPr>
            <w:tcW w:w="1086" w:type="pct"/>
            <w:vMerge/>
          </w:tcPr>
          <w:p w14:paraId="0C2FDC4A" w14:textId="77777777" w:rsidR="00236A5B" w:rsidRPr="00F7228F" w:rsidRDefault="00236A5B" w:rsidP="000B242D">
            <w:pPr>
              <w:spacing w:line="276" w:lineRule="auto"/>
              <w:rPr>
                <w:rFonts w:ascii="Arial" w:hAnsi="Arial" w:cs="Arial"/>
              </w:rPr>
            </w:pPr>
          </w:p>
        </w:tc>
        <w:tc>
          <w:tcPr>
            <w:tcW w:w="1112" w:type="pct"/>
          </w:tcPr>
          <w:p w14:paraId="2322B084" w14:textId="77777777" w:rsidR="00236A5B" w:rsidRPr="00F7228F" w:rsidRDefault="00236A5B" w:rsidP="000B242D">
            <w:pPr>
              <w:spacing w:line="276" w:lineRule="auto"/>
              <w:rPr>
                <w:rFonts w:ascii="Arial" w:hAnsi="Arial" w:cs="Arial"/>
              </w:rPr>
            </w:pPr>
            <w:r w:rsidRPr="00F7228F">
              <w:rPr>
                <w:rFonts w:ascii="Arial" w:hAnsi="Arial" w:cs="Arial"/>
              </w:rPr>
              <w:t>Black</w:t>
            </w:r>
          </w:p>
        </w:tc>
        <w:tc>
          <w:tcPr>
            <w:tcW w:w="944" w:type="pct"/>
          </w:tcPr>
          <w:p w14:paraId="04DA832F"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1022" w:type="pct"/>
          </w:tcPr>
          <w:p w14:paraId="4DE763A3"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836" w:type="pct"/>
            <w:vMerge/>
          </w:tcPr>
          <w:p w14:paraId="40E63B95" w14:textId="77777777" w:rsidR="00236A5B" w:rsidRPr="00F7228F" w:rsidRDefault="00236A5B" w:rsidP="000B242D">
            <w:pPr>
              <w:spacing w:line="276" w:lineRule="auto"/>
              <w:rPr>
                <w:rFonts w:ascii="Arial" w:hAnsi="Arial" w:cs="Arial"/>
              </w:rPr>
            </w:pPr>
          </w:p>
        </w:tc>
      </w:tr>
      <w:tr w:rsidR="00236A5B" w:rsidRPr="00F7228F" w14:paraId="51F72C09" w14:textId="77777777" w:rsidTr="00CB0BB6">
        <w:tc>
          <w:tcPr>
            <w:tcW w:w="1086" w:type="pct"/>
            <w:vMerge/>
          </w:tcPr>
          <w:p w14:paraId="21C9F57A" w14:textId="77777777" w:rsidR="00236A5B" w:rsidRPr="00F7228F" w:rsidRDefault="00236A5B" w:rsidP="000B242D">
            <w:pPr>
              <w:spacing w:line="276" w:lineRule="auto"/>
              <w:rPr>
                <w:rFonts w:ascii="Arial" w:hAnsi="Arial" w:cs="Arial"/>
              </w:rPr>
            </w:pPr>
          </w:p>
        </w:tc>
        <w:tc>
          <w:tcPr>
            <w:tcW w:w="1112" w:type="pct"/>
          </w:tcPr>
          <w:p w14:paraId="5BDB0B2E" w14:textId="77777777" w:rsidR="00236A5B" w:rsidRPr="00F7228F" w:rsidRDefault="00236A5B" w:rsidP="000B242D">
            <w:pPr>
              <w:spacing w:line="276" w:lineRule="auto"/>
              <w:rPr>
                <w:rFonts w:ascii="Arial" w:hAnsi="Arial" w:cs="Arial"/>
              </w:rPr>
            </w:pPr>
            <w:r w:rsidRPr="00F7228F">
              <w:rPr>
                <w:rFonts w:ascii="Arial" w:hAnsi="Arial" w:cs="Arial"/>
              </w:rPr>
              <w:t>Asian</w:t>
            </w:r>
          </w:p>
        </w:tc>
        <w:tc>
          <w:tcPr>
            <w:tcW w:w="944" w:type="pct"/>
          </w:tcPr>
          <w:p w14:paraId="7D48D6F2" w14:textId="77777777" w:rsidR="00236A5B" w:rsidRPr="00F7228F" w:rsidRDefault="00236A5B" w:rsidP="000B242D">
            <w:pPr>
              <w:spacing w:line="276" w:lineRule="auto"/>
              <w:rPr>
                <w:rFonts w:ascii="Arial" w:hAnsi="Arial" w:cs="Arial"/>
              </w:rPr>
            </w:pPr>
            <w:r w:rsidRPr="00F7228F">
              <w:rPr>
                <w:rFonts w:ascii="Arial" w:hAnsi="Arial" w:cs="Arial"/>
              </w:rPr>
              <w:t>2 (3.2)</w:t>
            </w:r>
          </w:p>
        </w:tc>
        <w:tc>
          <w:tcPr>
            <w:tcW w:w="1022" w:type="pct"/>
          </w:tcPr>
          <w:p w14:paraId="6E6B100D"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836" w:type="pct"/>
            <w:vMerge/>
          </w:tcPr>
          <w:p w14:paraId="1C53B298" w14:textId="77777777" w:rsidR="00236A5B" w:rsidRPr="00F7228F" w:rsidRDefault="00236A5B" w:rsidP="000B242D">
            <w:pPr>
              <w:spacing w:line="276" w:lineRule="auto"/>
              <w:rPr>
                <w:rFonts w:ascii="Arial" w:hAnsi="Arial" w:cs="Arial"/>
              </w:rPr>
            </w:pPr>
          </w:p>
        </w:tc>
      </w:tr>
      <w:tr w:rsidR="00236A5B" w:rsidRPr="00F7228F" w14:paraId="0131CCC5" w14:textId="77777777" w:rsidTr="00CB0BB6">
        <w:tc>
          <w:tcPr>
            <w:tcW w:w="1086" w:type="pct"/>
            <w:vMerge w:val="restart"/>
          </w:tcPr>
          <w:p w14:paraId="126145AA" w14:textId="77777777" w:rsidR="00236A5B" w:rsidRPr="00F7228F" w:rsidRDefault="00236A5B" w:rsidP="000B242D">
            <w:pPr>
              <w:spacing w:line="276" w:lineRule="auto"/>
              <w:rPr>
                <w:rFonts w:ascii="Arial" w:hAnsi="Arial" w:cs="Arial"/>
              </w:rPr>
            </w:pPr>
            <w:r w:rsidRPr="00F7228F">
              <w:rPr>
                <w:rFonts w:ascii="Arial" w:hAnsi="Arial" w:cs="Arial"/>
              </w:rPr>
              <w:t>Premorbid hypertension</w:t>
            </w:r>
          </w:p>
        </w:tc>
        <w:tc>
          <w:tcPr>
            <w:tcW w:w="1112" w:type="pct"/>
          </w:tcPr>
          <w:p w14:paraId="38BA4FEB"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5E98B6F2" w14:textId="77777777" w:rsidR="00236A5B" w:rsidRPr="00F7228F" w:rsidRDefault="00236A5B" w:rsidP="000B242D">
            <w:pPr>
              <w:spacing w:line="276" w:lineRule="auto"/>
              <w:rPr>
                <w:rFonts w:ascii="Arial" w:hAnsi="Arial" w:cs="Arial"/>
              </w:rPr>
            </w:pPr>
            <w:r w:rsidRPr="00F7228F">
              <w:rPr>
                <w:rFonts w:ascii="Arial" w:hAnsi="Arial" w:cs="Arial"/>
              </w:rPr>
              <w:t>16 (31.4)</w:t>
            </w:r>
          </w:p>
        </w:tc>
        <w:tc>
          <w:tcPr>
            <w:tcW w:w="1022" w:type="pct"/>
          </w:tcPr>
          <w:p w14:paraId="23AF542F" w14:textId="77777777" w:rsidR="00236A5B" w:rsidRPr="00F7228F" w:rsidRDefault="00236A5B" w:rsidP="000B242D">
            <w:pPr>
              <w:spacing w:line="276" w:lineRule="auto"/>
              <w:rPr>
                <w:rFonts w:ascii="Arial" w:hAnsi="Arial" w:cs="Arial"/>
              </w:rPr>
            </w:pPr>
            <w:r w:rsidRPr="00F7228F">
              <w:rPr>
                <w:rFonts w:ascii="Arial" w:hAnsi="Arial" w:cs="Arial"/>
              </w:rPr>
              <w:t>7 (21.9)</w:t>
            </w:r>
          </w:p>
        </w:tc>
        <w:tc>
          <w:tcPr>
            <w:tcW w:w="836" w:type="pct"/>
            <w:vMerge w:val="restart"/>
          </w:tcPr>
          <w:p w14:paraId="183D42A1" w14:textId="77777777" w:rsidR="00236A5B" w:rsidRPr="00F7228F" w:rsidRDefault="00236A5B" w:rsidP="000B242D">
            <w:pPr>
              <w:spacing w:line="276" w:lineRule="auto"/>
              <w:rPr>
                <w:rFonts w:ascii="Arial" w:hAnsi="Arial" w:cs="Arial"/>
              </w:rPr>
            </w:pPr>
            <w:r w:rsidRPr="00F7228F">
              <w:rPr>
                <w:rFonts w:ascii="Arial" w:hAnsi="Arial" w:cs="Arial"/>
              </w:rPr>
              <w:t xml:space="preserve">0.452 </w:t>
            </w:r>
            <w:r w:rsidRPr="00F7228F">
              <w:rPr>
                <w:rFonts w:ascii="Arial" w:hAnsi="Arial" w:cs="Arial"/>
                <w:vertAlign w:val="superscript"/>
              </w:rPr>
              <w:t>a</w:t>
            </w:r>
          </w:p>
        </w:tc>
      </w:tr>
      <w:tr w:rsidR="00236A5B" w:rsidRPr="00F7228F" w14:paraId="64446252" w14:textId="77777777" w:rsidTr="00CB0BB6">
        <w:tc>
          <w:tcPr>
            <w:tcW w:w="1086" w:type="pct"/>
            <w:vMerge/>
          </w:tcPr>
          <w:p w14:paraId="6E895078" w14:textId="77777777" w:rsidR="00236A5B" w:rsidRPr="00F7228F" w:rsidRDefault="00236A5B" w:rsidP="000B242D">
            <w:pPr>
              <w:spacing w:line="276" w:lineRule="auto"/>
              <w:rPr>
                <w:rFonts w:ascii="Arial" w:hAnsi="Arial" w:cs="Arial"/>
              </w:rPr>
            </w:pPr>
          </w:p>
        </w:tc>
        <w:tc>
          <w:tcPr>
            <w:tcW w:w="1112" w:type="pct"/>
          </w:tcPr>
          <w:p w14:paraId="24E1008F"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66DF41CB" w14:textId="77777777" w:rsidR="00236A5B" w:rsidRPr="00F7228F" w:rsidRDefault="00236A5B" w:rsidP="000B242D">
            <w:pPr>
              <w:spacing w:line="276" w:lineRule="auto"/>
              <w:rPr>
                <w:rFonts w:ascii="Arial" w:hAnsi="Arial" w:cs="Arial"/>
              </w:rPr>
            </w:pPr>
            <w:r w:rsidRPr="00F7228F">
              <w:rPr>
                <w:rFonts w:ascii="Arial" w:hAnsi="Arial" w:cs="Arial"/>
              </w:rPr>
              <w:t>35 (68.6)</w:t>
            </w:r>
          </w:p>
        </w:tc>
        <w:tc>
          <w:tcPr>
            <w:tcW w:w="1022" w:type="pct"/>
          </w:tcPr>
          <w:p w14:paraId="1DEBEC67" w14:textId="77777777" w:rsidR="00236A5B" w:rsidRPr="00F7228F" w:rsidRDefault="00236A5B" w:rsidP="000B242D">
            <w:pPr>
              <w:spacing w:line="276" w:lineRule="auto"/>
              <w:rPr>
                <w:rFonts w:ascii="Arial" w:hAnsi="Arial" w:cs="Arial"/>
              </w:rPr>
            </w:pPr>
            <w:r w:rsidRPr="00F7228F">
              <w:rPr>
                <w:rFonts w:ascii="Arial" w:hAnsi="Arial" w:cs="Arial"/>
              </w:rPr>
              <w:t>25 (78.1)</w:t>
            </w:r>
          </w:p>
        </w:tc>
        <w:tc>
          <w:tcPr>
            <w:tcW w:w="836" w:type="pct"/>
            <w:vMerge/>
          </w:tcPr>
          <w:p w14:paraId="7ED8F538" w14:textId="77777777" w:rsidR="00236A5B" w:rsidRPr="00F7228F" w:rsidRDefault="00236A5B" w:rsidP="000B242D">
            <w:pPr>
              <w:spacing w:line="276" w:lineRule="auto"/>
              <w:rPr>
                <w:rFonts w:ascii="Arial" w:hAnsi="Arial" w:cs="Arial"/>
              </w:rPr>
            </w:pPr>
          </w:p>
        </w:tc>
      </w:tr>
      <w:tr w:rsidR="00236A5B" w:rsidRPr="00F7228F" w14:paraId="2E426C5A" w14:textId="77777777" w:rsidTr="00CB0BB6">
        <w:tc>
          <w:tcPr>
            <w:tcW w:w="1086" w:type="pct"/>
            <w:vMerge w:val="restart"/>
          </w:tcPr>
          <w:p w14:paraId="2E7CE318" w14:textId="77777777" w:rsidR="00236A5B" w:rsidRPr="00F7228F" w:rsidRDefault="00236A5B" w:rsidP="000B242D">
            <w:pPr>
              <w:spacing w:line="276" w:lineRule="auto"/>
              <w:rPr>
                <w:rFonts w:ascii="Arial" w:hAnsi="Arial" w:cs="Arial"/>
              </w:rPr>
            </w:pPr>
            <w:r w:rsidRPr="00F7228F">
              <w:rPr>
                <w:rFonts w:ascii="Arial" w:hAnsi="Arial" w:cs="Arial"/>
              </w:rPr>
              <w:t>WFNS Grade (n, %)</w:t>
            </w:r>
          </w:p>
        </w:tc>
        <w:tc>
          <w:tcPr>
            <w:tcW w:w="1112" w:type="pct"/>
          </w:tcPr>
          <w:p w14:paraId="0820DA80" w14:textId="77777777" w:rsidR="00236A5B" w:rsidRPr="00F7228F" w:rsidRDefault="00236A5B" w:rsidP="000B242D">
            <w:pPr>
              <w:spacing w:line="276" w:lineRule="auto"/>
              <w:rPr>
                <w:rFonts w:ascii="Arial" w:hAnsi="Arial" w:cs="Arial"/>
              </w:rPr>
            </w:pPr>
            <w:r w:rsidRPr="00F7228F">
              <w:rPr>
                <w:rFonts w:ascii="Arial" w:hAnsi="Arial" w:cs="Arial"/>
              </w:rPr>
              <w:t>I</w:t>
            </w:r>
          </w:p>
        </w:tc>
        <w:tc>
          <w:tcPr>
            <w:tcW w:w="944" w:type="pct"/>
          </w:tcPr>
          <w:p w14:paraId="6F6B1E9D" w14:textId="77777777" w:rsidR="00236A5B" w:rsidRPr="00F7228F" w:rsidRDefault="00236A5B" w:rsidP="000B242D">
            <w:pPr>
              <w:spacing w:line="276" w:lineRule="auto"/>
              <w:rPr>
                <w:rFonts w:ascii="Arial" w:hAnsi="Arial" w:cs="Arial"/>
              </w:rPr>
            </w:pPr>
            <w:r w:rsidRPr="00F7228F">
              <w:rPr>
                <w:rFonts w:ascii="Arial" w:hAnsi="Arial" w:cs="Arial"/>
              </w:rPr>
              <w:t>32 (62.8)</w:t>
            </w:r>
          </w:p>
        </w:tc>
        <w:tc>
          <w:tcPr>
            <w:tcW w:w="1022" w:type="pct"/>
          </w:tcPr>
          <w:p w14:paraId="7B825D20" w14:textId="77777777" w:rsidR="00236A5B" w:rsidRPr="00F7228F" w:rsidRDefault="00236A5B" w:rsidP="000B242D">
            <w:pPr>
              <w:spacing w:line="276" w:lineRule="auto"/>
              <w:rPr>
                <w:rFonts w:ascii="Arial" w:hAnsi="Arial" w:cs="Arial"/>
              </w:rPr>
            </w:pPr>
            <w:r w:rsidRPr="00F7228F">
              <w:rPr>
                <w:rFonts w:ascii="Arial" w:hAnsi="Arial" w:cs="Arial"/>
              </w:rPr>
              <w:t>3 (9.4)</w:t>
            </w:r>
          </w:p>
        </w:tc>
        <w:tc>
          <w:tcPr>
            <w:tcW w:w="836" w:type="pct"/>
            <w:vMerge w:val="restart"/>
          </w:tcPr>
          <w:p w14:paraId="533B8AA3" w14:textId="77777777" w:rsidR="00236A5B" w:rsidRPr="00F7228F" w:rsidRDefault="00236A5B" w:rsidP="000B242D">
            <w:pPr>
              <w:spacing w:line="276" w:lineRule="auto"/>
              <w:rPr>
                <w:rFonts w:ascii="Arial" w:hAnsi="Arial" w:cs="Arial"/>
              </w:rPr>
            </w:pPr>
            <w:r w:rsidRPr="00F7228F">
              <w:rPr>
                <w:rFonts w:ascii="Arial" w:hAnsi="Arial" w:cs="Arial"/>
              </w:rPr>
              <w:t xml:space="preserve">&lt; 0.001 </w:t>
            </w:r>
            <w:r w:rsidRPr="00F7228F">
              <w:rPr>
                <w:rFonts w:ascii="Arial" w:hAnsi="Arial" w:cs="Arial"/>
                <w:vertAlign w:val="superscript"/>
              </w:rPr>
              <w:t>a</w:t>
            </w:r>
          </w:p>
        </w:tc>
      </w:tr>
      <w:tr w:rsidR="00236A5B" w:rsidRPr="00F7228F" w14:paraId="09849148" w14:textId="77777777" w:rsidTr="00CB0BB6">
        <w:tc>
          <w:tcPr>
            <w:tcW w:w="1086" w:type="pct"/>
            <w:vMerge/>
          </w:tcPr>
          <w:p w14:paraId="45438A11" w14:textId="77777777" w:rsidR="00236A5B" w:rsidRPr="00F7228F" w:rsidRDefault="00236A5B" w:rsidP="000B242D">
            <w:pPr>
              <w:spacing w:line="276" w:lineRule="auto"/>
              <w:rPr>
                <w:rFonts w:ascii="Arial" w:hAnsi="Arial" w:cs="Arial"/>
              </w:rPr>
            </w:pPr>
          </w:p>
        </w:tc>
        <w:tc>
          <w:tcPr>
            <w:tcW w:w="1112" w:type="pct"/>
          </w:tcPr>
          <w:p w14:paraId="4B14920E" w14:textId="77777777" w:rsidR="00236A5B" w:rsidRPr="00F7228F" w:rsidRDefault="00236A5B" w:rsidP="000B242D">
            <w:pPr>
              <w:spacing w:line="276" w:lineRule="auto"/>
              <w:rPr>
                <w:rFonts w:ascii="Arial" w:hAnsi="Arial" w:cs="Arial"/>
              </w:rPr>
            </w:pPr>
            <w:r w:rsidRPr="00F7228F">
              <w:rPr>
                <w:rFonts w:ascii="Arial" w:hAnsi="Arial" w:cs="Arial"/>
              </w:rPr>
              <w:t>II</w:t>
            </w:r>
          </w:p>
        </w:tc>
        <w:tc>
          <w:tcPr>
            <w:tcW w:w="944" w:type="pct"/>
          </w:tcPr>
          <w:p w14:paraId="6F3401CB" w14:textId="77777777" w:rsidR="00236A5B" w:rsidRPr="00F7228F" w:rsidRDefault="00236A5B" w:rsidP="000B242D">
            <w:pPr>
              <w:spacing w:line="276" w:lineRule="auto"/>
              <w:rPr>
                <w:rFonts w:ascii="Arial" w:hAnsi="Arial" w:cs="Arial"/>
              </w:rPr>
            </w:pPr>
            <w:r w:rsidRPr="00F7228F">
              <w:rPr>
                <w:rFonts w:ascii="Arial" w:hAnsi="Arial" w:cs="Arial"/>
              </w:rPr>
              <w:t>9 (17.7)</w:t>
            </w:r>
          </w:p>
        </w:tc>
        <w:tc>
          <w:tcPr>
            <w:tcW w:w="1022" w:type="pct"/>
          </w:tcPr>
          <w:p w14:paraId="3935B95D" w14:textId="77777777" w:rsidR="00236A5B" w:rsidRPr="00F7228F" w:rsidRDefault="00236A5B" w:rsidP="000B242D">
            <w:pPr>
              <w:spacing w:line="276" w:lineRule="auto"/>
              <w:rPr>
                <w:rFonts w:ascii="Arial" w:hAnsi="Arial" w:cs="Arial"/>
              </w:rPr>
            </w:pPr>
            <w:r w:rsidRPr="00F7228F">
              <w:rPr>
                <w:rFonts w:ascii="Arial" w:hAnsi="Arial" w:cs="Arial"/>
              </w:rPr>
              <w:t>5 (15.6)</w:t>
            </w:r>
          </w:p>
        </w:tc>
        <w:tc>
          <w:tcPr>
            <w:tcW w:w="836" w:type="pct"/>
            <w:vMerge/>
          </w:tcPr>
          <w:p w14:paraId="5D14FEEC" w14:textId="77777777" w:rsidR="00236A5B" w:rsidRPr="00F7228F" w:rsidRDefault="00236A5B" w:rsidP="000B242D">
            <w:pPr>
              <w:spacing w:line="276" w:lineRule="auto"/>
              <w:rPr>
                <w:rFonts w:ascii="Arial" w:hAnsi="Arial" w:cs="Arial"/>
              </w:rPr>
            </w:pPr>
          </w:p>
        </w:tc>
      </w:tr>
      <w:tr w:rsidR="00236A5B" w:rsidRPr="00F7228F" w14:paraId="01C18E1E" w14:textId="77777777" w:rsidTr="00CB0BB6">
        <w:tc>
          <w:tcPr>
            <w:tcW w:w="1086" w:type="pct"/>
            <w:vMerge/>
          </w:tcPr>
          <w:p w14:paraId="3DC64010" w14:textId="77777777" w:rsidR="00236A5B" w:rsidRPr="00F7228F" w:rsidRDefault="00236A5B" w:rsidP="000B242D">
            <w:pPr>
              <w:spacing w:line="276" w:lineRule="auto"/>
              <w:rPr>
                <w:rFonts w:ascii="Arial" w:hAnsi="Arial" w:cs="Arial"/>
              </w:rPr>
            </w:pPr>
          </w:p>
        </w:tc>
        <w:tc>
          <w:tcPr>
            <w:tcW w:w="1112" w:type="pct"/>
          </w:tcPr>
          <w:p w14:paraId="79947588" w14:textId="77777777" w:rsidR="00236A5B" w:rsidRPr="00F7228F" w:rsidRDefault="00236A5B" w:rsidP="000B242D">
            <w:pPr>
              <w:spacing w:line="276" w:lineRule="auto"/>
              <w:rPr>
                <w:rFonts w:ascii="Arial" w:hAnsi="Arial" w:cs="Arial"/>
              </w:rPr>
            </w:pPr>
            <w:r w:rsidRPr="00F7228F">
              <w:rPr>
                <w:rFonts w:ascii="Arial" w:hAnsi="Arial" w:cs="Arial"/>
              </w:rPr>
              <w:t>III</w:t>
            </w:r>
          </w:p>
        </w:tc>
        <w:tc>
          <w:tcPr>
            <w:tcW w:w="944" w:type="pct"/>
          </w:tcPr>
          <w:p w14:paraId="4F6DECCC" w14:textId="77777777" w:rsidR="00236A5B" w:rsidRPr="00F7228F" w:rsidRDefault="00236A5B" w:rsidP="000B242D">
            <w:pPr>
              <w:spacing w:line="276" w:lineRule="auto"/>
              <w:rPr>
                <w:rFonts w:ascii="Arial" w:hAnsi="Arial" w:cs="Arial"/>
              </w:rPr>
            </w:pPr>
            <w:r w:rsidRPr="00F7228F">
              <w:rPr>
                <w:rFonts w:ascii="Arial" w:hAnsi="Arial" w:cs="Arial"/>
              </w:rPr>
              <w:t>4 (7.8)</w:t>
            </w:r>
          </w:p>
        </w:tc>
        <w:tc>
          <w:tcPr>
            <w:tcW w:w="1022" w:type="pct"/>
          </w:tcPr>
          <w:p w14:paraId="47223AD5" w14:textId="77777777" w:rsidR="00236A5B" w:rsidRPr="00F7228F" w:rsidRDefault="00236A5B" w:rsidP="000B242D">
            <w:pPr>
              <w:spacing w:line="276" w:lineRule="auto"/>
              <w:rPr>
                <w:rFonts w:ascii="Arial" w:hAnsi="Arial" w:cs="Arial"/>
              </w:rPr>
            </w:pPr>
            <w:r w:rsidRPr="00F7228F">
              <w:rPr>
                <w:rFonts w:ascii="Arial" w:hAnsi="Arial" w:cs="Arial"/>
              </w:rPr>
              <w:t>3 (9.4)</w:t>
            </w:r>
          </w:p>
        </w:tc>
        <w:tc>
          <w:tcPr>
            <w:tcW w:w="836" w:type="pct"/>
            <w:vMerge/>
          </w:tcPr>
          <w:p w14:paraId="0737C65D" w14:textId="77777777" w:rsidR="00236A5B" w:rsidRPr="00F7228F" w:rsidRDefault="00236A5B" w:rsidP="000B242D">
            <w:pPr>
              <w:spacing w:line="276" w:lineRule="auto"/>
              <w:rPr>
                <w:rFonts w:ascii="Arial" w:hAnsi="Arial" w:cs="Arial"/>
              </w:rPr>
            </w:pPr>
          </w:p>
        </w:tc>
      </w:tr>
      <w:tr w:rsidR="00236A5B" w:rsidRPr="00F7228F" w14:paraId="3CAC4FA0" w14:textId="77777777" w:rsidTr="00CB0BB6">
        <w:tc>
          <w:tcPr>
            <w:tcW w:w="1086" w:type="pct"/>
            <w:vMerge/>
          </w:tcPr>
          <w:p w14:paraId="7975CE71" w14:textId="77777777" w:rsidR="00236A5B" w:rsidRPr="00F7228F" w:rsidRDefault="00236A5B" w:rsidP="000B242D">
            <w:pPr>
              <w:spacing w:line="276" w:lineRule="auto"/>
              <w:rPr>
                <w:rFonts w:ascii="Arial" w:hAnsi="Arial" w:cs="Arial"/>
              </w:rPr>
            </w:pPr>
          </w:p>
        </w:tc>
        <w:tc>
          <w:tcPr>
            <w:tcW w:w="1112" w:type="pct"/>
          </w:tcPr>
          <w:p w14:paraId="377DB213" w14:textId="77777777" w:rsidR="00236A5B" w:rsidRPr="00F7228F" w:rsidRDefault="00236A5B" w:rsidP="000B242D">
            <w:pPr>
              <w:spacing w:line="276" w:lineRule="auto"/>
              <w:rPr>
                <w:rFonts w:ascii="Arial" w:hAnsi="Arial" w:cs="Arial"/>
              </w:rPr>
            </w:pPr>
            <w:r w:rsidRPr="00F7228F">
              <w:rPr>
                <w:rFonts w:ascii="Arial" w:hAnsi="Arial" w:cs="Arial"/>
              </w:rPr>
              <w:t>IV</w:t>
            </w:r>
          </w:p>
        </w:tc>
        <w:tc>
          <w:tcPr>
            <w:tcW w:w="944" w:type="pct"/>
          </w:tcPr>
          <w:p w14:paraId="6C255865" w14:textId="77777777" w:rsidR="00236A5B" w:rsidRPr="00F7228F" w:rsidRDefault="00236A5B" w:rsidP="000B242D">
            <w:pPr>
              <w:spacing w:line="276" w:lineRule="auto"/>
              <w:rPr>
                <w:rFonts w:ascii="Arial" w:hAnsi="Arial" w:cs="Arial"/>
              </w:rPr>
            </w:pPr>
            <w:r w:rsidRPr="00F7228F">
              <w:rPr>
                <w:rFonts w:ascii="Arial" w:hAnsi="Arial" w:cs="Arial"/>
              </w:rPr>
              <w:t>6 (11.8)</w:t>
            </w:r>
          </w:p>
        </w:tc>
        <w:tc>
          <w:tcPr>
            <w:tcW w:w="1022" w:type="pct"/>
          </w:tcPr>
          <w:p w14:paraId="6FBCFE32" w14:textId="77777777" w:rsidR="00236A5B" w:rsidRPr="00F7228F" w:rsidRDefault="00236A5B" w:rsidP="000B242D">
            <w:pPr>
              <w:spacing w:line="276" w:lineRule="auto"/>
              <w:rPr>
                <w:rFonts w:ascii="Arial" w:hAnsi="Arial" w:cs="Arial"/>
              </w:rPr>
            </w:pPr>
            <w:r w:rsidRPr="00F7228F">
              <w:rPr>
                <w:rFonts w:ascii="Arial" w:hAnsi="Arial" w:cs="Arial"/>
              </w:rPr>
              <w:t>17 (53.1)</w:t>
            </w:r>
          </w:p>
        </w:tc>
        <w:tc>
          <w:tcPr>
            <w:tcW w:w="836" w:type="pct"/>
            <w:vMerge/>
          </w:tcPr>
          <w:p w14:paraId="4070A665" w14:textId="77777777" w:rsidR="00236A5B" w:rsidRPr="00F7228F" w:rsidRDefault="00236A5B" w:rsidP="000B242D">
            <w:pPr>
              <w:spacing w:line="276" w:lineRule="auto"/>
              <w:rPr>
                <w:rFonts w:ascii="Arial" w:hAnsi="Arial" w:cs="Arial"/>
              </w:rPr>
            </w:pPr>
          </w:p>
        </w:tc>
      </w:tr>
      <w:tr w:rsidR="00236A5B" w:rsidRPr="00F7228F" w14:paraId="5F5FDA07" w14:textId="77777777" w:rsidTr="00CB0BB6">
        <w:tc>
          <w:tcPr>
            <w:tcW w:w="1086" w:type="pct"/>
            <w:vMerge/>
          </w:tcPr>
          <w:p w14:paraId="39778C49" w14:textId="77777777" w:rsidR="00236A5B" w:rsidRPr="00F7228F" w:rsidRDefault="00236A5B" w:rsidP="000B242D">
            <w:pPr>
              <w:spacing w:line="276" w:lineRule="auto"/>
              <w:rPr>
                <w:rFonts w:ascii="Arial" w:hAnsi="Arial" w:cs="Arial"/>
              </w:rPr>
            </w:pPr>
          </w:p>
        </w:tc>
        <w:tc>
          <w:tcPr>
            <w:tcW w:w="1112" w:type="pct"/>
          </w:tcPr>
          <w:p w14:paraId="3A4D9A39" w14:textId="77777777" w:rsidR="00236A5B" w:rsidRPr="00F7228F" w:rsidRDefault="00236A5B" w:rsidP="000B242D">
            <w:pPr>
              <w:spacing w:line="276" w:lineRule="auto"/>
              <w:rPr>
                <w:rFonts w:ascii="Arial" w:hAnsi="Arial" w:cs="Arial"/>
              </w:rPr>
            </w:pPr>
            <w:r w:rsidRPr="00F7228F">
              <w:rPr>
                <w:rFonts w:ascii="Arial" w:hAnsi="Arial" w:cs="Arial"/>
              </w:rPr>
              <w:t>V</w:t>
            </w:r>
          </w:p>
        </w:tc>
        <w:tc>
          <w:tcPr>
            <w:tcW w:w="944" w:type="pct"/>
          </w:tcPr>
          <w:p w14:paraId="4E223E0B" w14:textId="77777777" w:rsidR="00236A5B" w:rsidRPr="00F7228F" w:rsidRDefault="00236A5B" w:rsidP="000B242D">
            <w:pPr>
              <w:spacing w:line="276" w:lineRule="auto"/>
              <w:rPr>
                <w:rFonts w:ascii="Arial" w:hAnsi="Arial" w:cs="Arial"/>
              </w:rPr>
            </w:pPr>
            <w:r w:rsidRPr="00F7228F">
              <w:rPr>
                <w:rFonts w:ascii="Arial" w:hAnsi="Arial" w:cs="Arial"/>
              </w:rPr>
              <w:t>0 (0.0)</w:t>
            </w:r>
          </w:p>
        </w:tc>
        <w:tc>
          <w:tcPr>
            <w:tcW w:w="1022" w:type="pct"/>
          </w:tcPr>
          <w:p w14:paraId="12B314D3" w14:textId="77777777" w:rsidR="00236A5B" w:rsidRPr="00F7228F" w:rsidRDefault="00236A5B" w:rsidP="000B242D">
            <w:pPr>
              <w:spacing w:line="276" w:lineRule="auto"/>
              <w:rPr>
                <w:rFonts w:ascii="Arial" w:hAnsi="Arial" w:cs="Arial"/>
              </w:rPr>
            </w:pPr>
            <w:r w:rsidRPr="00F7228F">
              <w:rPr>
                <w:rFonts w:ascii="Arial" w:hAnsi="Arial" w:cs="Arial"/>
              </w:rPr>
              <w:t>4 (12.5)</w:t>
            </w:r>
          </w:p>
        </w:tc>
        <w:tc>
          <w:tcPr>
            <w:tcW w:w="836" w:type="pct"/>
            <w:vMerge/>
          </w:tcPr>
          <w:p w14:paraId="7B329A8C" w14:textId="77777777" w:rsidR="00236A5B" w:rsidRPr="00F7228F" w:rsidRDefault="00236A5B" w:rsidP="000B242D">
            <w:pPr>
              <w:spacing w:line="276" w:lineRule="auto"/>
              <w:rPr>
                <w:rFonts w:ascii="Arial" w:hAnsi="Arial" w:cs="Arial"/>
              </w:rPr>
            </w:pPr>
          </w:p>
        </w:tc>
      </w:tr>
      <w:tr w:rsidR="00236A5B" w:rsidRPr="00F7228F" w14:paraId="3D0A9156" w14:textId="77777777" w:rsidTr="00CB0BB6">
        <w:tc>
          <w:tcPr>
            <w:tcW w:w="2198" w:type="pct"/>
            <w:gridSpan w:val="2"/>
          </w:tcPr>
          <w:p w14:paraId="7B3C3168" w14:textId="77777777" w:rsidR="00236A5B" w:rsidRPr="00F7228F" w:rsidRDefault="00236A5B" w:rsidP="000B242D">
            <w:pPr>
              <w:spacing w:line="276" w:lineRule="auto"/>
              <w:rPr>
                <w:rFonts w:ascii="Arial" w:hAnsi="Arial" w:cs="Arial"/>
              </w:rPr>
            </w:pPr>
            <w:r w:rsidRPr="00F7228F">
              <w:rPr>
                <w:rFonts w:ascii="Arial" w:hAnsi="Arial" w:cs="Arial"/>
              </w:rPr>
              <w:t>Blood volume (cm</w:t>
            </w:r>
            <w:r w:rsidRPr="00F7228F">
              <w:rPr>
                <w:rFonts w:ascii="Arial" w:hAnsi="Arial" w:cs="Arial"/>
                <w:vertAlign w:val="superscript"/>
              </w:rPr>
              <w:t>3</w:t>
            </w:r>
            <w:r w:rsidRPr="00F7228F">
              <w:rPr>
                <w:rFonts w:ascii="Arial" w:hAnsi="Arial" w:cs="Arial"/>
              </w:rPr>
              <w:t>) [median, IQR]</w:t>
            </w:r>
          </w:p>
        </w:tc>
        <w:tc>
          <w:tcPr>
            <w:tcW w:w="944" w:type="pct"/>
          </w:tcPr>
          <w:p w14:paraId="4F404E14" w14:textId="77777777" w:rsidR="00236A5B" w:rsidRPr="00F7228F" w:rsidRDefault="00236A5B" w:rsidP="000B242D">
            <w:pPr>
              <w:spacing w:line="276" w:lineRule="auto"/>
              <w:rPr>
                <w:rFonts w:ascii="Arial" w:hAnsi="Arial" w:cs="Arial"/>
              </w:rPr>
            </w:pPr>
            <w:r w:rsidRPr="00F7228F">
              <w:rPr>
                <w:rFonts w:ascii="Arial" w:hAnsi="Arial" w:cs="Arial"/>
              </w:rPr>
              <w:t>17.3</w:t>
            </w:r>
          </w:p>
          <w:p w14:paraId="7100334C" w14:textId="77777777" w:rsidR="00236A5B" w:rsidRPr="00F7228F" w:rsidRDefault="00236A5B" w:rsidP="000B242D">
            <w:pPr>
              <w:spacing w:line="276" w:lineRule="auto"/>
              <w:rPr>
                <w:rFonts w:ascii="Arial" w:hAnsi="Arial" w:cs="Arial"/>
              </w:rPr>
            </w:pPr>
            <w:r w:rsidRPr="00F7228F">
              <w:rPr>
                <w:rFonts w:ascii="Arial" w:hAnsi="Arial" w:cs="Arial"/>
              </w:rPr>
              <w:t>(7.6 – 31.2)</w:t>
            </w:r>
          </w:p>
        </w:tc>
        <w:tc>
          <w:tcPr>
            <w:tcW w:w="1022" w:type="pct"/>
          </w:tcPr>
          <w:p w14:paraId="2FBCE93D" w14:textId="77777777" w:rsidR="00236A5B" w:rsidRPr="00F7228F" w:rsidRDefault="00236A5B" w:rsidP="000B242D">
            <w:pPr>
              <w:spacing w:line="276" w:lineRule="auto"/>
              <w:rPr>
                <w:rFonts w:ascii="Arial" w:hAnsi="Arial" w:cs="Arial"/>
              </w:rPr>
            </w:pPr>
            <w:r w:rsidRPr="00F7228F">
              <w:rPr>
                <w:rFonts w:ascii="Arial" w:hAnsi="Arial" w:cs="Arial"/>
              </w:rPr>
              <w:t>28.5</w:t>
            </w:r>
          </w:p>
          <w:p w14:paraId="7D4CA219" w14:textId="77777777" w:rsidR="00236A5B" w:rsidRPr="00F7228F" w:rsidRDefault="00236A5B" w:rsidP="000B242D">
            <w:pPr>
              <w:spacing w:line="276" w:lineRule="auto"/>
              <w:rPr>
                <w:rFonts w:ascii="Arial" w:hAnsi="Arial" w:cs="Arial"/>
              </w:rPr>
            </w:pPr>
            <w:r w:rsidRPr="00F7228F">
              <w:rPr>
                <w:rFonts w:ascii="Arial" w:hAnsi="Arial" w:cs="Arial"/>
              </w:rPr>
              <w:t>(11.9 – 44.9)</w:t>
            </w:r>
          </w:p>
        </w:tc>
        <w:tc>
          <w:tcPr>
            <w:tcW w:w="836" w:type="pct"/>
          </w:tcPr>
          <w:p w14:paraId="7FF38A38" w14:textId="77777777" w:rsidR="00236A5B" w:rsidRPr="00F7228F" w:rsidRDefault="00236A5B" w:rsidP="000B242D">
            <w:pPr>
              <w:spacing w:line="276" w:lineRule="auto"/>
              <w:rPr>
                <w:rFonts w:ascii="Arial" w:hAnsi="Arial" w:cs="Arial"/>
              </w:rPr>
            </w:pPr>
            <w:r w:rsidRPr="00F7228F">
              <w:rPr>
                <w:rFonts w:ascii="Arial" w:hAnsi="Arial" w:cs="Arial"/>
              </w:rPr>
              <w:t>0.022</w:t>
            </w:r>
            <w:r w:rsidRPr="00F7228F">
              <w:rPr>
                <w:rFonts w:ascii="Arial" w:hAnsi="Arial" w:cs="Arial"/>
                <w:vertAlign w:val="superscript"/>
              </w:rPr>
              <w:t xml:space="preserve"> b</w:t>
            </w:r>
          </w:p>
        </w:tc>
      </w:tr>
      <w:tr w:rsidR="00236A5B" w:rsidRPr="00F7228F" w14:paraId="29FA4511" w14:textId="77777777" w:rsidTr="00CB0BB6">
        <w:tc>
          <w:tcPr>
            <w:tcW w:w="1086" w:type="pct"/>
            <w:vMerge w:val="restart"/>
          </w:tcPr>
          <w:p w14:paraId="597667FB" w14:textId="77777777" w:rsidR="00236A5B" w:rsidRPr="00F7228F" w:rsidRDefault="00236A5B" w:rsidP="000B242D">
            <w:pPr>
              <w:spacing w:line="276" w:lineRule="auto"/>
              <w:rPr>
                <w:rFonts w:ascii="Arial" w:hAnsi="Arial" w:cs="Arial"/>
              </w:rPr>
            </w:pPr>
            <w:r w:rsidRPr="00F7228F">
              <w:rPr>
                <w:rFonts w:ascii="Arial" w:hAnsi="Arial" w:cs="Arial"/>
              </w:rPr>
              <w:t>Intracerebral haemorrhage present (n, %)</w:t>
            </w:r>
          </w:p>
        </w:tc>
        <w:tc>
          <w:tcPr>
            <w:tcW w:w="1112" w:type="pct"/>
          </w:tcPr>
          <w:p w14:paraId="2E7FFCEC"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7F16C36C" w14:textId="77777777" w:rsidR="00236A5B" w:rsidRPr="00F7228F" w:rsidRDefault="00236A5B" w:rsidP="000B242D">
            <w:pPr>
              <w:spacing w:line="276" w:lineRule="auto"/>
              <w:rPr>
                <w:rFonts w:ascii="Arial" w:hAnsi="Arial" w:cs="Arial"/>
              </w:rPr>
            </w:pPr>
            <w:r w:rsidRPr="00F7228F">
              <w:rPr>
                <w:rFonts w:ascii="Arial" w:hAnsi="Arial" w:cs="Arial"/>
              </w:rPr>
              <w:t>7 (13.7)</w:t>
            </w:r>
          </w:p>
        </w:tc>
        <w:tc>
          <w:tcPr>
            <w:tcW w:w="1022" w:type="pct"/>
          </w:tcPr>
          <w:p w14:paraId="2753F056" w14:textId="77777777" w:rsidR="00236A5B" w:rsidRPr="00F7228F" w:rsidRDefault="00236A5B" w:rsidP="000B242D">
            <w:pPr>
              <w:spacing w:line="276" w:lineRule="auto"/>
              <w:rPr>
                <w:rFonts w:ascii="Arial" w:hAnsi="Arial" w:cs="Arial"/>
              </w:rPr>
            </w:pPr>
            <w:r w:rsidRPr="00F7228F">
              <w:rPr>
                <w:rFonts w:ascii="Arial" w:hAnsi="Arial" w:cs="Arial"/>
              </w:rPr>
              <w:t>5 (15.6)</w:t>
            </w:r>
          </w:p>
        </w:tc>
        <w:tc>
          <w:tcPr>
            <w:tcW w:w="836" w:type="pct"/>
            <w:vMerge w:val="restart"/>
          </w:tcPr>
          <w:p w14:paraId="5A37CE82" w14:textId="77777777" w:rsidR="00236A5B" w:rsidRPr="00F7228F" w:rsidRDefault="00236A5B" w:rsidP="000B242D">
            <w:pPr>
              <w:spacing w:line="276" w:lineRule="auto"/>
              <w:rPr>
                <w:rFonts w:ascii="Arial" w:hAnsi="Arial" w:cs="Arial"/>
              </w:rPr>
            </w:pPr>
            <w:r w:rsidRPr="00F7228F">
              <w:rPr>
                <w:rFonts w:ascii="Arial" w:hAnsi="Arial" w:cs="Arial"/>
              </w:rPr>
              <w:t xml:space="preserve">1.000 </w:t>
            </w:r>
            <w:r w:rsidRPr="00F7228F">
              <w:rPr>
                <w:rFonts w:ascii="Arial" w:hAnsi="Arial" w:cs="Arial"/>
                <w:vertAlign w:val="superscript"/>
              </w:rPr>
              <w:t>a</w:t>
            </w:r>
          </w:p>
        </w:tc>
      </w:tr>
      <w:tr w:rsidR="00236A5B" w:rsidRPr="00F7228F" w14:paraId="0DD69F8F" w14:textId="77777777" w:rsidTr="00CB0BB6">
        <w:tc>
          <w:tcPr>
            <w:tcW w:w="1086" w:type="pct"/>
            <w:vMerge/>
          </w:tcPr>
          <w:p w14:paraId="01386FFA" w14:textId="77777777" w:rsidR="00236A5B" w:rsidRPr="00F7228F" w:rsidRDefault="00236A5B" w:rsidP="000B242D">
            <w:pPr>
              <w:spacing w:line="276" w:lineRule="auto"/>
              <w:rPr>
                <w:rFonts w:ascii="Arial" w:hAnsi="Arial" w:cs="Arial"/>
              </w:rPr>
            </w:pPr>
          </w:p>
        </w:tc>
        <w:tc>
          <w:tcPr>
            <w:tcW w:w="1112" w:type="pct"/>
          </w:tcPr>
          <w:p w14:paraId="6D2C7247"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5D29114B" w14:textId="77777777" w:rsidR="00236A5B" w:rsidRPr="00F7228F" w:rsidRDefault="00236A5B" w:rsidP="000B242D">
            <w:pPr>
              <w:spacing w:line="276" w:lineRule="auto"/>
              <w:rPr>
                <w:rFonts w:ascii="Arial" w:hAnsi="Arial" w:cs="Arial"/>
              </w:rPr>
            </w:pPr>
            <w:r w:rsidRPr="00F7228F">
              <w:rPr>
                <w:rFonts w:ascii="Arial" w:hAnsi="Arial" w:cs="Arial"/>
              </w:rPr>
              <w:t>44 (86.3)</w:t>
            </w:r>
          </w:p>
        </w:tc>
        <w:tc>
          <w:tcPr>
            <w:tcW w:w="1022" w:type="pct"/>
          </w:tcPr>
          <w:p w14:paraId="0B89473C" w14:textId="77777777" w:rsidR="00236A5B" w:rsidRPr="00F7228F" w:rsidRDefault="00236A5B" w:rsidP="000B242D">
            <w:pPr>
              <w:spacing w:line="276" w:lineRule="auto"/>
              <w:rPr>
                <w:rFonts w:ascii="Arial" w:hAnsi="Arial" w:cs="Arial"/>
              </w:rPr>
            </w:pPr>
            <w:r w:rsidRPr="00F7228F">
              <w:rPr>
                <w:rFonts w:ascii="Arial" w:hAnsi="Arial" w:cs="Arial"/>
              </w:rPr>
              <w:t>27 (84.4)</w:t>
            </w:r>
          </w:p>
        </w:tc>
        <w:tc>
          <w:tcPr>
            <w:tcW w:w="836" w:type="pct"/>
            <w:vMerge/>
          </w:tcPr>
          <w:p w14:paraId="2C7E8C3C" w14:textId="77777777" w:rsidR="00236A5B" w:rsidRPr="00F7228F" w:rsidRDefault="00236A5B" w:rsidP="000B242D">
            <w:pPr>
              <w:spacing w:line="276" w:lineRule="auto"/>
              <w:rPr>
                <w:rFonts w:ascii="Arial" w:hAnsi="Arial" w:cs="Arial"/>
              </w:rPr>
            </w:pPr>
          </w:p>
        </w:tc>
      </w:tr>
      <w:tr w:rsidR="00236A5B" w:rsidRPr="00F7228F" w14:paraId="474793DD" w14:textId="77777777" w:rsidTr="00CB0BB6">
        <w:tc>
          <w:tcPr>
            <w:tcW w:w="1086" w:type="pct"/>
            <w:vMerge w:val="restart"/>
          </w:tcPr>
          <w:p w14:paraId="7DB3E88B" w14:textId="77777777" w:rsidR="00236A5B" w:rsidRPr="00F7228F" w:rsidRDefault="00236A5B" w:rsidP="000B242D">
            <w:pPr>
              <w:spacing w:line="276" w:lineRule="auto"/>
              <w:rPr>
                <w:rFonts w:ascii="Arial" w:hAnsi="Arial" w:cs="Arial"/>
              </w:rPr>
            </w:pPr>
            <w:r w:rsidRPr="00F7228F">
              <w:rPr>
                <w:rFonts w:ascii="Arial" w:hAnsi="Arial" w:cs="Arial"/>
              </w:rPr>
              <w:t>Intraventricular haemorrhage present (n, %)</w:t>
            </w:r>
          </w:p>
        </w:tc>
        <w:tc>
          <w:tcPr>
            <w:tcW w:w="1112" w:type="pct"/>
          </w:tcPr>
          <w:p w14:paraId="79ED1427" w14:textId="77777777" w:rsidR="00236A5B" w:rsidRPr="00F7228F" w:rsidRDefault="00236A5B" w:rsidP="000B242D">
            <w:pPr>
              <w:spacing w:line="276" w:lineRule="auto"/>
              <w:rPr>
                <w:rFonts w:ascii="Arial" w:hAnsi="Arial" w:cs="Arial"/>
              </w:rPr>
            </w:pPr>
            <w:r w:rsidRPr="00F7228F">
              <w:rPr>
                <w:rFonts w:ascii="Arial" w:hAnsi="Arial" w:cs="Arial"/>
              </w:rPr>
              <w:t>Yes</w:t>
            </w:r>
          </w:p>
        </w:tc>
        <w:tc>
          <w:tcPr>
            <w:tcW w:w="944" w:type="pct"/>
          </w:tcPr>
          <w:p w14:paraId="172B1F85" w14:textId="77777777" w:rsidR="00236A5B" w:rsidRPr="00F7228F" w:rsidRDefault="00236A5B" w:rsidP="000B242D">
            <w:pPr>
              <w:spacing w:line="276" w:lineRule="auto"/>
              <w:rPr>
                <w:rFonts w:ascii="Arial" w:hAnsi="Arial" w:cs="Arial"/>
              </w:rPr>
            </w:pPr>
            <w:r w:rsidRPr="00F7228F">
              <w:rPr>
                <w:rFonts w:ascii="Arial" w:hAnsi="Arial" w:cs="Arial"/>
              </w:rPr>
              <w:t>32 (62.8)</w:t>
            </w:r>
          </w:p>
        </w:tc>
        <w:tc>
          <w:tcPr>
            <w:tcW w:w="1022" w:type="pct"/>
          </w:tcPr>
          <w:p w14:paraId="6C64F4D3" w14:textId="77777777" w:rsidR="00236A5B" w:rsidRPr="00F7228F" w:rsidRDefault="00236A5B" w:rsidP="000B242D">
            <w:pPr>
              <w:spacing w:line="276" w:lineRule="auto"/>
              <w:rPr>
                <w:rFonts w:ascii="Arial" w:hAnsi="Arial" w:cs="Arial"/>
              </w:rPr>
            </w:pPr>
            <w:r w:rsidRPr="00F7228F">
              <w:rPr>
                <w:rFonts w:ascii="Arial" w:hAnsi="Arial" w:cs="Arial"/>
              </w:rPr>
              <w:t>31 (96.9)</w:t>
            </w:r>
          </w:p>
        </w:tc>
        <w:tc>
          <w:tcPr>
            <w:tcW w:w="836" w:type="pct"/>
            <w:vMerge w:val="restart"/>
          </w:tcPr>
          <w:p w14:paraId="781135BD" w14:textId="77777777" w:rsidR="00236A5B" w:rsidRPr="00F7228F" w:rsidRDefault="00236A5B" w:rsidP="000B242D">
            <w:pPr>
              <w:spacing w:line="276" w:lineRule="auto"/>
              <w:rPr>
                <w:rFonts w:ascii="Arial" w:hAnsi="Arial" w:cs="Arial"/>
              </w:rPr>
            </w:pPr>
            <w:r w:rsidRPr="00F7228F">
              <w:rPr>
                <w:rFonts w:ascii="Arial" w:hAnsi="Arial" w:cs="Arial"/>
              </w:rPr>
              <w:t xml:space="preserve">&lt; 0.001 </w:t>
            </w:r>
            <w:r w:rsidRPr="00F7228F">
              <w:rPr>
                <w:rFonts w:ascii="Arial" w:hAnsi="Arial" w:cs="Arial"/>
                <w:vertAlign w:val="superscript"/>
              </w:rPr>
              <w:t>a</w:t>
            </w:r>
          </w:p>
        </w:tc>
      </w:tr>
      <w:tr w:rsidR="00236A5B" w:rsidRPr="00F7228F" w14:paraId="002B4BBD" w14:textId="77777777" w:rsidTr="00CB0BB6">
        <w:tc>
          <w:tcPr>
            <w:tcW w:w="1086" w:type="pct"/>
            <w:vMerge/>
          </w:tcPr>
          <w:p w14:paraId="20005709" w14:textId="77777777" w:rsidR="00236A5B" w:rsidRPr="00F7228F" w:rsidRDefault="00236A5B" w:rsidP="000B242D">
            <w:pPr>
              <w:spacing w:line="276" w:lineRule="auto"/>
              <w:rPr>
                <w:rFonts w:ascii="Arial" w:hAnsi="Arial" w:cs="Arial"/>
              </w:rPr>
            </w:pPr>
          </w:p>
        </w:tc>
        <w:tc>
          <w:tcPr>
            <w:tcW w:w="1112" w:type="pct"/>
          </w:tcPr>
          <w:p w14:paraId="4817AE44" w14:textId="77777777" w:rsidR="00236A5B" w:rsidRPr="00F7228F" w:rsidRDefault="00236A5B" w:rsidP="000B242D">
            <w:pPr>
              <w:spacing w:line="276" w:lineRule="auto"/>
              <w:rPr>
                <w:rFonts w:ascii="Arial" w:hAnsi="Arial" w:cs="Arial"/>
              </w:rPr>
            </w:pPr>
            <w:r w:rsidRPr="00F7228F">
              <w:rPr>
                <w:rFonts w:ascii="Arial" w:hAnsi="Arial" w:cs="Arial"/>
              </w:rPr>
              <w:t>No</w:t>
            </w:r>
          </w:p>
        </w:tc>
        <w:tc>
          <w:tcPr>
            <w:tcW w:w="944" w:type="pct"/>
          </w:tcPr>
          <w:p w14:paraId="4F8530CE" w14:textId="77777777" w:rsidR="00236A5B" w:rsidRPr="00F7228F" w:rsidRDefault="00236A5B" w:rsidP="000B242D">
            <w:pPr>
              <w:spacing w:line="276" w:lineRule="auto"/>
              <w:rPr>
                <w:rFonts w:ascii="Arial" w:hAnsi="Arial" w:cs="Arial"/>
              </w:rPr>
            </w:pPr>
            <w:r w:rsidRPr="00F7228F">
              <w:rPr>
                <w:rFonts w:ascii="Arial" w:hAnsi="Arial" w:cs="Arial"/>
              </w:rPr>
              <w:t>19 (37.3)</w:t>
            </w:r>
          </w:p>
        </w:tc>
        <w:tc>
          <w:tcPr>
            <w:tcW w:w="1022" w:type="pct"/>
          </w:tcPr>
          <w:p w14:paraId="43AE4154" w14:textId="77777777" w:rsidR="00236A5B" w:rsidRPr="00F7228F" w:rsidRDefault="00236A5B" w:rsidP="000B242D">
            <w:pPr>
              <w:spacing w:line="276" w:lineRule="auto"/>
              <w:rPr>
                <w:rFonts w:ascii="Arial" w:hAnsi="Arial" w:cs="Arial"/>
              </w:rPr>
            </w:pPr>
            <w:r w:rsidRPr="00F7228F">
              <w:rPr>
                <w:rFonts w:ascii="Arial" w:hAnsi="Arial" w:cs="Arial"/>
              </w:rPr>
              <w:t>1 (3.1)</w:t>
            </w:r>
          </w:p>
        </w:tc>
        <w:tc>
          <w:tcPr>
            <w:tcW w:w="836" w:type="pct"/>
            <w:vMerge/>
          </w:tcPr>
          <w:p w14:paraId="0F0CFBF9" w14:textId="77777777" w:rsidR="00236A5B" w:rsidRPr="00F7228F" w:rsidRDefault="00236A5B" w:rsidP="000B242D">
            <w:pPr>
              <w:spacing w:line="276" w:lineRule="auto"/>
              <w:rPr>
                <w:rFonts w:ascii="Arial" w:hAnsi="Arial" w:cs="Arial"/>
              </w:rPr>
            </w:pPr>
          </w:p>
        </w:tc>
      </w:tr>
      <w:tr w:rsidR="00EB401D" w:rsidRPr="00F7228F" w14:paraId="54357757" w14:textId="77777777" w:rsidTr="00CB0BB6">
        <w:tc>
          <w:tcPr>
            <w:tcW w:w="1086" w:type="pct"/>
            <w:vMerge w:val="restart"/>
          </w:tcPr>
          <w:p w14:paraId="0812A7C1" w14:textId="383927B4" w:rsidR="00EB401D" w:rsidRPr="00F7228F" w:rsidRDefault="00EB401D" w:rsidP="00EB401D">
            <w:pPr>
              <w:spacing w:line="276" w:lineRule="auto"/>
              <w:rPr>
                <w:rFonts w:ascii="Arial" w:hAnsi="Arial" w:cs="Arial"/>
              </w:rPr>
            </w:pPr>
            <w:r w:rsidRPr="00F7228F">
              <w:rPr>
                <w:rFonts w:ascii="Arial" w:hAnsi="Arial" w:cs="Arial"/>
              </w:rPr>
              <w:t>Given SFX-01 (n, %)</w:t>
            </w:r>
          </w:p>
        </w:tc>
        <w:tc>
          <w:tcPr>
            <w:tcW w:w="1112" w:type="pct"/>
          </w:tcPr>
          <w:p w14:paraId="4EBA50F5" w14:textId="03B4EA3A" w:rsidR="00EB401D" w:rsidRPr="00F7228F" w:rsidRDefault="00EB401D" w:rsidP="00EB401D">
            <w:pPr>
              <w:spacing w:line="276" w:lineRule="auto"/>
              <w:rPr>
                <w:rFonts w:ascii="Arial" w:hAnsi="Arial" w:cs="Arial"/>
              </w:rPr>
            </w:pPr>
            <w:r w:rsidRPr="00F7228F">
              <w:rPr>
                <w:rFonts w:ascii="Arial" w:hAnsi="Arial" w:cs="Arial"/>
              </w:rPr>
              <w:t>Yes</w:t>
            </w:r>
          </w:p>
        </w:tc>
        <w:tc>
          <w:tcPr>
            <w:tcW w:w="944" w:type="pct"/>
          </w:tcPr>
          <w:p w14:paraId="5CC0A988" w14:textId="6CFC2EE6" w:rsidR="00EB401D" w:rsidRPr="00F7228F" w:rsidRDefault="00126C3B" w:rsidP="00EB401D">
            <w:pPr>
              <w:spacing w:line="276" w:lineRule="auto"/>
              <w:rPr>
                <w:rFonts w:ascii="Arial" w:hAnsi="Arial" w:cs="Arial"/>
              </w:rPr>
            </w:pPr>
            <w:r w:rsidRPr="00F7228F">
              <w:rPr>
                <w:rFonts w:ascii="Arial" w:hAnsi="Arial" w:cs="Arial"/>
              </w:rPr>
              <w:t>27</w:t>
            </w:r>
            <w:r w:rsidR="00EB401D" w:rsidRPr="00F7228F">
              <w:rPr>
                <w:rFonts w:ascii="Arial" w:hAnsi="Arial" w:cs="Arial"/>
              </w:rPr>
              <w:t xml:space="preserve"> (5</w:t>
            </w:r>
            <w:r w:rsidRPr="00F7228F">
              <w:rPr>
                <w:rFonts w:ascii="Arial" w:hAnsi="Arial" w:cs="Arial"/>
              </w:rPr>
              <w:t>2</w:t>
            </w:r>
            <w:r w:rsidR="00EB401D" w:rsidRPr="00F7228F">
              <w:rPr>
                <w:rFonts w:ascii="Arial" w:hAnsi="Arial" w:cs="Arial"/>
              </w:rPr>
              <w:t>.</w:t>
            </w:r>
            <w:r w:rsidRPr="00F7228F">
              <w:rPr>
                <w:rFonts w:ascii="Arial" w:hAnsi="Arial" w:cs="Arial"/>
              </w:rPr>
              <w:t>9</w:t>
            </w:r>
            <w:r w:rsidR="00EB401D" w:rsidRPr="00F7228F">
              <w:rPr>
                <w:rFonts w:ascii="Arial" w:hAnsi="Arial" w:cs="Arial"/>
              </w:rPr>
              <w:t>)</w:t>
            </w:r>
          </w:p>
        </w:tc>
        <w:tc>
          <w:tcPr>
            <w:tcW w:w="1022" w:type="pct"/>
          </w:tcPr>
          <w:p w14:paraId="6634C123" w14:textId="25165BCC" w:rsidR="00EB401D" w:rsidRPr="00F7228F" w:rsidRDefault="00EB401D" w:rsidP="00EB401D">
            <w:pPr>
              <w:spacing w:line="276" w:lineRule="auto"/>
              <w:rPr>
                <w:rFonts w:ascii="Arial" w:hAnsi="Arial" w:cs="Arial"/>
              </w:rPr>
            </w:pPr>
            <w:r w:rsidRPr="00F7228F">
              <w:rPr>
                <w:rFonts w:ascii="Arial" w:hAnsi="Arial" w:cs="Arial"/>
              </w:rPr>
              <w:t>1</w:t>
            </w:r>
            <w:r w:rsidR="00126C3B" w:rsidRPr="00F7228F">
              <w:rPr>
                <w:rFonts w:ascii="Arial" w:hAnsi="Arial" w:cs="Arial"/>
              </w:rPr>
              <w:t>1</w:t>
            </w:r>
            <w:r w:rsidRPr="00F7228F">
              <w:rPr>
                <w:rFonts w:ascii="Arial" w:hAnsi="Arial" w:cs="Arial"/>
              </w:rPr>
              <w:t xml:space="preserve"> (</w:t>
            </w:r>
            <w:r w:rsidR="00126C3B" w:rsidRPr="00F7228F">
              <w:rPr>
                <w:rFonts w:ascii="Arial" w:hAnsi="Arial" w:cs="Arial"/>
              </w:rPr>
              <w:t>34.4</w:t>
            </w:r>
            <w:r w:rsidRPr="00F7228F">
              <w:rPr>
                <w:rFonts w:ascii="Arial" w:hAnsi="Arial" w:cs="Arial"/>
              </w:rPr>
              <w:t>)</w:t>
            </w:r>
          </w:p>
        </w:tc>
        <w:tc>
          <w:tcPr>
            <w:tcW w:w="836" w:type="pct"/>
            <w:vMerge w:val="restart"/>
          </w:tcPr>
          <w:p w14:paraId="10E249CA" w14:textId="4F8F7409" w:rsidR="00EB401D" w:rsidRPr="00F7228F" w:rsidRDefault="00EB401D" w:rsidP="00EB401D">
            <w:pPr>
              <w:spacing w:line="276" w:lineRule="auto"/>
              <w:rPr>
                <w:rFonts w:ascii="Arial" w:hAnsi="Arial" w:cs="Arial"/>
              </w:rPr>
            </w:pPr>
            <w:r w:rsidRPr="00F7228F">
              <w:rPr>
                <w:rFonts w:ascii="Arial" w:hAnsi="Arial" w:cs="Arial"/>
              </w:rPr>
              <w:t>0.</w:t>
            </w:r>
            <w:r w:rsidR="00126C3B" w:rsidRPr="00F7228F">
              <w:rPr>
                <w:rFonts w:ascii="Arial" w:hAnsi="Arial" w:cs="Arial"/>
              </w:rPr>
              <w:t>117</w:t>
            </w:r>
            <w:r w:rsidRPr="00F7228F">
              <w:rPr>
                <w:rFonts w:ascii="Arial" w:hAnsi="Arial" w:cs="Arial"/>
              </w:rPr>
              <w:t xml:space="preserve"> </w:t>
            </w:r>
            <w:r w:rsidRPr="00F7228F">
              <w:rPr>
                <w:rFonts w:ascii="Arial" w:hAnsi="Arial" w:cs="Arial"/>
                <w:vertAlign w:val="superscript"/>
              </w:rPr>
              <w:t>a</w:t>
            </w:r>
          </w:p>
        </w:tc>
      </w:tr>
      <w:tr w:rsidR="00EB401D" w:rsidRPr="00F7228F" w14:paraId="2EF1997B" w14:textId="77777777" w:rsidTr="00CB0BB6">
        <w:tc>
          <w:tcPr>
            <w:tcW w:w="1086" w:type="pct"/>
            <w:vMerge/>
          </w:tcPr>
          <w:p w14:paraId="2B2C3ADC" w14:textId="77777777" w:rsidR="00EB401D" w:rsidRPr="00F7228F" w:rsidRDefault="00EB401D" w:rsidP="00EB401D">
            <w:pPr>
              <w:spacing w:line="276" w:lineRule="auto"/>
              <w:rPr>
                <w:rFonts w:ascii="Arial" w:hAnsi="Arial" w:cs="Arial"/>
              </w:rPr>
            </w:pPr>
          </w:p>
        </w:tc>
        <w:tc>
          <w:tcPr>
            <w:tcW w:w="1112" w:type="pct"/>
          </w:tcPr>
          <w:p w14:paraId="5ADAE449" w14:textId="2D5DA49E" w:rsidR="00EB401D" w:rsidRPr="00F7228F" w:rsidRDefault="00EB401D" w:rsidP="00EB401D">
            <w:pPr>
              <w:spacing w:line="276" w:lineRule="auto"/>
              <w:rPr>
                <w:rFonts w:ascii="Arial" w:hAnsi="Arial" w:cs="Arial"/>
              </w:rPr>
            </w:pPr>
            <w:r w:rsidRPr="00F7228F">
              <w:rPr>
                <w:rFonts w:ascii="Arial" w:hAnsi="Arial" w:cs="Arial"/>
              </w:rPr>
              <w:t>No</w:t>
            </w:r>
          </w:p>
        </w:tc>
        <w:tc>
          <w:tcPr>
            <w:tcW w:w="944" w:type="pct"/>
          </w:tcPr>
          <w:p w14:paraId="1A74A09C" w14:textId="5DA3CC6A" w:rsidR="00EB401D" w:rsidRPr="00F7228F" w:rsidRDefault="00126C3B" w:rsidP="00EB401D">
            <w:pPr>
              <w:spacing w:line="276" w:lineRule="auto"/>
              <w:rPr>
                <w:rFonts w:ascii="Arial" w:hAnsi="Arial" w:cs="Arial"/>
              </w:rPr>
            </w:pPr>
            <w:r w:rsidRPr="00F7228F">
              <w:rPr>
                <w:rFonts w:ascii="Arial" w:hAnsi="Arial" w:cs="Arial"/>
              </w:rPr>
              <w:t>24</w:t>
            </w:r>
            <w:r w:rsidR="00EB401D" w:rsidRPr="00F7228F">
              <w:rPr>
                <w:rFonts w:ascii="Arial" w:hAnsi="Arial" w:cs="Arial"/>
              </w:rPr>
              <w:t xml:space="preserve"> (</w:t>
            </w:r>
            <w:r w:rsidRPr="00F7228F">
              <w:rPr>
                <w:rFonts w:ascii="Arial" w:hAnsi="Arial" w:cs="Arial"/>
              </w:rPr>
              <w:t>47.1</w:t>
            </w:r>
            <w:r w:rsidR="00EB401D" w:rsidRPr="00F7228F">
              <w:rPr>
                <w:rFonts w:ascii="Arial" w:hAnsi="Arial" w:cs="Arial"/>
              </w:rPr>
              <w:t>)</w:t>
            </w:r>
          </w:p>
        </w:tc>
        <w:tc>
          <w:tcPr>
            <w:tcW w:w="1022" w:type="pct"/>
          </w:tcPr>
          <w:p w14:paraId="07423D38" w14:textId="6D333391" w:rsidR="00EB401D" w:rsidRPr="00F7228F" w:rsidRDefault="00126C3B" w:rsidP="00EB401D">
            <w:pPr>
              <w:spacing w:line="276" w:lineRule="auto"/>
              <w:rPr>
                <w:rFonts w:ascii="Arial" w:hAnsi="Arial" w:cs="Arial"/>
              </w:rPr>
            </w:pPr>
            <w:r w:rsidRPr="00F7228F">
              <w:rPr>
                <w:rFonts w:ascii="Arial" w:hAnsi="Arial" w:cs="Arial"/>
              </w:rPr>
              <w:t>21</w:t>
            </w:r>
            <w:r w:rsidR="00EB401D" w:rsidRPr="00F7228F">
              <w:rPr>
                <w:rFonts w:ascii="Arial" w:hAnsi="Arial" w:cs="Arial"/>
              </w:rPr>
              <w:t xml:space="preserve"> (6</w:t>
            </w:r>
            <w:r w:rsidRPr="00F7228F">
              <w:rPr>
                <w:rFonts w:ascii="Arial" w:hAnsi="Arial" w:cs="Arial"/>
              </w:rPr>
              <w:t>5</w:t>
            </w:r>
            <w:r w:rsidR="00EB401D" w:rsidRPr="00F7228F">
              <w:rPr>
                <w:rFonts w:ascii="Arial" w:hAnsi="Arial" w:cs="Arial"/>
              </w:rPr>
              <w:t>.</w:t>
            </w:r>
            <w:r w:rsidRPr="00F7228F">
              <w:rPr>
                <w:rFonts w:ascii="Arial" w:hAnsi="Arial" w:cs="Arial"/>
              </w:rPr>
              <w:t>6</w:t>
            </w:r>
            <w:r w:rsidR="00EB401D" w:rsidRPr="00F7228F">
              <w:rPr>
                <w:rFonts w:ascii="Arial" w:hAnsi="Arial" w:cs="Arial"/>
              </w:rPr>
              <w:t>)</w:t>
            </w:r>
          </w:p>
        </w:tc>
        <w:tc>
          <w:tcPr>
            <w:tcW w:w="836" w:type="pct"/>
            <w:vMerge/>
          </w:tcPr>
          <w:p w14:paraId="133337D5" w14:textId="77777777" w:rsidR="00EB401D" w:rsidRPr="00F7228F" w:rsidRDefault="00EB401D" w:rsidP="00EB401D">
            <w:pPr>
              <w:spacing w:line="276" w:lineRule="auto"/>
              <w:rPr>
                <w:rFonts w:ascii="Arial" w:hAnsi="Arial" w:cs="Arial"/>
              </w:rPr>
            </w:pPr>
          </w:p>
        </w:tc>
      </w:tr>
      <w:tr w:rsidR="00EB401D" w:rsidRPr="00F7228F" w14:paraId="4B675237" w14:textId="77777777" w:rsidTr="00CB0BB6">
        <w:tc>
          <w:tcPr>
            <w:tcW w:w="1086" w:type="pct"/>
            <w:vMerge w:val="restart"/>
          </w:tcPr>
          <w:p w14:paraId="180541B1" w14:textId="77777777" w:rsidR="00EB401D" w:rsidRPr="00F7228F" w:rsidRDefault="00EB401D" w:rsidP="00EB401D">
            <w:pPr>
              <w:spacing w:line="276" w:lineRule="auto"/>
              <w:rPr>
                <w:rFonts w:ascii="Arial" w:hAnsi="Arial" w:cs="Arial"/>
              </w:rPr>
            </w:pPr>
            <w:r w:rsidRPr="00F7228F">
              <w:rPr>
                <w:rFonts w:ascii="Arial" w:hAnsi="Arial" w:cs="Arial"/>
              </w:rPr>
              <w:t>Aneurysm location (n, %)</w:t>
            </w:r>
          </w:p>
        </w:tc>
        <w:tc>
          <w:tcPr>
            <w:tcW w:w="1112" w:type="pct"/>
          </w:tcPr>
          <w:p w14:paraId="1CB5E757" w14:textId="77777777" w:rsidR="00EB401D" w:rsidRPr="00F7228F" w:rsidRDefault="00EB401D" w:rsidP="00EB401D">
            <w:pPr>
              <w:spacing w:line="276" w:lineRule="auto"/>
              <w:rPr>
                <w:rFonts w:ascii="Arial" w:hAnsi="Arial" w:cs="Arial"/>
              </w:rPr>
            </w:pPr>
            <w:r w:rsidRPr="00F7228F">
              <w:rPr>
                <w:rFonts w:ascii="Arial" w:hAnsi="Arial" w:cs="Arial"/>
              </w:rPr>
              <w:t xml:space="preserve">Anterior Cerebral </w:t>
            </w:r>
          </w:p>
        </w:tc>
        <w:tc>
          <w:tcPr>
            <w:tcW w:w="944" w:type="pct"/>
          </w:tcPr>
          <w:p w14:paraId="0978B3C1" w14:textId="77777777" w:rsidR="00EB401D" w:rsidRPr="00F7228F" w:rsidRDefault="00EB401D" w:rsidP="00EB401D">
            <w:pPr>
              <w:spacing w:line="276" w:lineRule="auto"/>
              <w:rPr>
                <w:rFonts w:ascii="Arial" w:hAnsi="Arial" w:cs="Arial"/>
              </w:rPr>
            </w:pPr>
            <w:r w:rsidRPr="00F7228F">
              <w:rPr>
                <w:rFonts w:ascii="Arial" w:hAnsi="Arial" w:cs="Arial"/>
              </w:rPr>
              <w:t>22 (43.1)</w:t>
            </w:r>
          </w:p>
        </w:tc>
        <w:tc>
          <w:tcPr>
            <w:tcW w:w="1022" w:type="pct"/>
          </w:tcPr>
          <w:p w14:paraId="7694B32D" w14:textId="77777777" w:rsidR="00EB401D" w:rsidRPr="00F7228F" w:rsidRDefault="00EB401D" w:rsidP="00EB401D">
            <w:pPr>
              <w:spacing w:line="276" w:lineRule="auto"/>
              <w:rPr>
                <w:rFonts w:ascii="Arial" w:hAnsi="Arial" w:cs="Arial"/>
              </w:rPr>
            </w:pPr>
            <w:r w:rsidRPr="00F7228F">
              <w:rPr>
                <w:rFonts w:ascii="Arial" w:hAnsi="Arial" w:cs="Arial"/>
              </w:rPr>
              <w:t>10 (31.3)</w:t>
            </w:r>
          </w:p>
        </w:tc>
        <w:tc>
          <w:tcPr>
            <w:tcW w:w="836" w:type="pct"/>
            <w:vMerge w:val="restart"/>
          </w:tcPr>
          <w:p w14:paraId="41AAAACD" w14:textId="77777777" w:rsidR="00EB401D" w:rsidRPr="00F7228F" w:rsidRDefault="00EB401D" w:rsidP="00EB401D">
            <w:pPr>
              <w:spacing w:line="276" w:lineRule="auto"/>
              <w:rPr>
                <w:rFonts w:ascii="Arial" w:hAnsi="Arial" w:cs="Arial"/>
              </w:rPr>
            </w:pPr>
            <w:r w:rsidRPr="00F7228F">
              <w:rPr>
                <w:rFonts w:ascii="Arial" w:hAnsi="Arial" w:cs="Arial"/>
              </w:rPr>
              <w:t xml:space="preserve">0.050 </w:t>
            </w:r>
            <w:r w:rsidRPr="00F7228F">
              <w:rPr>
                <w:rFonts w:ascii="Arial" w:hAnsi="Arial" w:cs="Arial"/>
                <w:vertAlign w:val="superscript"/>
              </w:rPr>
              <w:t>a</w:t>
            </w:r>
          </w:p>
        </w:tc>
      </w:tr>
      <w:tr w:rsidR="00EB401D" w:rsidRPr="00F7228F" w14:paraId="14B63FBC" w14:textId="77777777" w:rsidTr="00CB0BB6">
        <w:tc>
          <w:tcPr>
            <w:tcW w:w="1086" w:type="pct"/>
            <w:vMerge/>
          </w:tcPr>
          <w:p w14:paraId="55C9D65B" w14:textId="77777777" w:rsidR="00EB401D" w:rsidRPr="00F7228F" w:rsidRDefault="00EB401D" w:rsidP="00EB401D">
            <w:pPr>
              <w:spacing w:line="276" w:lineRule="auto"/>
              <w:rPr>
                <w:rFonts w:ascii="Arial" w:hAnsi="Arial" w:cs="Arial"/>
              </w:rPr>
            </w:pPr>
          </w:p>
        </w:tc>
        <w:tc>
          <w:tcPr>
            <w:tcW w:w="1112" w:type="pct"/>
            <w:shd w:val="clear" w:color="auto" w:fill="auto"/>
          </w:tcPr>
          <w:p w14:paraId="3B313AC0" w14:textId="77777777" w:rsidR="00EB401D" w:rsidRPr="00F7228F" w:rsidRDefault="00EB401D" w:rsidP="00EB401D">
            <w:pPr>
              <w:spacing w:line="276" w:lineRule="auto"/>
              <w:rPr>
                <w:rFonts w:ascii="Arial" w:hAnsi="Arial" w:cs="Arial"/>
              </w:rPr>
            </w:pPr>
            <w:r w:rsidRPr="00F7228F">
              <w:rPr>
                <w:rFonts w:ascii="Arial" w:hAnsi="Arial" w:cs="Arial"/>
              </w:rPr>
              <w:t xml:space="preserve">Internal Carotid </w:t>
            </w:r>
          </w:p>
        </w:tc>
        <w:tc>
          <w:tcPr>
            <w:tcW w:w="944" w:type="pct"/>
          </w:tcPr>
          <w:p w14:paraId="6AA79B7C" w14:textId="77777777" w:rsidR="00EB401D" w:rsidRPr="00F7228F" w:rsidRDefault="00EB401D" w:rsidP="00EB401D">
            <w:pPr>
              <w:spacing w:line="276" w:lineRule="auto"/>
              <w:rPr>
                <w:rFonts w:ascii="Arial" w:hAnsi="Arial" w:cs="Arial"/>
              </w:rPr>
            </w:pPr>
            <w:r w:rsidRPr="00F7228F">
              <w:rPr>
                <w:rFonts w:ascii="Arial" w:hAnsi="Arial" w:cs="Arial"/>
              </w:rPr>
              <w:t>11 (21.6)</w:t>
            </w:r>
          </w:p>
        </w:tc>
        <w:tc>
          <w:tcPr>
            <w:tcW w:w="1022" w:type="pct"/>
          </w:tcPr>
          <w:p w14:paraId="3B04C5AE" w14:textId="77777777" w:rsidR="00EB401D" w:rsidRPr="00F7228F" w:rsidRDefault="00EB401D" w:rsidP="00EB401D">
            <w:pPr>
              <w:spacing w:line="276" w:lineRule="auto"/>
              <w:rPr>
                <w:rFonts w:ascii="Arial" w:hAnsi="Arial" w:cs="Arial"/>
              </w:rPr>
            </w:pPr>
            <w:r w:rsidRPr="00F7228F">
              <w:rPr>
                <w:rFonts w:ascii="Arial" w:hAnsi="Arial" w:cs="Arial"/>
              </w:rPr>
              <w:t>4 (12.5)</w:t>
            </w:r>
          </w:p>
        </w:tc>
        <w:tc>
          <w:tcPr>
            <w:tcW w:w="836" w:type="pct"/>
            <w:vMerge/>
          </w:tcPr>
          <w:p w14:paraId="412071B0" w14:textId="77777777" w:rsidR="00EB401D" w:rsidRPr="00F7228F" w:rsidRDefault="00EB401D" w:rsidP="00EB401D">
            <w:pPr>
              <w:spacing w:line="276" w:lineRule="auto"/>
              <w:rPr>
                <w:rFonts w:ascii="Arial" w:hAnsi="Arial" w:cs="Arial"/>
              </w:rPr>
            </w:pPr>
          </w:p>
        </w:tc>
      </w:tr>
      <w:tr w:rsidR="00EB401D" w:rsidRPr="00F7228F" w14:paraId="72E61328" w14:textId="77777777" w:rsidTr="00CB0BB6">
        <w:tc>
          <w:tcPr>
            <w:tcW w:w="1086" w:type="pct"/>
            <w:vMerge/>
          </w:tcPr>
          <w:p w14:paraId="2EB7DE1F" w14:textId="77777777" w:rsidR="00EB401D" w:rsidRPr="00F7228F" w:rsidRDefault="00EB401D" w:rsidP="00EB401D">
            <w:pPr>
              <w:spacing w:line="276" w:lineRule="auto"/>
              <w:rPr>
                <w:rFonts w:ascii="Arial" w:hAnsi="Arial" w:cs="Arial"/>
              </w:rPr>
            </w:pPr>
          </w:p>
        </w:tc>
        <w:tc>
          <w:tcPr>
            <w:tcW w:w="1112" w:type="pct"/>
          </w:tcPr>
          <w:p w14:paraId="5ED12865" w14:textId="77777777" w:rsidR="00EB401D" w:rsidRPr="00F7228F" w:rsidRDefault="00EB401D" w:rsidP="00EB401D">
            <w:pPr>
              <w:spacing w:line="276" w:lineRule="auto"/>
              <w:rPr>
                <w:rFonts w:ascii="Arial" w:hAnsi="Arial" w:cs="Arial"/>
              </w:rPr>
            </w:pPr>
            <w:r w:rsidRPr="00F7228F">
              <w:rPr>
                <w:rFonts w:ascii="Arial" w:hAnsi="Arial" w:cs="Arial"/>
              </w:rPr>
              <w:t xml:space="preserve">Middle Cerebral </w:t>
            </w:r>
          </w:p>
        </w:tc>
        <w:tc>
          <w:tcPr>
            <w:tcW w:w="944" w:type="pct"/>
          </w:tcPr>
          <w:p w14:paraId="1907A26E" w14:textId="77777777" w:rsidR="00EB401D" w:rsidRPr="00F7228F" w:rsidRDefault="00EB401D" w:rsidP="00EB401D">
            <w:pPr>
              <w:spacing w:line="276" w:lineRule="auto"/>
              <w:rPr>
                <w:rFonts w:ascii="Arial" w:hAnsi="Arial" w:cs="Arial"/>
              </w:rPr>
            </w:pPr>
            <w:r w:rsidRPr="00F7228F">
              <w:rPr>
                <w:rFonts w:ascii="Arial" w:hAnsi="Arial" w:cs="Arial"/>
              </w:rPr>
              <w:t>13 (25.5)</w:t>
            </w:r>
          </w:p>
        </w:tc>
        <w:tc>
          <w:tcPr>
            <w:tcW w:w="1022" w:type="pct"/>
          </w:tcPr>
          <w:p w14:paraId="54EF137A" w14:textId="77777777" w:rsidR="00EB401D" w:rsidRPr="00F7228F" w:rsidRDefault="00EB401D" w:rsidP="00EB401D">
            <w:pPr>
              <w:spacing w:line="276" w:lineRule="auto"/>
              <w:rPr>
                <w:rFonts w:ascii="Arial" w:hAnsi="Arial" w:cs="Arial"/>
              </w:rPr>
            </w:pPr>
            <w:r w:rsidRPr="00F7228F">
              <w:rPr>
                <w:rFonts w:ascii="Arial" w:hAnsi="Arial" w:cs="Arial"/>
              </w:rPr>
              <w:t>9 (28.1)</w:t>
            </w:r>
          </w:p>
        </w:tc>
        <w:tc>
          <w:tcPr>
            <w:tcW w:w="836" w:type="pct"/>
            <w:vMerge/>
          </w:tcPr>
          <w:p w14:paraId="72CB0E07" w14:textId="77777777" w:rsidR="00EB401D" w:rsidRPr="00F7228F" w:rsidRDefault="00EB401D" w:rsidP="00EB401D">
            <w:pPr>
              <w:spacing w:line="276" w:lineRule="auto"/>
              <w:rPr>
                <w:rFonts w:ascii="Arial" w:hAnsi="Arial" w:cs="Arial"/>
              </w:rPr>
            </w:pPr>
          </w:p>
        </w:tc>
      </w:tr>
      <w:tr w:rsidR="00EB401D" w:rsidRPr="00F7228F" w14:paraId="76AC5F8B" w14:textId="77777777" w:rsidTr="00CB0BB6">
        <w:tc>
          <w:tcPr>
            <w:tcW w:w="1086" w:type="pct"/>
            <w:vMerge/>
          </w:tcPr>
          <w:p w14:paraId="7F79E608" w14:textId="77777777" w:rsidR="00EB401D" w:rsidRPr="00F7228F" w:rsidRDefault="00EB401D" w:rsidP="00EB401D">
            <w:pPr>
              <w:spacing w:line="276" w:lineRule="auto"/>
              <w:rPr>
                <w:rFonts w:ascii="Arial" w:hAnsi="Arial" w:cs="Arial"/>
              </w:rPr>
            </w:pPr>
          </w:p>
        </w:tc>
        <w:tc>
          <w:tcPr>
            <w:tcW w:w="1112" w:type="pct"/>
          </w:tcPr>
          <w:p w14:paraId="027AAE88" w14:textId="77777777" w:rsidR="00EB401D" w:rsidRPr="00F7228F" w:rsidRDefault="00EB401D" w:rsidP="00EB401D">
            <w:pPr>
              <w:spacing w:line="276" w:lineRule="auto"/>
              <w:rPr>
                <w:rFonts w:ascii="Arial" w:hAnsi="Arial" w:cs="Arial"/>
              </w:rPr>
            </w:pPr>
            <w:r w:rsidRPr="00F7228F">
              <w:rPr>
                <w:rFonts w:ascii="Arial" w:hAnsi="Arial" w:cs="Arial"/>
              </w:rPr>
              <w:t>Vertebrobasilar</w:t>
            </w:r>
          </w:p>
        </w:tc>
        <w:tc>
          <w:tcPr>
            <w:tcW w:w="944" w:type="pct"/>
          </w:tcPr>
          <w:p w14:paraId="378640FE" w14:textId="77777777" w:rsidR="00EB401D" w:rsidRPr="00F7228F" w:rsidRDefault="00EB401D" w:rsidP="00EB401D">
            <w:pPr>
              <w:spacing w:line="276" w:lineRule="auto"/>
              <w:rPr>
                <w:rFonts w:ascii="Arial" w:hAnsi="Arial" w:cs="Arial"/>
              </w:rPr>
            </w:pPr>
            <w:r w:rsidRPr="00F7228F">
              <w:rPr>
                <w:rFonts w:ascii="Arial" w:hAnsi="Arial" w:cs="Arial"/>
              </w:rPr>
              <w:t>3 (5.9)</w:t>
            </w:r>
          </w:p>
        </w:tc>
        <w:tc>
          <w:tcPr>
            <w:tcW w:w="1022" w:type="pct"/>
          </w:tcPr>
          <w:p w14:paraId="347822D9" w14:textId="77777777" w:rsidR="00EB401D" w:rsidRPr="00F7228F" w:rsidRDefault="00EB401D" w:rsidP="00EB401D">
            <w:pPr>
              <w:spacing w:line="276" w:lineRule="auto"/>
              <w:rPr>
                <w:rFonts w:ascii="Arial" w:hAnsi="Arial" w:cs="Arial"/>
              </w:rPr>
            </w:pPr>
            <w:r w:rsidRPr="00F7228F">
              <w:rPr>
                <w:rFonts w:ascii="Arial" w:hAnsi="Arial" w:cs="Arial"/>
              </w:rPr>
              <w:t>9 (28.1)</w:t>
            </w:r>
          </w:p>
        </w:tc>
        <w:tc>
          <w:tcPr>
            <w:tcW w:w="836" w:type="pct"/>
            <w:vMerge/>
          </w:tcPr>
          <w:p w14:paraId="7FDDAFC0" w14:textId="77777777" w:rsidR="00EB401D" w:rsidRPr="00F7228F" w:rsidRDefault="00EB401D" w:rsidP="00EB401D">
            <w:pPr>
              <w:spacing w:line="276" w:lineRule="auto"/>
              <w:rPr>
                <w:rFonts w:ascii="Arial" w:hAnsi="Arial" w:cs="Arial"/>
              </w:rPr>
            </w:pPr>
          </w:p>
        </w:tc>
      </w:tr>
      <w:tr w:rsidR="00EB401D" w:rsidRPr="00F7228F" w14:paraId="0FDB1FF2" w14:textId="77777777" w:rsidTr="00CB0BB6">
        <w:tc>
          <w:tcPr>
            <w:tcW w:w="1086" w:type="pct"/>
            <w:vMerge/>
          </w:tcPr>
          <w:p w14:paraId="4DDA4F02" w14:textId="77777777" w:rsidR="00EB401D" w:rsidRPr="00F7228F" w:rsidRDefault="00EB401D" w:rsidP="00EB401D">
            <w:pPr>
              <w:spacing w:line="276" w:lineRule="auto"/>
              <w:rPr>
                <w:rFonts w:ascii="Arial" w:hAnsi="Arial" w:cs="Arial"/>
              </w:rPr>
            </w:pPr>
          </w:p>
        </w:tc>
        <w:tc>
          <w:tcPr>
            <w:tcW w:w="1112" w:type="pct"/>
          </w:tcPr>
          <w:p w14:paraId="4B15CEC7" w14:textId="77777777" w:rsidR="00EB401D" w:rsidRPr="00F7228F" w:rsidRDefault="00EB401D" w:rsidP="00EB401D">
            <w:pPr>
              <w:spacing w:line="276" w:lineRule="auto"/>
              <w:rPr>
                <w:rFonts w:ascii="Arial" w:hAnsi="Arial" w:cs="Arial"/>
              </w:rPr>
            </w:pPr>
            <w:r w:rsidRPr="00F7228F">
              <w:rPr>
                <w:rFonts w:ascii="Arial" w:hAnsi="Arial" w:cs="Arial"/>
              </w:rPr>
              <w:t>Non-aneurysmal</w:t>
            </w:r>
          </w:p>
        </w:tc>
        <w:tc>
          <w:tcPr>
            <w:tcW w:w="944" w:type="pct"/>
          </w:tcPr>
          <w:p w14:paraId="1EAA73F9" w14:textId="77777777" w:rsidR="00EB401D" w:rsidRPr="00F7228F" w:rsidRDefault="00EB401D" w:rsidP="00EB401D">
            <w:pPr>
              <w:spacing w:line="276" w:lineRule="auto"/>
              <w:rPr>
                <w:rFonts w:ascii="Arial" w:hAnsi="Arial" w:cs="Arial"/>
              </w:rPr>
            </w:pPr>
            <w:r w:rsidRPr="00F7228F">
              <w:rPr>
                <w:rFonts w:ascii="Arial" w:hAnsi="Arial" w:cs="Arial"/>
              </w:rPr>
              <w:t>2 (3.9)</w:t>
            </w:r>
          </w:p>
        </w:tc>
        <w:tc>
          <w:tcPr>
            <w:tcW w:w="1022" w:type="pct"/>
          </w:tcPr>
          <w:p w14:paraId="0C2FDC78" w14:textId="77777777" w:rsidR="00EB401D" w:rsidRPr="00F7228F" w:rsidRDefault="00EB401D" w:rsidP="00EB401D">
            <w:pPr>
              <w:spacing w:line="276" w:lineRule="auto"/>
              <w:rPr>
                <w:rFonts w:ascii="Arial" w:hAnsi="Arial" w:cs="Arial"/>
              </w:rPr>
            </w:pPr>
            <w:r w:rsidRPr="00F7228F">
              <w:rPr>
                <w:rFonts w:ascii="Arial" w:hAnsi="Arial" w:cs="Arial"/>
              </w:rPr>
              <w:t>0 (0.0)</w:t>
            </w:r>
          </w:p>
        </w:tc>
        <w:tc>
          <w:tcPr>
            <w:tcW w:w="836" w:type="pct"/>
            <w:vMerge/>
          </w:tcPr>
          <w:p w14:paraId="2329A63C" w14:textId="77777777" w:rsidR="00EB401D" w:rsidRPr="00F7228F" w:rsidRDefault="00EB401D" w:rsidP="00EB401D">
            <w:pPr>
              <w:spacing w:line="276" w:lineRule="auto"/>
              <w:rPr>
                <w:rFonts w:ascii="Arial" w:hAnsi="Arial" w:cs="Arial"/>
              </w:rPr>
            </w:pPr>
          </w:p>
        </w:tc>
      </w:tr>
      <w:tr w:rsidR="00EB401D" w:rsidRPr="00F7228F" w14:paraId="2E54196D" w14:textId="77777777" w:rsidTr="00CB0BB6">
        <w:tc>
          <w:tcPr>
            <w:tcW w:w="1086" w:type="pct"/>
            <w:vMerge w:val="restart"/>
          </w:tcPr>
          <w:p w14:paraId="646539B7" w14:textId="77777777" w:rsidR="00EB401D" w:rsidRPr="00F7228F" w:rsidRDefault="00EB401D" w:rsidP="00EB401D">
            <w:pPr>
              <w:spacing w:line="276" w:lineRule="auto"/>
              <w:rPr>
                <w:rFonts w:ascii="Arial" w:hAnsi="Arial" w:cs="Arial"/>
              </w:rPr>
            </w:pPr>
            <w:r w:rsidRPr="00F7228F">
              <w:rPr>
                <w:rFonts w:ascii="Arial" w:hAnsi="Arial" w:cs="Arial"/>
              </w:rPr>
              <w:t>Securing of the aneurysm (n, %)</w:t>
            </w:r>
          </w:p>
        </w:tc>
        <w:tc>
          <w:tcPr>
            <w:tcW w:w="1112" w:type="pct"/>
          </w:tcPr>
          <w:p w14:paraId="1A64012B" w14:textId="77777777" w:rsidR="00EB401D" w:rsidRPr="00F7228F" w:rsidRDefault="00EB401D" w:rsidP="00EB401D">
            <w:pPr>
              <w:spacing w:line="276" w:lineRule="auto"/>
              <w:rPr>
                <w:rFonts w:ascii="Arial" w:hAnsi="Arial" w:cs="Arial"/>
              </w:rPr>
            </w:pPr>
            <w:r w:rsidRPr="00F7228F">
              <w:rPr>
                <w:rFonts w:ascii="Arial" w:hAnsi="Arial" w:cs="Arial"/>
              </w:rPr>
              <w:t>Clipping</w:t>
            </w:r>
          </w:p>
        </w:tc>
        <w:tc>
          <w:tcPr>
            <w:tcW w:w="944" w:type="pct"/>
          </w:tcPr>
          <w:p w14:paraId="098D8061" w14:textId="77777777" w:rsidR="00EB401D" w:rsidRPr="00F7228F" w:rsidRDefault="00EB401D" w:rsidP="00EB401D">
            <w:pPr>
              <w:spacing w:line="276" w:lineRule="auto"/>
              <w:rPr>
                <w:rFonts w:ascii="Arial" w:hAnsi="Arial" w:cs="Arial"/>
              </w:rPr>
            </w:pPr>
            <w:r w:rsidRPr="00F7228F">
              <w:rPr>
                <w:rFonts w:ascii="Arial" w:hAnsi="Arial" w:cs="Arial"/>
              </w:rPr>
              <w:t>10 (19.6)</w:t>
            </w:r>
          </w:p>
        </w:tc>
        <w:tc>
          <w:tcPr>
            <w:tcW w:w="1022" w:type="pct"/>
          </w:tcPr>
          <w:p w14:paraId="1482ADBB" w14:textId="77777777" w:rsidR="00EB401D" w:rsidRPr="00F7228F" w:rsidRDefault="00EB401D" w:rsidP="00EB401D">
            <w:pPr>
              <w:spacing w:line="276" w:lineRule="auto"/>
              <w:rPr>
                <w:rFonts w:ascii="Arial" w:hAnsi="Arial" w:cs="Arial"/>
              </w:rPr>
            </w:pPr>
            <w:r w:rsidRPr="00F7228F">
              <w:rPr>
                <w:rFonts w:ascii="Arial" w:hAnsi="Arial" w:cs="Arial"/>
              </w:rPr>
              <w:t>10 (31.3)</w:t>
            </w:r>
          </w:p>
        </w:tc>
        <w:tc>
          <w:tcPr>
            <w:tcW w:w="836" w:type="pct"/>
            <w:vMerge w:val="restart"/>
          </w:tcPr>
          <w:p w14:paraId="744FA404" w14:textId="77777777" w:rsidR="00EB401D" w:rsidRPr="00F7228F" w:rsidRDefault="00EB401D" w:rsidP="00EB401D">
            <w:pPr>
              <w:spacing w:line="276" w:lineRule="auto"/>
              <w:rPr>
                <w:rFonts w:ascii="Arial" w:hAnsi="Arial" w:cs="Arial"/>
              </w:rPr>
            </w:pPr>
            <w:r w:rsidRPr="00F7228F">
              <w:rPr>
                <w:rFonts w:ascii="Arial" w:hAnsi="Arial" w:cs="Arial"/>
              </w:rPr>
              <w:t xml:space="preserve">0.351 </w:t>
            </w:r>
            <w:r w:rsidRPr="00F7228F">
              <w:rPr>
                <w:rFonts w:ascii="Arial" w:hAnsi="Arial" w:cs="Arial"/>
                <w:vertAlign w:val="superscript"/>
              </w:rPr>
              <w:t>a</w:t>
            </w:r>
          </w:p>
        </w:tc>
      </w:tr>
      <w:tr w:rsidR="00EB401D" w:rsidRPr="00F7228F" w14:paraId="27F55699" w14:textId="77777777" w:rsidTr="00CB0BB6">
        <w:trPr>
          <w:trHeight w:val="92"/>
        </w:trPr>
        <w:tc>
          <w:tcPr>
            <w:tcW w:w="1086" w:type="pct"/>
            <w:vMerge/>
          </w:tcPr>
          <w:p w14:paraId="6B603AB2" w14:textId="77777777" w:rsidR="00EB401D" w:rsidRPr="00F7228F" w:rsidRDefault="00EB401D" w:rsidP="00EB401D">
            <w:pPr>
              <w:spacing w:line="276" w:lineRule="auto"/>
              <w:rPr>
                <w:rFonts w:ascii="Arial" w:hAnsi="Arial" w:cs="Arial"/>
              </w:rPr>
            </w:pPr>
          </w:p>
        </w:tc>
        <w:tc>
          <w:tcPr>
            <w:tcW w:w="1112" w:type="pct"/>
          </w:tcPr>
          <w:p w14:paraId="65B89F2B" w14:textId="77777777" w:rsidR="00EB401D" w:rsidRPr="00F7228F" w:rsidRDefault="00EB401D" w:rsidP="00EB401D">
            <w:pPr>
              <w:spacing w:line="276" w:lineRule="auto"/>
              <w:rPr>
                <w:rFonts w:ascii="Arial" w:hAnsi="Arial" w:cs="Arial"/>
              </w:rPr>
            </w:pPr>
            <w:r w:rsidRPr="00F7228F">
              <w:rPr>
                <w:rFonts w:ascii="Arial" w:hAnsi="Arial" w:cs="Arial"/>
              </w:rPr>
              <w:t>Coiling</w:t>
            </w:r>
          </w:p>
        </w:tc>
        <w:tc>
          <w:tcPr>
            <w:tcW w:w="944" w:type="pct"/>
          </w:tcPr>
          <w:p w14:paraId="76BF3306" w14:textId="77777777" w:rsidR="00EB401D" w:rsidRPr="00F7228F" w:rsidRDefault="00EB401D" w:rsidP="00EB401D">
            <w:pPr>
              <w:spacing w:line="276" w:lineRule="auto"/>
              <w:rPr>
                <w:rFonts w:ascii="Arial" w:hAnsi="Arial" w:cs="Arial"/>
              </w:rPr>
            </w:pPr>
            <w:r w:rsidRPr="00F7228F">
              <w:rPr>
                <w:rFonts w:ascii="Arial" w:hAnsi="Arial" w:cs="Arial"/>
              </w:rPr>
              <w:t>39 (76.5)</w:t>
            </w:r>
          </w:p>
        </w:tc>
        <w:tc>
          <w:tcPr>
            <w:tcW w:w="1022" w:type="pct"/>
          </w:tcPr>
          <w:p w14:paraId="2015576E" w14:textId="77777777" w:rsidR="00EB401D" w:rsidRPr="00F7228F" w:rsidRDefault="00EB401D" w:rsidP="00EB401D">
            <w:pPr>
              <w:spacing w:line="276" w:lineRule="auto"/>
              <w:rPr>
                <w:rFonts w:ascii="Arial" w:hAnsi="Arial" w:cs="Arial"/>
              </w:rPr>
            </w:pPr>
            <w:r w:rsidRPr="00F7228F">
              <w:rPr>
                <w:rFonts w:ascii="Arial" w:hAnsi="Arial" w:cs="Arial"/>
              </w:rPr>
              <w:t>22 (68.8)</w:t>
            </w:r>
          </w:p>
        </w:tc>
        <w:tc>
          <w:tcPr>
            <w:tcW w:w="836" w:type="pct"/>
            <w:vMerge/>
          </w:tcPr>
          <w:p w14:paraId="6DC7E050" w14:textId="77777777" w:rsidR="00EB401D" w:rsidRPr="00F7228F" w:rsidRDefault="00EB401D" w:rsidP="00EB401D">
            <w:pPr>
              <w:spacing w:line="276" w:lineRule="auto"/>
              <w:rPr>
                <w:rFonts w:ascii="Arial" w:hAnsi="Arial" w:cs="Arial"/>
              </w:rPr>
            </w:pPr>
          </w:p>
        </w:tc>
      </w:tr>
      <w:tr w:rsidR="00EB401D" w:rsidRPr="00F7228F" w14:paraId="47C085D8" w14:textId="77777777" w:rsidTr="00CB0BB6">
        <w:tc>
          <w:tcPr>
            <w:tcW w:w="1086" w:type="pct"/>
            <w:vMerge/>
          </w:tcPr>
          <w:p w14:paraId="0A07F70A" w14:textId="77777777" w:rsidR="00EB401D" w:rsidRPr="00F7228F" w:rsidRDefault="00EB401D" w:rsidP="00EB401D">
            <w:pPr>
              <w:spacing w:line="276" w:lineRule="auto"/>
              <w:rPr>
                <w:rFonts w:ascii="Arial" w:hAnsi="Arial" w:cs="Arial"/>
              </w:rPr>
            </w:pPr>
          </w:p>
        </w:tc>
        <w:tc>
          <w:tcPr>
            <w:tcW w:w="1112" w:type="pct"/>
          </w:tcPr>
          <w:p w14:paraId="6E9CEABC" w14:textId="77777777" w:rsidR="00EB401D" w:rsidRPr="00F7228F" w:rsidRDefault="00EB401D" w:rsidP="00EB401D">
            <w:pPr>
              <w:spacing w:line="276" w:lineRule="auto"/>
              <w:rPr>
                <w:rFonts w:ascii="Arial" w:hAnsi="Arial" w:cs="Arial"/>
              </w:rPr>
            </w:pPr>
            <w:r w:rsidRPr="00F7228F">
              <w:rPr>
                <w:rFonts w:ascii="Arial" w:hAnsi="Arial" w:cs="Arial"/>
              </w:rPr>
              <w:t>Not applicable</w:t>
            </w:r>
          </w:p>
        </w:tc>
        <w:tc>
          <w:tcPr>
            <w:tcW w:w="944" w:type="pct"/>
          </w:tcPr>
          <w:p w14:paraId="14E61FAB" w14:textId="77777777" w:rsidR="00EB401D" w:rsidRPr="00F7228F" w:rsidRDefault="00EB401D" w:rsidP="00EB401D">
            <w:pPr>
              <w:spacing w:line="276" w:lineRule="auto"/>
              <w:rPr>
                <w:rFonts w:ascii="Arial" w:hAnsi="Arial" w:cs="Arial"/>
              </w:rPr>
            </w:pPr>
            <w:r w:rsidRPr="00F7228F">
              <w:rPr>
                <w:rFonts w:ascii="Arial" w:hAnsi="Arial" w:cs="Arial"/>
              </w:rPr>
              <w:t>2 (3.9)</w:t>
            </w:r>
          </w:p>
        </w:tc>
        <w:tc>
          <w:tcPr>
            <w:tcW w:w="1022" w:type="pct"/>
          </w:tcPr>
          <w:p w14:paraId="5B598FDA" w14:textId="77777777" w:rsidR="00EB401D" w:rsidRPr="00F7228F" w:rsidRDefault="00EB401D" w:rsidP="00EB401D">
            <w:pPr>
              <w:spacing w:line="276" w:lineRule="auto"/>
              <w:rPr>
                <w:rFonts w:ascii="Arial" w:hAnsi="Arial" w:cs="Arial"/>
              </w:rPr>
            </w:pPr>
            <w:r w:rsidRPr="00F7228F">
              <w:rPr>
                <w:rFonts w:ascii="Arial" w:hAnsi="Arial" w:cs="Arial"/>
              </w:rPr>
              <w:t>0 (0.0)</w:t>
            </w:r>
          </w:p>
        </w:tc>
        <w:tc>
          <w:tcPr>
            <w:tcW w:w="836" w:type="pct"/>
            <w:vMerge/>
          </w:tcPr>
          <w:p w14:paraId="15F088E5" w14:textId="77777777" w:rsidR="00EB401D" w:rsidRPr="00F7228F" w:rsidRDefault="00EB401D" w:rsidP="00EB401D">
            <w:pPr>
              <w:spacing w:line="276" w:lineRule="auto"/>
              <w:rPr>
                <w:rFonts w:ascii="Arial" w:hAnsi="Arial" w:cs="Arial"/>
              </w:rPr>
            </w:pPr>
          </w:p>
        </w:tc>
      </w:tr>
    </w:tbl>
    <w:p w14:paraId="2E5A03D3" w14:textId="77777777" w:rsidR="00236A5B" w:rsidRPr="00F7228F" w:rsidRDefault="00236A5B" w:rsidP="000B242D">
      <w:pPr>
        <w:spacing w:after="0" w:line="276" w:lineRule="auto"/>
        <w:rPr>
          <w:rFonts w:ascii="Arial" w:hAnsi="Arial" w:cs="Arial"/>
          <w:b/>
          <w:bCs/>
        </w:rPr>
      </w:pPr>
    </w:p>
    <w:p w14:paraId="0C95DCD2" w14:textId="39594153" w:rsidR="00236A5B" w:rsidRPr="00F7228F" w:rsidRDefault="00236A5B" w:rsidP="000B242D">
      <w:pPr>
        <w:spacing w:after="0" w:line="276" w:lineRule="auto"/>
        <w:rPr>
          <w:rFonts w:ascii="Arial" w:hAnsi="Arial" w:cs="Arial"/>
        </w:rPr>
      </w:pPr>
      <w:r w:rsidRPr="00F7228F">
        <w:rPr>
          <w:rFonts w:ascii="Arial" w:hAnsi="Arial" w:cs="Arial"/>
          <w:b/>
          <w:bCs/>
        </w:rPr>
        <w:t xml:space="preserve">Supplementary Table </w:t>
      </w:r>
      <w:r w:rsidR="00255D29">
        <w:rPr>
          <w:rFonts w:ascii="Arial" w:hAnsi="Arial" w:cs="Arial"/>
          <w:b/>
          <w:bCs/>
        </w:rPr>
        <w:t>3</w:t>
      </w:r>
      <w:r w:rsidRPr="00F7228F">
        <w:rPr>
          <w:rFonts w:ascii="Arial" w:hAnsi="Arial" w:cs="Arial"/>
          <w:b/>
          <w:bCs/>
        </w:rPr>
        <w:t xml:space="preserve"> </w:t>
      </w:r>
      <w:r w:rsidRPr="00F7228F">
        <w:rPr>
          <w:rFonts w:ascii="Arial" w:hAnsi="Arial" w:cs="Arial"/>
        </w:rPr>
        <w:t>– Cytokine levels in the cerebrospinal fluid (CSF) and plasma of controls and of patients 7 days after subarachnoid haemorrhage (SAH). The Wilcoxon-Signed Rank test was used to compare median</w:t>
      </w:r>
      <w:r w:rsidR="007037A0" w:rsidRPr="00F7228F">
        <w:rPr>
          <w:rFonts w:ascii="Arial" w:hAnsi="Arial" w:cs="Arial"/>
        </w:rPr>
        <w:t xml:space="preserve"> </w:t>
      </w:r>
      <w:r w:rsidR="00DD6E0C" w:rsidRPr="00F7228F">
        <w:rPr>
          <w:rFonts w:ascii="Arial" w:hAnsi="Arial" w:cs="Arial"/>
        </w:rPr>
        <w:t>cytokine</w:t>
      </w:r>
      <w:r w:rsidR="00E870DB" w:rsidRPr="00F7228F">
        <w:rPr>
          <w:rFonts w:ascii="Arial" w:hAnsi="Arial" w:cs="Arial"/>
        </w:rPr>
        <w:t xml:space="preserve"> levels</w:t>
      </w:r>
      <w:r w:rsidR="00DD6E0C" w:rsidRPr="00F7228F">
        <w:rPr>
          <w:rFonts w:ascii="Arial" w:hAnsi="Arial" w:cs="Arial"/>
        </w:rPr>
        <w:t xml:space="preserve"> in </w:t>
      </w:r>
      <w:r w:rsidR="007037A0" w:rsidRPr="00F7228F">
        <w:rPr>
          <w:rFonts w:ascii="Arial" w:hAnsi="Arial" w:cs="Arial"/>
        </w:rPr>
        <w:t xml:space="preserve">paired plasma and CSF samples from the same patients. The Wilcoxon Rank-Sum test was used to compare median </w:t>
      </w:r>
      <w:r w:rsidR="00DD6E0C" w:rsidRPr="00F7228F">
        <w:rPr>
          <w:rFonts w:ascii="Arial" w:hAnsi="Arial" w:cs="Arial"/>
        </w:rPr>
        <w:t>cytokine</w:t>
      </w:r>
      <w:r w:rsidR="00E870DB" w:rsidRPr="00F7228F">
        <w:rPr>
          <w:rFonts w:ascii="Arial" w:hAnsi="Arial" w:cs="Arial"/>
        </w:rPr>
        <w:t xml:space="preserve"> levels</w:t>
      </w:r>
      <w:r w:rsidR="00DD6E0C" w:rsidRPr="00F7228F">
        <w:rPr>
          <w:rFonts w:ascii="Arial" w:hAnsi="Arial" w:cs="Arial"/>
        </w:rPr>
        <w:t xml:space="preserve"> in </w:t>
      </w:r>
      <w:r w:rsidR="007037A0" w:rsidRPr="00F7228F">
        <w:rPr>
          <w:rFonts w:ascii="Arial" w:hAnsi="Arial" w:cs="Arial"/>
        </w:rPr>
        <w:t>plasma and CSF samples from patients who had lumbar punctures (LPs) against those who</w:t>
      </w:r>
      <w:r w:rsidR="00DD6E0C" w:rsidRPr="00F7228F">
        <w:rPr>
          <w:rFonts w:ascii="Arial" w:hAnsi="Arial" w:cs="Arial"/>
        </w:rPr>
        <w:t xml:space="preserve"> had</w:t>
      </w:r>
      <w:r w:rsidR="007037A0" w:rsidRPr="00F7228F">
        <w:rPr>
          <w:rFonts w:ascii="Arial" w:hAnsi="Arial" w:cs="Arial"/>
        </w:rPr>
        <w:t xml:space="preserve"> an external ventricular drain (EVD) in situ.</w:t>
      </w:r>
    </w:p>
    <w:tbl>
      <w:tblPr>
        <w:tblStyle w:val="TableGrid"/>
        <w:tblW w:w="5000" w:type="pct"/>
        <w:tblLook w:val="04A0" w:firstRow="1" w:lastRow="0" w:firstColumn="1" w:lastColumn="0" w:noHBand="0" w:noVBand="1"/>
      </w:tblPr>
      <w:tblGrid>
        <w:gridCol w:w="1268"/>
        <w:gridCol w:w="1085"/>
        <w:gridCol w:w="1085"/>
        <w:gridCol w:w="896"/>
        <w:gridCol w:w="1292"/>
        <w:gridCol w:w="1289"/>
        <w:gridCol w:w="1487"/>
        <w:gridCol w:w="1311"/>
        <w:gridCol w:w="1311"/>
        <w:gridCol w:w="1462"/>
        <w:gridCol w:w="1462"/>
      </w:tblGrid>
      <w:tr w:rsidR="00C32674" w:rsidRPr="00F7228F" w14:paraId="6714A934" w14:textId="2ACC53D8" w:rsidTr="00C32674">
        <w:tc>
          <w:tcPr>
            <w:tcW w:w="455" w:type="pct"/>
          </w:tcPr>
          <w:p w14:paraId="6C450B79" w14:textId="39713436" w:rsidR="00C32674" w:rsidRPr="00F7228F" w:rsidRDefault="00C32674" w:rsidP="00C32674">
            <w:pPr>
              <w:spacing w:line="276" w:lineRule="auto"/>
              <w:rPr>
                <w:rFonts w:ascii="Arial" w:hAnsi="Arial" w:cs="Arial"/>
                <w:b/>
                <w:bCs/>
              </w:rPr>
            </w:pPr>
            <w:r w:rsidRPr="00F7228F">
              <w:rPr>
                <w:rFonts w:ascii="Arial" w:hAnsi="Arial" w:cs="Arial"/>
                <w:b/>
                <w:bCs/>
              </w:rPr>
              <w:t xml:space="preserve">Cytokines </w:t>
            </w:r>
          </w:p>
        </w:tc>
        <w:tc>
          <w:tcPr>
            <w:tcW w:w="389" w:type="pct"/>
          </w:tcPr>
          <w:p w14:paraId="2FD62116" w14:textId="0BA555A1" w:rsidR="00C32674" w:rsidRPr="00F7228F" w:rsidRDefault="00C32674" w:rsidP="00C32674">
            <w:pPr>
              <w:spacing w:line="276" w:lineRule="auto"/>
              <w:rPr>
                <w:rFonts w:ascii="Arial" w:hAnsi="Arial" w:cs="Arial"/>
                <w:b/>
                <w:bCs/>
              </w:rPr>
            </w:pPr>
            <w:r w:rsidRPr="00F7228F">
              <w:rPr>
                <w:rFonts w:ascii="Arial" w:hAnsi="Arial" w:cs="Arial"/>
                <w:b/>
                <w:bCs/>
              </w:rPr>
              <w:t>Plasma levels in all SAH patients (</w:t>
            </w:r>
            <w:proofErr w:type="spellStart"/>
            <w:r w:rsidRPr="00F7228F">
              <w:rPr>
                <w:rFonts w:ascii="Arial" w:hAnsi="Arial" w:cs="Arial"/>
                <w:b/>
                <w:bCs/>
              </w:rPr>
              <w:t>pg</w:t>
            </w:r>
            <w:proofErr w:type="spellEnd"/>
            <w:r w:rsidRPr="00F7228F">
              <w:rPr>
                <w:rFonts w:ascii="Arial" w:hAnsi="Arial" w:cs="Arial"/>
                <w:b/>
                <w:bCs/>
              </w:rPr>
              <w:t>/mL)</w:t>
            </w:r>
          </w:p>
        </w:tc>
        <w:tc>
          <w:tcPr>
            <w:tcW w:w="389" w:type="pct"/>
          </w:tcPr>
          <w:p w14:paraId="44C013D8" w14:textId="38F3D722" w:rsidR="00C32674" w:rsidRPr="00F7228F" w:rsidRDefault="00C32674" w:rsidP="00C32674">
            <w:pPr>
              <w:spacing w:line="276" w:lineRule="auto"/>
              <w:rPr>
                <w:rFonts w:ascii="Arial" w:hAnsi="Arial" w:cs="Arial"/>
                <w:b/>
                <w:bCs/>
              </w:rPr>
            </w:pPr>
            <w:r w:rsidRPr="00F7228F">
              <w:rPr>
                <w:rFonts w:ascii="Arial" w:hAnsi="Arial" w:cs="Arial"/>
                <w:b/>
                <w:bCs/>
              </w:rPr>
              <w:t>CSF levels in all SAH patients (</w:t>
            </w:r>
            <w:proofErr w:type="spellStart"/>
            <w:r w:rsidRPr="00F7228F">
              <w:rPr>
                <w:rFonts w:ascii="Arial" w:hAnsi="Arial" w:cs="Arial"/>
                <w:b/>
                <w:bCs/>
              </w:rPr>
              <w:t>pg</w:t>
            </w:r>
            <w:proofErr w:type="spellEnd"/>
            <w:r w:rsidRPr="00F7228F">
              <w:rPr>
                <w:rFonts w:ascii="Arial" w:hAnsi="Arial" w:cs="Arial"/>
                <w:b/>
                <w:bCs/>
              </w:rPr>
              <w:t>/mL)</w:t>
            </w:r>
          </w:p>
        </w:tc>
        <w:tc>
          <w:tcPr>
            <w:tcW w:w="321" w:type="pct"/>
          </w:tcPr>
          <w:p w14:paraId="17C630EB" w14:textId="77777777" w:rsidR="00C32674" w:rsidRPr="00F7228F" w:rsidRDefault="00C32674" w:rsidP="00C32674">
            <w:pPr>
              <w:spacing w:line="276" w:lineRule="auto"/>
              <w:rPr>
                <w:rFonts w:ascii="Arial" w:hAnsi="Arial" w:cs="Arial"/>
                <w:b/>
                <w:bCs/>
              </w:rPr>
            </w:pPr>
            <w:r w:rsidRPr="00F7228F">
              <w:rPr>
                <w:rFonts w:ascii="Arial" w:hAnsi="Arial" w:cs="Arial"/>
                <w:b/>
                <w:bCs/>
              </w:rPr>
              <w:t>P-value</w:t>
            </w:r>
          </w:p>
        </w:tc>
        <w:tc>
          <w:tcPr>
            <w:tcW w:w="463" w:type="pct"/>
          </w:tcPr>
          <w:p w14:paraId="294F6CFB" w14:textId="77777777" w:rsidR="00C32674" w:rsidRPr="00F7228F" w:rsidRDefault="00C32674" w:rsidP="00C32674">
            <w:pPr>
              <w:spacing w:line="276" w:lineRule="auto"/>
              <w:rPr>
                <w:rFonts w:ascii="Arial" w:hAnsi="Arial" w:cs="Arial"/>
                <w:b/>
                <w:bCs/>
              </w:rPr>
            </w:pPr>
            <w:r w:rsidRPr="00F7228F">
              <w:rPr>
                <w:rFonts w:ascii="Arial" w:hAnsi="Arial" w:cs="Arial"/>
                <w:b/>
                <w:bCs/>
              </w:rPr>
              <w:t>Fold Difference (CSF vs Plasma)</w:t>
            </w:r>
          </w:p>
        </w:tc>
        <w:tc>
          <w:tcPr>
            <w:tcW w:w="462" w:type="pct"/>
          </w:tcPr>
          <w:p w14:paraId="4DF25AD9" w14:textId="178C6A7B" w:rsidR="00C32674" w:rsidRPr="00F7228F" w:rsidRDefault="00C32674" w:rsidP="00C32674">
            <w:pPr>
              <w:spacing w:line="276" w:lineRule="auto"/>
              <w:rPr>
                <w:rFonts w:ascii="Arial" w:hAnsi="Arial" w:cs="Arial"/>
                <w:b/>
                <w:bCs/>
              </w:rPr>
            </w:pPr>
            <w:r w:rsidRPr="00F7228F">
              <w:rPr>
                <w:rFonts w:ascii="Arial" w:hAnsi="Arial" w:cs="Arial"/>
                <w:b/>
                <w:bCs/>
              </w:rPr>
              <w:t xml:space="preserve">Plasma levels in SAH patients who had a </w:t>
            </w:r>
            <w:r w:rsidR="007037A0" w:rsidRPr="00F7228F">
              <w:rPr>
                <w:rFonts w:ascii="Arial" w:hAnsi="Arial" w:cs="Arial"/>
                <w:b/>
                <w:bCs/>
              </w:rPr>
              <w:t>LP</w:t>
            </w:r>
            <w:r w:rsidRPr="00F7228F">
              <w:rPr>
                <w:rFonts w:ascii="Arial" w:hAnsi="Arial" w:cs="Arial"/>
                <w:b/>
                <w:bCs/>
              </w:rPr>
              <w:t xml:space="preserve"> (</w:t>
            </w:r>
            <w:proofErr w:type="spellStart"/>
            <w:r w:rsidRPr="00F7228F">
              <w:rPr>
                <w:rFonts w:ascii="Arial" w:hAnsi="Arial" w:cs="Arial"/>
                <w:b/>
                <w:bCs/>
              </w:rPr>
              <w:t>pg</w:t>
            </w:r>
            <w:proofErr w:type="spellEnd"/>
            <w:r w:rsidRPr="00F7228F">
              <w:rPr>
                <w:rFonts w:ascii="Arial" w:hAnsi="Arial" w:cs="Arial"/>
                <w:b/>
                <w:bCs/>
              </w:rPr>
              <w:t>/mL)</w:t>
            </w:r>
          </w:p>
        </w:tc>
        <w:tc>
          <w:tcPr>
            <w:tcW w:w="533" w:type="pct"/>
          </w:tcPr>
          <w:p w14:paraId="65B28127" w14:textId="66ED8684" w:rsidR="00C32674" w:rsidRPr="00F7228F" w:rsidRDefault="00C32674" w:rsidP="00C32674">
            <w:pPr>
              <w:spacing w:line="276" w:lineRule="auto"/>
              <w:rPr>
                <w:rFonts w:ascii="Arial" w:hAnsi="Arial" w:cs="Arial"/>
                <w:b/>
                <w:bCs/>
              </w:rPr>
            </w:pPr>
            <w:r w:rsidRPr="00F7228F">
              <w:rPr>
                <w:rFonts w:ascii="Arial" w:hAnsi="Arial" w:cs="Arial"/>
                <w:b/>
                <w:bCs/>
              </w:rPr>
              <w:t xml:space="preserve">Plasma levels in SAH patients with an </w:t>
            </w:r>
            <w:r w:rsidR="007037A0" w:rsidRPr="00F7228F">
              <w:rPr>
                <w:rFonts w:ascii="Arial" w:hAnsi="Arial" w:cs="Arial"/>
                <w:b/>
                <w:bCs/>
              </w:rPr>
              <w:t>EVD</w:t>
            </w:r>
            <w:r w:rsidRPr="00F7228F">
              <w:rPr>
                <w:rFonts w:ascii="Arial" w:hAnsi="Arial" w:cs="Arial"/>
                <w:b/>
                <w:bCs/>
              </w:rPr>
              <w:t xml:space="preserve"> (</w:t>
            </w:r>
            <w:proofErr w:type="spellStart"/>
            <w:r w:rsidRPr="00F7228F">
              <w:rPr>
                <w:rFonts w:ascii="Arial" w:hAnsi="Arial" w:cs="Arial"/>
                <w:b/>
                <w:bCs/>
              </w:rPr>
              <w:t>pg</w:t>
            </w:r>
            <w:proofErr w:type="spellEnd"/>
            <w:r w:rsidRPr="00F7228F">
              <w:rPr>
                <w:rFonts w:ascii="Arial" w:hAnsi="Arial" w:cs="Arial"/>
                <w:b/>
                <w:bCs/>
              </w:rPr>
              <w:t>/mL)</w:t>
            </w:r>
          </w:p>
        </w:tc>
        <w:tc>
          <w:tcPr>
            <w:tcW w:w="470" w:type="pct"/>
          </w:tcPr>
          <w:p w14:paraId="721BEB6D" w14:textId="4BE6707D" w:rsidR="00C32674" w:rsidRPr="00F7228F" w:rsidRDefault="00C32674" w:rsidP="00C32674">
            <w:pPr>
              <w:spacing w:line="276" w:lineRule="auto"/>
              <w:rPr>
                <w:rFonts w:ascii="Arial" w:hAnsi="Arial" w:cs="Arial"/>
                <w:b/>
                <w:bCs/>
              </w:rPr>
            </w:pPr>
            <w:r w:rsidRPr="00F7228F">
              <w:rPr>
                <w:rFonts w:ascii="Arial" w:hAnsi="Arial" w:cs="Arial"/>
                <w:b/>
                <w:bCs/>
              </w:rPr>
              <w:t>P-value</w:t>
            </w:r>
          </w:p>
        </w:tc>
        <w:tc>
          <w:tcPr>
            <w:tcW w:w="470" w:type="pct"/>
          </w:tcPr>
          <w:p w14:paraId="134E3A8D" w14:textId="1D15239C" w:rsidR="00C32674" w:rsidRPr="00F7228F" w:rsidRDefault="00C32674" w:rsidP="00C32674">
            <w:pPr>
              <w:spacing w:line="276" w:lineRule="auto"/>
              <w:rPr>
                <w:rFonts w:ascii="Arial" w:hAnsi="Arial" w:cs="Arial"/>
                <w:b/>
                <w:bCs/>
              </w:rPr>
            </w:pPr>
            <w:r w:rsidRPr="00F7228F">
              <w:rPr>
                <w:rFonts w:ascii="Arial" w:hAnsi="Arial" w:cs="Arial"/>
                <w:b/>
                <w:bCs/>
              </w:rPr>
              <w:t xml:space="preserve">CSF levels in in SAH patients who had a </w:t>
            </w:r>
            <w:r w:rsidR="007037A0" w:rsidRPr="00F7228F">
              <w:rPr>
                <w:rFonts w:ascii="Arial" w:hAnsi="Arial" w:cs="Arial"/>
                <w:b/>
                <w:bCs/>
              </w:rPr>
              <w:t>LP</w:t>
            </w:r>
            <w:r w:rsidRPr="00F7228F">
              <w:rPr>
                <w:rFonts w:ascii="Arial" w:hAnsi="Arial" w:cs="Arial"/>
                <w:b/>
                <w:bCs/>
              </w:rPr>
              <w:t xml:space="preserve"> (</w:t>
            </w:r>
            <w:proofErr w:type="spellStart"/>
            <w:r w:rsidRPr="00F7228F">
              <w:rPr>
                <w:rFonts w:ascii="Arial" w:hAnsi="Arial" w:cs="Arial"/>
                <w:b/>
                <w:bCs/>
              </w:rPr>
              <w:t>pg</w:t>
            </w:r>
            <w:proofErr w:type="spellEnd"/>
            <w:r w:rsidRPr="00F7228F">
              <w:rPr>
                <w:rFonts w:ascii="Arial" w:hAnsi="Arial" w:cs="Arial"/>
                <w:b/>
                <w:bCs/>
              </w:rPr>
              <w:t>/mL)</w:t>
            </w:r>
          </w:p>
        </w:tc>
        <w:tc>
          <w:tcPr>
            <w:tcW w:w="524" w:type="pct"/>
          </w:tcPr>
          <w:p w14:paraId="77D351E4" w14:textId="5F6F6835" w:rsidR="00C32674" w:rsidRPr="00F7228F" w:rsidRDefault="00C32674" w:rsidP="00C32674">
            <w:pPr>
              <w:spacing w:line="276" w:lineRule="auto"/>
              <w:rPr>
                <w:rFonts w:ascii="Arial" w:hAnsi="Arial" w:cs="Arial"/>
                <w:b/>
                <w:bCs/>
              </w:rPr>
            </w:pPr>
            <w:r w:rsidRPr="00F7228F">
              <w:rPr>
                <w:rFonts w:ascii="Arial" w:hAnsi="Arial" w:cs="Arial"/>
                <w:b/>
                <w:bCs/>
              </w:rPr>
              <w:t xml:space="preserve">CSF levels in SAH patients with an </w:t>
            </w:r>
            <w:r w:rsidR="007037A0" w:rsidRPr="00F7228F">
              <w:rPr>
                <w:rFonts w:ascii="Arial" w:hAnsi="Arial" w:cs="Arial"/>
                <w:b/>
                <w:bCs/>
              </w:rPr>
              <w:t>EVD</w:t>
            </w:r>
            <w:r w:rsidRPr="00F7228F">
              <w:rPr>
                <w:rFonts w:ascii="Arial" w:hAnsi="Arial" w:cs="Arial"/>
                <w:b/>
                <w:bCs/>
              </w:rPr>
              <w:t xml:space="preserve"> (</w:t>
            </w:r>
            <w:proofErr w:type="spellStart"/>
            <w:r w:rsidRPr="00F7228F">
              <w:rPr>
                <w:rFonts w:ascii="Arial" w:hAnsi="Arial" w:cs="Arial"/>
                <w:b/>
                <w:bCs/>
              </w:rPr>
              <w:t>pg</w:t>
            </w:r>
            <w:proofErr w:type="spellEnd"/>
            <w:r w:rsidRPr="00F7228F">
              <w:rPr>
                <w:rFonts w:ascii="Arial" w:hAnsi="Arial" w:cs="Arial"/>
                <w:b/>
                <w:bCs/>
              </w:rPr>
              <w:t>/mL)</w:t>
            </w:r>
          </w:p>
        </w:tc>
        <w:tc>
          <w:tcPr>
            <w:tcW w:w="524" w:type="pct"/>
          </w:tcPr>
          <w:p w14:paraId="7BB951BE" w14:textId="038D9B50" w:rsidR="00C32674" w:rsidRPr="00F7228F" w:rsidRDefault="00C32674" w:rsidP="00C32674">
            <w:pPr>
              <w:spacing w:line="276" w:lineRule="auto"/>
              <w:rPr>
                <w:rFonts w:ascii="Arial" w:hAnsi="Arial" w:cs="Arial"/>
                <w:b/>
                <w:bCs/>
              </w:rPr>
            </w:pPr>
            <w:r w:rsidRPr="00F7228F">
              <w:rPr>
                <w:rFonts w:ascii="Arial" w:hAnsi="Arial" w:cs="Arial"/>
                <w:b/>
                <w:bCs/>
              </w:rPr>
              <w:t>P-value</w:t>
            </w:r>
          </w:p>
        </w:tc>
      </w:tr>
      <w:tr w:rsidR="00C32674" w:rsidRPr="00F7228F" w14:paraId="41DC39F9" w14:textId="0F81E2C8" w:rsidTr="00C32674">
        <w:tc>
          <w:tcPr>
            <w:tcW w:w="455" w:type="pct"/>
            <w:vAlign w:val="center"/>
          </w:tcPr>
          <w:p w14:paraId="1EAC2FCC" w14:textId="77777777" w:rsidR="00C32674" w:rsidRPr="00F7228F" w:rsidRDefault="00C32674" w:rsidP="00C32674">
            <w:pPr>
              <w:spacing w:line="276" w:lineRule="auto"/>
              <w:rPr>
                <w:rFonts w:ascii="Arial" w:hAnsi="Arial" w:cs="Arial"/>
              </w:rPr>
            </w:pPr>
            <w:r w:rsidRPr="00F7228F">
              <w:rPr>
                <w:rFonts w:ascii="Arial" w:hAnsi="Arial" w:cs="Arial"/>
              </w:rPr>
              <w:t>IL-1beta</w:t>
            </w:r>
          </w:p>
          <w:p w14:paraId="4EB25AE8"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2B566028" w14:textId="77777777" w:rsidR="00C32674" w:rsidRPr="00F7228F" w:rsidRDefault="00C32674" w:rsidP="00C32674">
            <w:pPr>
              <w:spacing w:line="276" w:lineRule="auto"/>
              <w:rPr>
                <w:rFonts w:ascii="Arial" w:hAnsi="Arial" w:cs="Arial"/>
              </w:rPr>
            </w:pPr>
            <w:r w:rsidRPr="00F7228F">
              <w:rPr>
                <w:rFonts w:ascii="Arial" w:hAnsi="Arial" w:cs="Arial"/>
              </w:rPr>
              <w:t>0.09 (0.01 – 0.22)</w:t>
            </w:r>
          </w:p>
        </w:tc>
        <w:tc>
          <w:tcPr>
            <w:tcW w:w="389" w:type="pct"/>
          </w:tcPr>
          <w:p w14:paraId="2BB3AB42" w14:textId="77777777" w:rsidR="00C32674" w:rsidRPr="00F7228F" w:rsidRDefault="00C32674" w:rsidP="00C32674">
            <w:pPr>
              <w:spacing w:line="276" w:lineRule="auto"/>
              <w:rPr>
                <w:rFonts w:ascii="Arial" w:hAnsi="Arial" w:cs="Arial"/>
              </w:rPr>
            </w:pPr>
            <w:r w:rsidRPr="00F7228F">
              <w:rPr>
                <w:rFonts w:ascii="Arial" w:hAnsi="Arial" w:cs="Arial"/>
              </w:rPr>
              <w:t>2.74 (1.06 – 4.26)</w:t>
            </w:r>
          </w:p>
        </w:tc>
        <w:tc>
          <w:tcPr>
            <w:tcW w:w="321" w:type="pct"/>
          </w:tcPr>
          <w:p w14:paraId="26BDDCD1"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5CCD0F99" w14:textId="77777777" w:rsidR="00C32674" w:rsidRPr="00F7228F" w:rsidRDefault="00C32674" w:rsidP="00C32674">
            <w:pPr>
              <w:spacing w:line="276" w:lineRule="auto"/>
              <w:jc w:val="right"/>
              <w:rPr>
                <w:rFonts w:ascii="Arial" w:hAnsi="Arial" w:cs="Arial"/>
              </w:rPr>
            </w:pPr>
            <w:r w:rsidRPr="00F7228F">
              <w:rPr>
                <w:rFonts w:ascii="Arial" w:hAnsi="Arial" w:cs="Arial"/>
              </w:rPr>
              <w:t>30.44</w:t>
            </w:r>
          </w:p>
        </w:tc>
        <w:tc>
          <w:tcPr>
            <w:tcW w:w="462" w:type="pct"/>
          </w:tcPr>
          <w:p w14:paraId="7E6CCFD7" w14:textId="00A901B8" w:rsidR="00C32674" w:rsidRPr="00F7228F" w:rsidRDefault="006E4BF9" w:rsidP="00C32674">
            <w:pPr>
              <w:spacing w:line="276" w:lineRule="auto"/>
              <w:rPr>
                <w:rFonts w:ascii="Arial" w:hAnsi="Arial" w:cs="Arial"/>
              </w:rPr>
            </w:pPr>
            <w:r w:rsidRPr="00F7228F">
              <w:rPr>
                <w:rFonts w:ascii="Arial" w:hAnsi="Arial" w:cs="Arial"/>
              </w:rPr>
              <w:t>0.15 (0.01 – 0.24)</w:t>
            </w:r>
          </w:p>
        </w:tc>
        <w:tc>
          <w:tcPr>
            <w:tcW w:w="533" w:type="pct"/>
          </w:tcPr>
          <w:p w14:paraId="1C3188AA" w14:textId="70344133" w:rsidR="00C32674" w:rsidRPr="00F7228F" w:rsidRDefault="006E4BF9" w:rsidP="00C32674">
            <w:pPr>
              <w:spacing w:line="276" w:lineRule="auto"/>
              <w:rPr>
                <w:rFonts w:ascii="Arial" w:hAnsi="Arial" w:cs="Arial"/>
              </w:rPr>
            </w:pPr>
            <w:r w:rsidRPr="00F7228F">
              <w:rPr>
                <w:rFonts w:ascii="Arial" w:hAnsi="Arial" w:cs="Arial"/>
              </w:rPr>
              <w:t>0.04 (0.01 -0.18)</w:t>
            </w:r>
          </w:p>
        </w:tc>
        <w:tc>
          <w:tcPr>
            <w:tcW w:w="470" w:type="pct"/>
          </w:tcPr>
          <w:p w14:paraId="579FBC72" w14:textId="0600344F" w:rsidR="00C32674" w:rsidRPr="00F7228F" w:rsidRDefault="006E4BF9" w:rsidP="00C32674">
            <w:pPr>
              <w:spacing w:line="276" w:lineRule="auto"/>
              <w:rPr>
                <w:rFonts w:ascii="Arial" w:hAnsi="Arial" w:cs="Arial"/>
              </w:rPr>
            </w:pPr>
            <w:r w:rsidRPr="00F7228F">
              <w:rPr>
                <w:rFonts w:ascii="Arial" w:hAnsi="Arial" w:cs="Arial"/>
              </w:rPr>
              <w:t>0.104</w:t>
            </w:r>
          </w:p>
        </w:tc>
        <w:tc>
          <w:tcPr>
            <w:tcW w:w="470" w:type="pct"/>
          </w:tcPr>
          <w:p w14:paraId="2E0431B9" w14:textId="3423AC8F" w:rsidR="00C32674" w:rsidRPr="00F7228F" w:rsidRDefault="00C32674" w:rsidP="00C32674">
            <w:pPr>
              <w:spacing w:line="276" w:lineRule="auto"/>
              <w:rPr>
                <w:rFonts w:ascii="Arial" w:hAnsi="Arial" w:cs="Arial"/>
              </w:rPr>
            </w:pPr>
            <w:r w:rsidRPr="00F7228F">
              <w:rPr>
                <w:rFonts w:ascii="Arial" w:hAnsi="Arial" w:cs="Arial"/>
              </w:rPr>
              <w:t>2.18 (0.85 – 3.76)</w:t>
            </w:r>
          </w:p>
        </w:tc>
        <w:tc>
          <w:tcPr>
            <w:tcW w:w="524" w:type="pct"/>
          </w:tcPr>
          <w:p w14:paraId="018F6523" w14:textId="289B214A" w:rsidR="00C32674" w:rsidRPr="00F7228F" w:rsidRDefault="00C32674" w:rsidP="00C32674">
            <w:pPr>
              <w:spacing w:line="276" w:lineRule="auto"/>
              <w:rPr>
                <w:rFonts w:ascii="Arial" w:hAnsi="Arial" w:cs="Arial"/>
              </w:rPr>
            </w:pPr>
            <w:r w:rsidRPr="00F7228F">
              <w:rPr>
                <w:rFonts w:ascii="Arial" w:hAnsi="Arial" w:cs="Arial"/>
              </w:rPr>
              <w:t>3.62 (1.4 – 5.03)</w:t>
            </w:r>
          </w:p>
        </w:tc>
        <w:tc>
          <w:tcPr>
            <w:tcW w:w="524" w:type="pct"/>
          </w:tcPr>
          <w:p w14:paraId="04E5D6C5" w14:textId="3BF40CA6" w:rsidR="00C32674" w:rsidRPr="00F7228F" w:rsidRDefault="007037A0" w:rsidP="00C32674">
            <w:pPr>
              <w:spacing w:line="276" w:lineRule="auto"/>
              <w:rPr>
                <w:rFonts w:ascii="Arial" w:hAnsi="Arial" w:cs="Arial"/>
              </w:rPr>
            </w:pPr>
            <w:r w:rsidRPr="00F7228F">
              <w:rPr>
                <w:rFonts w:ascii="Arial" w:hAnsi="Arial" w:cs="Arial"/>
              </w:rPr>
              <w:t>0.046</w:t>
            </w:r>
          </w:p>
        </w:tc>
      </w:tr>
      <w:tr w:rsidR="00C32674" w:rsidRPr="00F7228F" w14:paraId="76AA3EBA" w14:textId="006CFB51" w:rsidTr="00C32674">
        <w:tc>
          <w:tcPr>
            <w:tcW w:w="455" w:type="pct"/>
            <w:vAlign w:val="center"/>
          </w:tcPr>
          <w:p w14:paraId="38A8D3AF" w14:textId="77777777" w:rsidR="00C32674" w:rsidRPr="00F7228F" w:rsidRDefault="00C32674" w:rsidP="00C32674">
            <w:pPr>
              <w:spacing w:line="276" w:lineRule="auto"/>
              <w:rPr>
                <w:rFonts w:ascii="Arial" w:hAnsi="Arial" w:cs="Arial"/>
              </w:rPr>
            </w:pPr>
            <w:r w:rsidRPr="00F7228F">
              <w:rPr>
                <w:rFonts w:ascii="Arial" w:hAnsi="Arial" w:cs="Arial"/>
              </w:rPr>
              <w:lastRenderedPageBreak/>
              <w:t>IL-2</w:t>
            </w:r>
          </w:p>
          <w:p w14:paraId="3FCDAC54"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5058DE7E" w14:textId="77777777" w:rsidR="00C32674" w:rsidRPr="00F7228F" w:rsidRDefault="00C32674" w:rsidP="00C32674">
            <w:pPr>
              <w:spacing w:line="276" w:lineRule="auto"/>
              <w:rPr>
                <w:rFonts w:ascii="Arial" w:hAnsi="Arial" w:cs="Arial"/>
              </w:rPr>
            </w:pPr>
            <w:r w:rsidRPr="00F7228F">
              <w:rPr>
                <w:rFonts w:ascii="Arial" w:hAnsi="Arial" w:cs="Arial"/>
              </w:rPr>
              <w:t>0.48 (0.36 – 0.60)</w:t>
            </w:r>
          </w:p>
        </w:tc>
        <w:tc>
          <w:tcPr>
            <w:tcW w:w="389" w:type="pct"/>
          </w:tcPr>
          <w:p w14:paraId="7C5C68A7" w14:textId="77777777" w:rsidR="00C32674" w:rsidRPr="00F7228F" w:rsidRDefault="00C32674" w:rsidP="00C32674">
            <w:pPr>
              <w:spacing w:line="276" w:lineRule="auto"/>
              <w:rPr>
                <w:rFonts w:ascii="Arial" w:hAnsi="Arial" w:cs="Arial"/>
              </w:rPr>
            </w:pPr>
            <w:r w:rsidRPr="00F7228F">
              <w:rPr>
                <w:rFonts w:ascii="Arial" w:hAnsi="Arial" w:cs="Arial"/>
              </w:rPr>
              <w:t>1.43 (0.71 – 3.02)</w:t>
            </w:r>
          </w:p>
        </w:tc>
        <w:tc>
          <w:tcPr>
            <w:tcW w:w="321" w:type="pct"/>
          </w:tcPr>
          <w:p w14:paraId="0027C98E"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116BFBDE" w14:textId="77777777" w:rsidR="00C32674" w:rsidRPr="00F7228F" w:rsidRDefault="00C32674" w:rsidP="00C32674">
            <w:pPr>
              <w:spacing w:line="276" w:lineRule="auto"/>
              <w:jc w:val="right"/>
              <w:rPr>
                <w:rFonts w:ascii="Arial" w:hAnsi="Arial" w:cs="Arial"/>
              </w:rPr>
            </w:pPr>
            <w:r w:rsidRPr="00F7228F">
              <w:rPr>
                <w:rFonts w:ascii="Arial" w:hAnsi="Arial" w:cs="Arial"/>
              </w:rPr>
              <w:t>2.98</w:t>
            </w:r>
          </w:p>
        </w:tc>
        <w:tc>
          <w:tcPr>
            <w:tcW w:w="462" w:type="pct"/>
          </w:tcPr>
          <w:p w14:paraId="38E6D528" w14:textId="7860C9F9" w:rsidR="00C32674" w:rsidRPr="00F7228F" w:rsidRDefault="006E4BF9" w:rsidP="00C32674">
            <w:pPr>
              <w:spacing w:line="276" w:lineRule="auto"/>
              <w:rPr>
                <w:rFonts w:ascii="Arial" w:hAnsi="Arial" w:cs="Arial"/>
              </w:rPr>
            </w:pPr>
            <w:r w:rsidRPr="00F7228F">
              <w:rPr>
                <w:rFonts w:ascii="Arial" w:hAnsi="Arial" w:cs="Arial"/>
              </w:rPr>
              <w:t>0.48 (0.37 – 0.64)</w:t>
            </w:r>
          </w:p>
        </w:tc>
        <w:tc>
          <w:tcPr>
            <w:tcW w:w="533" w:type="pct"/>
          </w:tcPr>
          <w:p w14:paraId="4FCB4683" w14:textId="05B55F79" w:rsidR="00C32674" w:rsidRPr="00F7228F" w:rsidRDefault="006E4BF9" w:rsidP="00C32674">
            <w:pPr>
              <w:spacing w:line="276" w:lineRule="auto"/>
              <w:rPr>
                <w:rFonts w:ascii="Arial" w:hAnsi="Arial" w:cs="Arial"/>
              </w:rPr>
            </w:pPr>
            <w:r w:rsidRPr="00F7228F">
              <w:rPr>
                <w:rFonts w:ascii="Arial" w:hAnsi="Arial" w:cs="Arial"/>
              </w:rPr>
              <w:t>0.5 (037 – 0.55)</w:t>
            </w:r>
          </w:p>
        </w:tc>
        <w:tc>
          <w:tcPr>
            <w:tcW w:w="470" w:type="pct"/>
          </w:tcPr>
          <w:p w14:paraId="6492DF30" w14:textId="4FA341C2" w:rsidR="00C32674" w:rsidRPr="00F7228F" w:rsidRDefault="006E4BF9" w:rsidP="00C32674">
            <w:pPr>
              <w:spacing w:line="276" w:lineRule="auto"/>
              <w:rPr>
                <w:rFonts w:ascii="Arial" w:hAnsi="Arial" w:cs="Arial"/>
              </w:rPr>
            </w:pPr>
            <w:r w:rsidRPr="00F7228F">
              <w:rPr>
                <w:rFonts w:ascii="Arial" w:hAnsi="Arial" w:cs="Arial"/>
              </w:rPr>
              <w:t>0.557</w:t>
            </w:r>
          </w:p>
        </w:tc>
        <w:tc>
          <w:tcPr>
            <w:tcW w:w="470" w:type="pct"/>
          </w:tcPr>
          <w:p w14:paraId="44C278CD" w14:textId="1F25A9B0" w:rsidR="00C32674" w:rsidRPr="00F7228F" w:rsidRDefault="007037A0" w:rsidP="00C32674">
            <w:pPr>
              <w:spacing w:line="276" w:lineRule="auto"/>
              <w:rPr>
                <w:rFonts w:ascii="Arial" w:hAnsi="Arial" w:cs="Arial"/>
              </w:rPr>
            </w:pPr>
            <w:r w:rsidRPr="00F7228F">
              <w:rPr>
                <w:rFonts w:ascii="Arial" w:hAnsi="Arial" w:cs="Arial"/>
              </w:rPr>
              <w:t>1.43 (0.77 – 2.73)</w:t>
            </w:r>
          </w:p>
        </w:tc>
        <w:tc>
          <w:tcPr>
            <w:tcW w:w="524" w:type="pct"/>
          </w:tcPr>
          <w:p w14:paraId="0E97F5DC" w14:textId="70971FFE" w:rsidR="00C32674" w:rsidRPr="00F7228F" w:rsidRDefault="007037A0" w:rsidP="00C32674">
            <w:pPr>
              <w:spacing w:line="276" w:lineRule="auto"/>
              <w:rPr>
                <w:rFonts w:ascii="Arial" w:hAnsi="Arial" w:cs="Arial"/>
              </w:rPr>
            </w:pPr>
            <w:r w:rsidRPr="00F7228F">
              <w:rPr>
                <w:rFonts w:ascii="Arial" w:hAnsi="Arial" w:cs="Arial"/>
              </w:rPr>
              <w:t>1.32 (0.57 – 3.03)</w:t>
            </w:r>
          </w:p>
        </w:tc>
        <w:tc>
          <w:tcPr>
            <w:tcW w:w="524" w:type="pct"/>
          </w:tcPr>
          <w:p w14:paraId="6FF20B4B" w14:textId="13E42EE9" w:rsidR="00C32674" w:rsidRPr="00F7228F" w:rsidRDefault="007037A0" w:rsidP="00C32674">
            <w:pPr>
              <w:spacing w:line="276" w:lineRule="auto"/>
              <w:rPr>
                <w:rFonts w:ascii="Arial" w:hAnsi="Arial" w:cs="Arial"/>
              </w:rPr>
            </w:pPr>
            <w:r w:rsidRPr="00F7228F">
              <w:rPr>
                <w:rFonts w:ascii="Arial" w:hAnsi="Arial" w:cs="Arial"/>
              </w:rPr>
              <w:t>0.757</w:t>
            </w:r>
          </w:p>
        </w:tc>
      </w:tr>
      <w:tr w:rsidR="00C32674" w:rsidRPr="00F7228F" w14:paraId="2DC75F86" w14:textId="33A83748" w:rsidTr="00C32674">
        <w:tc>
          <w:tcPr>
            <w:tcW w:w="455" w:type="pct"/>
            <w:vAlign w:val="center"/>
          </w:tcPr>
          <w:p w14:paraId="7C354DEC" w14:textId="77777777" w:rsidR="00C32674" w:rsidRPr="00F7228F" w:rsidRDefault="00C32674" w:rsidP="00C32674">
            <w:pPr>
              <w:spacing w:line="276" w:lineRule="auto"/>
              <w:rPr>
                <w:rFonts w:ascii="Arial" w:hAnsi="Arial" w:cs="Arial"/>
              </w:rPr>
            </w:pPr>
            <w:r w:rsidRPr="00F7228F">
              <w:rPr>
                <w:rFonts w:ascii="Arial" w:hAnsi="Arial" w:cs="Arial"/>
              </w:rPr>
              <w:t>IL-4</w:t>
            </w:r>
          </w:p>
          <w:p w14:paraId="23FB5FC8"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7D9637AC" w14:textId="77777777" w:rsidR="00C32674" w:rsidRPr="00F7228F" w:rsidRDefault="00C32674" w:rsidP="00C32674">
            <w:pPr>
              <w:spacing w:line="276" w:lineRule="auto"/>
              <w:rPr>
                <w:rFonts w:ascii="Arial" w:hAnsi="Arial" w:cs="Arial"/>
              </w:rPr>
            </w:pPr>
            <w:r w:rsidRPr="00F7228F">
              <w:rPr>
                <w:rFonts w:ascii="Arial" w:hAnsi="Arial" w:cs="Arial"/>
              </w:rPr>
              <w:t>0.11 (0.09 – 0.13)</w:t>
            </w:r>
          </w:p>
        </w:tc>
        <w:tc>
          <w:tcPr>
            <w:tcW w:w="389" w:type="pct"/>
          </w:tcPr>
          <w:p w14:paraId="06E2AE49" w14:textId="77777777" w:rsidR="00C32674" w:rsidRPr="00F7228F" w:rsidRDefault="00C32674" w:rsidP="00C32674">
            <w:pPr>
              <w:spacing w:line="276" w:lineRule="auto"/>
              <w:rPr>
                <w:rFonts w:ascii="Arial" w:hAnsi="Arial" w:cs="Arial"/>
              </w:rPr>
            </w:pPr>
            <w:r w:rsidRPr="00F7228F">
              <w:rPr>
                <w:rFonts w:ascii="Arial" w:hAnsi="Arial" w:cs="Arial"/>
              </w:rPr>
              <w:t>2.46 (0.68 – 10.51)</w:t>
            </w:r>
          </w:p>
        </w:tc>
        <w:tc>
          <w:tcPr>
            <w:tcW w:w="321" w:type="pct"/>
          </w:tcPr>
          <w:p w14:paraId="4144D01B"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07F06E62" w14:textId="77777777" w:rsidR="00C32674" w:rsidRPr="00F7228F" w:rsidRDefault="00C32674" w:rsidP="00C32674">
            <w:pPr>
              <w:spacing w:line="276" w:lineRule="auto"/>
              <w:jc w:val="right"/>
              <w:rPr>
                <w:rFonts w:ascii="Arial" w:hAnsi="Arial" w:cs="Arial"/>
              </w:rPr>
            </w:pPr>
            <w:r w:rsidRPr="00F7228F">
              <w:rPr>
                <w:rFonts w:ascii="Arial" w:hAnsi="Arial" w:cs="Arial"/>
              </w:rPr>
              <w:t>22.36</w:t>
            </w:r>
          </w:p>
        </w:tc>
        <w:tc>
          <w:tcPr>
            <w:tcW w:w="462" w:type="pct"/>
          </w:tcPr>
          <w:p w14:paraId="3DF5408A" w14:textId="54F94611" w:rsidR="00C32674" w:rsidRPr="00F7228F" w:rsidRDefault="006E4BF9" w:rsidP="00C32674">
            <w:pPr>
              <w:spacing w:line="276" w:lineRule="auto"/>
              <w:rPr>
                <w:rFonts w:ascii="Arial" w:hAnsi="Arial" w:cs="Arial"/>
              </w:rPr>
            </w:pPr>
            <w:r w:rsidRPr="00F7228F">
              <w:rPr>
                <w:rFonts w:ascii="Arial" w:hAnsi="Arial" w:cs="Arial"/>
              </w:rPr>
              <w:t>0.12 (0.10 – 0.13)</w:t>
            </w:r>
          </w:p>
        </w:tc>
        <w:tc>
          <w:tcPr>
            <w:tcW w:w="533" w:type="pct"/>
          </w:tcPr>
          <w:p w14:paraId="39D32563" w14:textId="176DFD0C" w:rsidR="00C32674" w:rsidRPr="00F7228F" w:rsidRDefault="006E4BF9" w:rsidP="00C32674">
            <w:pPr>
              <w:spacing w:line="276" w:lineRule="auto"/>
              <w:rPr>
                <w:rFonts w:ascii="Arial" w:hAnsi="Arial" w:cs="Arial"/>
              </w:rPr>
            </w:pPr>
            <w:r w:rsidRPr="00F7228F">
              <w:rPr>
                <w:rFonts w:ascii="Arial" w:hAnsi="Arial" w:cs="Arial"/>
              </w:rPr>
              <w:t>0.10 (0.09 – 0.11)</w:t>
            </w:r>
          </w:p>
        </w:tc>
        <w:tc>
          <w:tcPr>
            <w:tcW w:w="470" w:type="pct"/>
          </w:tcPr>
          <w:p w14:paraId="3636FA74" w14:textId="6F333CE2" w:rsidR="00C32674" w:rsidRPr="00F7228F" w:rsidRDefault="006E4BF9" w:rsidP="00C32674">
            <w:pPr>
              <w:spacing w:line="276" w:lineRule="auto"/>
              <w:rPr>
                <w:rFonts w:ascii="Arial" w:hAnsi="Arial" w:cs="Arial"/>
              </w:rPr>
            </w:pPr>
            <w:r w:rsidRPr="00F7228F">
              <w:rPr>
                <w:rFonts w:ascii="Arial" w:hAnsi="Arial" w:cs="Arial"/>
              </w:rPr>
              <w:t>0.091</w:t>
            </w:r>
          </w:p>
        </w:tc>
        <w:tc>
          <w:tcPr>
            <w:tcW w:w="470" w:type="pct"/>
          </w:tcPr>
          <w:p w14:paraId="0A2E81BC" w14:textId="1D56B5D3" w:rsidR="00C32674" w:rsidRPr="00F7228F" w:rsidRDefault="007037A0" w:rsidP="00C32674">
            <w:pPr>
              <w:spacing w:line="276" w:lineRule="auto"/>
              <w:rPr>
                <w:rFonts w:ascii="Arial" w:hAnsi="Arial" w:cs="Arial"/>
              </w:rPr>
            </w:pPr>
            <w:r w:rsidRPr="00F7228F">
              <w:rPr>
                <w:rFonts w:ascii="Arial" w:hAnsi="Arial" w:cs="Arial"/>
              </w:rPr>
              <w:t>1.44 (0.60 – 7.73)</w:t>
            </w:r>
          </w:p>
        </w:tc>
        <w:tc>
          <w:tcPr>
            <w:tcW w:w="524" w:type="pct"/>
          </w:tcPr>
          <w:p w14:paraId="3495BC16" w14:textId="6CE2D58B" w:rsidR="00C32674" w:rsidRPr="00F7228F" w:rsidRDefault="007037A0" w:rsidP="00C32674">
            <w:pPr>
              <w:spacing w:line="276" w:lineRule="auto"/>
              <w:rPr>
                <w:rFonts w:ascii="Arial" w:hAnsi="Arial" w:cs="Arial"/>
              </w:rPr>
            </w:pPr>
            <w:r w:rsidRPr="00F7228F">
              <w:rPr>
                <w:rFonts w:ascii="Arial" w:hAnsi="Arial" w:cs="Arial"/>
              </w:rPr>
              <w:t>6.21 (1.17 – 13.19)</w:t>
            </w:r>
          </w:p>
        </w:tc>
        <w:tc>
          <w:tcPr>
            <w:tcW w:w="524" w:type="pct"/>
          </w:tcPr>
          <w:p w14:paraId="575D8DE9" w14:textId="7FD9CFC7" w:rsidR="00C32674" w:rsidRPr="00F7228F" w:rsidRDefault="007037A0" w:rsidP="00C32674">
            <w:pPr>
              <w:spacing w:line="276" w:lineRule="auto"/>
              <w:rPr>
                <w:rFonts w:ascii="Arial" w:hAnsi="Arial" w:cs="Arial"/>
              </w:rPr>
            </w:pPr>
            <w:r w:rsidRPr="00F7228F">
              <w:rPr>
                <w:rFonts w:ascii="Arial" w:hAnsi="Arial" w:cs="Arial"/>
              </w:rPr>
              <w:t>0.031</w:t>
            </w:r>
          </w:p>
        </w:tc>
      </w:tr>
      <w:tr w:rsidR="00C32674" w:rsidRPr="00F7228F" w14:paraId="704E96B5" w14:textId="3B1A0BCC" w:rsidTr="00C32674">
        <w:tc>
          <w:tcPr>
            <w:tcW w:w="455" w:type="pct"/>
            <w:vAlign w:val="center"/>
          </w:tcPr>
          <w:p w14:paraId="54A85AD1" w14:textId="77777777" w:rsidR="00C32674" w:rsidRPr="00F7228F" w:rsidRDefault="00C32674" w:rsidP="00C32674">
            <w:pPr>
              <w:spacing w:line="276" w:lineRule="auto"/>
              <w:rPr>
                <w:rFonts w:ascii="Arial" w:hAnsi="Arial" w:cs="Arial"/>
              </w:rPr>
            </w:pPr>
            <w:r w:rsidRPr="00F7228F">
              <w:rPr>
                <w:rFonts w:ascii="Arial" w:hAnsi="Arial" w:cs="Arial"/>
              </w:rPr>
              <w:t>IL-6</w:t>
            </w:r>
          </w:p>
          <w:p w14:paraId="59B0D42C"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6FC88A6D" w14:textId="77777777" w:rsidR="00C32674" w:rsidRPr="00F7228F" w:rsidRDefault="00C32674" w:rsidP="00C32674">
            <w:pPr>
              <w:spacing w:line="276" w:lineRule="auto"/>
              <w:rPr>
                <w:rFonts w:ascii="Arial" w:hAnsi="Arial" w:cs="Arial"/>
              </w:rPr>
            </w:pPr>
            <w:r w:rsidRPr="00F7228F">
              <w:rPr>
                <w:rFonts w:ascii="Arial" w:hAnsi="Arial" w:cs="Arial"/>
              </w:rPr>
              <w:t>3.45 (2.04 – 5.81)</w:t>
            </w:r>
          </w:p>
        </w:tc>
        <w:tc>
          <w:tcPr>
            <w:tcW w:w="389" w:type="pct"/>
          </w:tcPr>
          <w:p w14:paraId="7B736DC2" w14:textId="77777777" w:rsidR="00C32674" w:rsidRPr="00F7228F" w:rsidRDefault="00C32674" w:rsidP="00C32674">
            <w:pPr>
              <w:spacing w:line="276" w:lineRule="auto"/>
              <w:rPr>
                <w:rFonts w:ascii="Arial" w:hAnsi="Arial" w:cs="Arial"/>
              </w:rPr>
            </w:pPr>
            <w:r w:rsidRPr="00F7228F">
              <w:rPr>
                <w:rFonts w:ascii="Arial" w:hAnsi="Arial" w:cs="Arial"/>
              </w:rPr>
              <w:t>802.74</w:t>
            </w:r>
          </w:p>
          <w:p w14:paraId="1646968D" w14:textId="77777777" w:rsidR="00C32674" w:rsidRPr="00F7228F" w:rsidRDefault="00C32674" w:rsidP="00C32674">
            <w:pPr>
              <w:spacing w:line="276" w:lineRule="auto"/>
              <w:rPr>
                <w:rFonts w:ascii="Arial" w:hAnsi="Arial" w:cs="Arial"/>
              </w:rPr>
            </w:pPr>
            <w:r w:rsidRPr="00F7228F">
              <w:rPr>
                <w:rFonts w:ascii="Arial" w:hAnsi="Arial" w:cs="Arial"/>
              </w:rPr>
              <w:t>(256.25 – 3936.11)</w:t>
            </w:r>
          </w:p>
        </w:tc>
        <w:tc>
          <w:tcPr>
            <w:tcW w:w="321" w:type="pct"/>
          </w:tcPr>
          <w:p w14:paraId="2D0A686E"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03550933" w14:textId="77777777" w:rsidR="00C32674" w:rsidRPr="00F7228F" w:rsidRDefault="00C32674" w:rsidP="00C32674">
            <w:pPr>
              <w:spacing w:line="276" w:lineRule="auto"/>
              <w:jc w:val="right"/>
              <w:rPr>
                <w:rFonts w:ascii="Arial" w:hAnsi="Arial" w:cs="Arial"/>
              </w:rPr>
            </w:pPr>
            <w:r w:rsidRPr="00F7228F">
              <w:rPr>
                <w:rFonts w:ascii="Arial" w:hAnsi="Arial" w:cs="Arial"/>
              </w:rPr>
              <w:t>232.68</w:t>
            </w:r>
          </w:p>
        </w:tc>
        <w:tc>
          <w:tcPr>
            <w:tcW w:w="462" w:type="pct"/>
          </w:tcPr>
          <w:p w14:paraId="685E746D" w14:textId="6927130D" w:rsidR="00C32674" w:rsidRPr="00F7228F" w:rsidRDefault="006E4BF9" w:rsidP="00C32674">
            <w:pPr>
              <w:spacing w:line="276" w:lineRule="auto"/>
              <w:rPr>
                <w:rFonts w:ascii="Arial" w:hAnsi="Arial" w:cs="Arial"/>
              </w:rPr>
            </w:pPr>
            <w:r w:rsidRPr="00F7228F">
              <w:rPr>
                <w:rFonts w:ascii="Arial" w:hAnsi="Arial" w:cs="Arial"/>
              </w:rPr>
              <w:t>2.79 (2.00 – 4.62)</w:t>
            </w:r>
          </w:p>
        </w:tc>
        <w:tc>
          <w:tcPr>
            <w:tcW w:w="533" w:type="pct"/>
          </w:tcPr>
          <w:p w14:paraId="71CC4D58" w14:textId="1BAAB6ED" w:rsidR="00C32674" w:rsidRPr="00F7228F" w:rsidRDefault="006E4BF9" w:rsidP="00C32674">
            <w:pPr>
              <w:spacing w:line="276" w:lineRule="auto"/>
              <w:rPr>
                <w:rFonts w:ascii="Arial" w:hAnsi="Arial" w:cs="Arial"/>
              </w:rPr>
            </w:pPr>
            <w:r w:rsidRPr="00F7228F">
              <w:rPr>
                <w:rFonts w:ascii="Arial" w:hAnsi="Arial" w:cs="Arial"/>
              </w:rPr>
              <w:t>4.67 (2.37 – 7.28)</w:t>
            </w:r>
          </w:p>
        </w:tc>
        <w:tc>
          <w:tcPr>
            <w:tcW w:w="470" w:type="pct"/>
          </w:tcPr>
          <w:p w14:paraId="1B8497B5" w14:textId="47D27083" w:rsidR="00C32674" w:rsidRPr="00F7228F" w:rsidRDefault="006E4BF9" w:rsidP="00C32674">
            <w:pPr>
              <w:spacing w:line="276" w:lineRule="auto"/>
              <w:rPr>
                <w:rFonts w:ascii="Arial" w:hAnsi="Arial" w:cs="Arial"/>
              </w:rPr>
            </w:pPr>
            <w:r w:rsidRPr="00F7228F">
              <w:rPr>
                <w:rFonts w:ascii="Arial" w:hAnsi="Arial" w:cs="Arial"/>
              </w:rPr>
              <w:t>0.046</w:t>
            </w:r>
          </w:p>
        </w:tc>
        <w:tc>
          <w:tcPr>
            <w:tcW w:w="470" w:type="pct"/>
          </w:tcPr>
          <w:p w14:paraId="1FEBA66D" w14:textId="3CF7E871" w:rsidR="00C32674" w:rsidRPr="00F7228F" w:rsidRDefault="007037A0" w:rsidP="00C32674">
            <w:pPr>
              <w:spacing w:line="276" w:lineRule="auto"/>
              <w:rPr>
                <w:rFonts w:ascii="Arial" w:hAnsi="Arial" w:cs="Arial"/>
              </w:rPr>
            </w:pPr>
            <w:r w:rsidRPr="00F7228F">
              <w:rPr>
                <w:rFonts w:ascii="Arial" w:hAnsi="Arial" w:cs="Arial"/>
              </w:rPr>
              <w:t>545.03 (201.69 – 2554.26)</w:t>
            </w:r>
          </w:p>
        </w:tc>
        <w:tc>
          <w:tcPr>
            <w:tcW w:w="524" w:type="pct"/>
          </w:tcPr>
          <w:p w14:paraId="6E15D35C" w14:textId="0FD3C5DD" w:rsidR="00C32674" w:rsidRPr="00F7228F" w:rsidRDefault="007037A0" w:rsidP="00C32674">
            <w:pPr>
              <w:spacing w:line="276" w:lineRule="auto"/>
              <w:rPr>
                <w:rFonts w:ascii="Arial" w:hAnsi="Arial" w:cs="Arial"/>
              </w:rPr>
            </w:pPr>
            <w:r w:rsidRPr="00F7228F">
              <w:rPr>
                <w:rFonts w:ascii="Arial" w:hAnsi="Arial" w:cs="Arial"/>
              </w:rPr>
              <w:t>1751.00 (460.66 – 4693.41)</w:t>
            </w:r>
          </w:p>
        </w:tc>
        <w:tc>
          <w:tcPr>
            <w:tcW w:w="524" w:type="pct"/>
          </w:tcPr>
          <w:p w14:paraId="71435704" w14:textId="6163A6B2" w:rsidR="00C32674" w:rsidRPr="00F7228F" w:rsidRDefault="007037A0" w:rsidP="00C32674">
            <w:pPr>
              <w:spacing w:line="276" w:lineRule="auto"/>
              <w:rPr>
                <w:rFonts w:ascii="Arial" w:hAnsi="Arial" w:cs="Arial"/>
              </w:rPr>
            </w:pPr>
            <w:r w:rsidRPr="00F7228F">
              <w:rPr>
                <w:rFonts w:ascii="Arial" w:hAnsi="Arial" w:cs="Arial"/>
              </w:rPr>
              <w:t>0.073</w:t>
            </w:r>
          </w:p>
        </w:tc>
      </w:tr>
      <w:tr w:rsidR="00C32674" w:rsidRPr="00F7228F" w14:paraId="2EC9229C" w14:textId="3F6E205A" w:rsidTr="00C32674">
        <w:tc>
          <w:tcPr>
            <w:tcW w:w="455" w:type="pct"/>
            <w:vAlign w:val="center"/>
          </w:tcPr>
          <w:p w14:paraId="11F88BE7" w14:textId="77777777" w:rsidR="00C32674" w:rsidRPr="00F7228F" w:rsidRDefault="00C32674" w:rsidP="00C32674">
            <w:pPr>
              <w:spacing w:line="276" w:lineRule="auto"/>
              <w:rPr>
                <w:rFonts w:ascii="Arial" w:hAnsi="Arial" w:cs="Arial"/>
              </w:rPr>
            </w:pPr>
            <w:r w:rsidRPr="00F7228F">
              <w:rPr>
                <w:rFonts w:ascii="Arial" w:hAnsi="Arial" w:cs="Arial"/>
              </w:rPr>
              <w:t>IL-8</w:t>
            </w:r>
          </w:p>
          <w:p w14:paraId="071BE7ED"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549D1BC1" w14:textId="77777777" w:rsidR="00C32674" w:rsidRPr="00F7228F" w:rsidRDefault="00C32674" w:rsidP="00C32674">
            <w:pPr>
              <w:spacing w:line="276" w:lineRule="auto"/>
              <w:rPr>
                <w:rFonts w:ascii="Arial" w:hAnsi="Arial" w:cs="Arial"/>
              </w:rPr>
            </w:pPr>
            <w:r w:rsidRPr="00F7228F">
              <w:rPr>
                <w:rFonts w:ascii="Arial" w:hAnsi="Arial" w:cs="Arial"/>
              </w:rPr>
              <w:t>21.76 (14.86 – 26.71)</w:t>
            </w:r>
          </w:p>
        </w:tc>
        <w:tc>
          <w:tcPr>
            <w:tcW w:w="389" w:type="pct"/>
          </w:tcPr>
          <w:p w14:paraId="2A3E9ED8" w14:textId="77777777" w:rsidR="00C32674" w:rsidRPr="00F7228F" w:rsidRDefault="00C32674" w:rsidP="00C32674">
            <w:pPr>
              <w:spacing w:line="276" w:lineRule="auto"/>
              <w:rPr>
                <w:rFonts w:ascii="Arial" w:hAnsi="Arial" w:cs="Arial"/>
              </w:rPr>
            </w:pPr>
            <w:r w:rsidRPr="00F7228F">
              <w:rPr>
                <w:rFonts w:ascii="Arial" w:hAnsi="Arial" w:cs="Arial"/>
              </w:rPr>
              <w:t xml:space="preserve">1013.09 </w:t>
            </w:r>
          </w:p>
          <w:p w14:paraId="3F60953E" w14:textId="77777777" w:rsidR="00C32674" w:rsidRPr="00F7228F" w:rsidRDefault="00C32674" w:rsidP="00C32674">
            <w:pPr>
              <w:spacing w:line="276" w:lineRule="auto"/>
              <w:rPr>
                <w:rFonts w:ascii="Arial" w:hAnsi="Arial" w:cs="Arial"/>
              </w:rPr>
            </w:pPr>
            <w:r w:rsidRPr="00F7228F">
              <w:rPr>
                <w:rFonts w:ascii="Arial" w:hAnsi="Arial" w:cs="Arial"/>
              </w:rPr>
              <w:t>(540.63 – 2531.08)</w:t>
            </w:r>
          </w:p>
        </w:tc>
        <w:tc>
          <w:tcPr>
            <w:tcW w:w="321" w:type="pct"/>
          </w:tcPr>
          <w:p w14:paraId="774A3E04"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763A1F21" w14:textId="77777777" w:rsidR="00C32674" w:rsidRPr="00F7228F" w:rsidRDefault="00C32674" w:rsidP="00C32674">
            <w:pPr>
              <w:spacing w:line="276" w:lineRule="auto"/>
              <w:jc w:val="right"/>
              <w:rPr>
                <w:rFonts w:ascii="Arial" w:hAnsi="Arial" w:cs="Arial"/>
              </w:rPr>
            </w:pPr>
            <w:r w:rsidRPr="00F7228F">
              <w:rPr>
                <w:rFonts w:ascii="Arial" w:hAnsi="Arial" w:cs="Arial"/>
              </w:rPr>
              <w:t>46.56</w:t>
            </w:r>
          </w:p>
        </w:tc>
        <w:tc>
          <w:tcPr>
            <w:tcW w:w="462" w:type="pct"/>
          </w:tcPr>
          <w:p w14:paraId="06338232" w14:textId="0EF348E9" w:rsidR="00C32674" w:rsidRPr="00F7228F" w:rsidRDefault="006E4BF9" w:rsidP="00C32674">
            <w:pPr>
              <w:spacing w:line="276" w:lineRule="auto"/>
              <w:rPr>
                <w:rFonts w:ascii="Arial" w:hAnsi="Arial" w:cs="Arial"/>
              </w:rPr>
            </w:pPr>
            <w:r w:rsidRPr="00F7228F">
              <w:rPr>
                <w:rFonts w:ascii="Arial" w:hAnsi="Arial" w:cs="Arial"/>
              </w:rPr>
              <w:t>18.87 (13.29 – 25.33)</w:t>
            </w:r>
          </w:p>
        </w:tc>
        <w:tc>
          <w:tcPr>
            <w:tcW w:w="533" w:type="pct"/>
          </w:tcPr>
          <w:p w14:paraId="77A7D259" w14:textId="3005FD4A" w:rsidR="00C32674" w:rsidRPr="00F7228F" w:rsidRDefault="006E4BF9" w:rsidP="00C32674">
            <w:pPr>
              <w:spacing w:line="276" w:lineRule="auto"/>
              <w:rPr>
                <w:rFonts w:ascii="Arial" w:hAnsi="Arial" w:cs="Arial"/>
              </w:rPr>
            </w:pPr>
            <w:r w:rsidRPr="00F7228F">
              <w:rPr>
                <w:rFonts w:ascii="Arial" w:hAnsi="Arial" w:cs="Arial"/>
              </w:rPr>
              <w:t>24.82 (17.23 – 42.39)</w:t>
            </w:r>
          </w:p>
        </w:tc>
        <w:tc>
          <w:tcPr>
            <w:tcW w:w="470" w:type="pct"/>
          </w:tcPr>
          <w:p w14:paraId="0DADAE7B" w14:textId="0B58EEDD" w:rsidR="00C32674" w:rsidRPr="00F7228F" w:rsidRDefault="006E4BF9" w:rsidP="00C32674">
            <w:pPr>
              <w:spacing w:line="276" w:lineRule="auto"/>
              <w:rPr>
                <w:rFonts w:ascii="Arial" w:hAnsi="Arial" w:cs="Arial"/>
              </w:rPr>
            </w:pPr>
            <w:r w:rsidRPr="00F7228F">
              <w:rPr>
                <w:rFonts w:ascii="Arial" w:hAnsi="Arial" w:cs="Arial"/>
              </w:rPr>
              <w:t>0.024</w:t>
            </w:r>
          </w:p>
        </w:tc>
        <w:tc>
          <w:tcPr>
            <w:tcW w:w="470" w:type="pct"/>
          </w:tcPr>
          <w:p w14:paraId="2BF1D29F" w14:textId="0A03C364" w:rsidR="00C32674" w:rsidRPr="00F7228F" w:rsidRDefault="007037A0" w:rsidP="00C32674">
            <w:pPr>
              <w:spacing w:line="276" w:lineRule="auto"/>
              <w:rPr>
                <w:rFonts w:ascii="Arial" w:hAnsi="Arial" w:cs="Arial"/>
              </w:rPr>
            </w:pPr>
            <w:r w:rsidRPr="00F7228F">
              <w:rPr>
                <w:rFonts w:ascii="Arial" w:hAnsi="Arial" w:cs="Arial"/>
              </w:rPr>
              <w:t>918.49 (511.45 – 2207.90)</w:t>
            </w:r>
          </w:p>
        </w:tc>
        <w:tc>
          <w:tcPr>
            <w:tcW w:w="524" w:type="pct"/>
          </w:tcPr>
          <w:p w14:paraId="650D0DFA" w14:textId="2EC478A4" w:rsidR="00C32674" w:rsidRPr="00F7228F" w:rsidRDefault="007037A0" w:rsidP="00C32674">
            <w:pPr>
              <w:spacing w:line="276" w:lineRule="auto"/>
              <w:rPr>
                <w:rFonts w:ascii="Arial" w:hAnsi="Arial" w:cs="Arial"/>
              </w:rPr>
            </w:pPr>
            <w:r w:rsidRPr="00F7228F">
              <w:rPr>
                <w:rFonts w:ascii="Arial" w:hAnsi="Arial" w:cs="Arial"/>
              </w:rPr>
              <w:t>1320.55 (611.74 – 2867.63)</w:t>
            </w:r>
          </w:p>
        </w:tc>
        <w:tc>
          <w:tcPr>
            <w:tcW w:w="524" w:type="pct"/>
          </w:tcPr>
          <w:p w14:paraId="7EDBE5BF" w14:textId="0EFC13D9" w:rsidR="00C32674" w:rsidRPr="00F7228F" w:rsidRDefault="007037A0" w:rsidP="00C32674">
            <w:pPr>
              <w:spacing w:line="276" w:lineRule="auto"/>
              <w:rPr>
                <w:rFonts w:ascii="Arial" w:hAnsi="Arial" w:cs="Arial"/>
              </w:rPr>
            </w:pPr>
            <w:r w:rsidRPr="00F7228F">
              <w:rPr>
                <w:rFonts w:ascii="Arial" w:hAnsi="Arial" w:cs="Arial"/>
              </w:rPr>
              <w:t>0.154</w:t>
            </w:r>
          </w:p>
        </w:tc>
      </w:tr>
      <w:tr w:rsidR="00C32674" w:rsidRPr="00F7228F" w14:paraId="0DCEE398" w14:textId="5509D469" w:rsidTr="00C32674">
        <w:tc>
          <w:tcPr>
            <w:tcW w:w="455" w:type="pct"/>
            <w:vAlign w:val="center"/>
          </w:tcPr>
          <w:p w14:paraId="75418A9E" w14:textId="77777777" w:rsidR="00C32674" w:rsidRPr="00F7228F" w:rsidRDefault="00C32674" w:rsidP="00C32674">
            <w:pPr>
              <w:spacing w:line="276" w:lineRule="auto"/>
              <w:rPr>
                <w:rFonts w:ascii="Arial" w:hAnsi="Arial" w:cs="Arial"/>
              </w:rPr>
            </w:pPr>
            <w:r w:rsidRPr="00F7228F">
              <w:rPr>
                <w:rFonts w:ascii="Arial" w:hAnsi="Arial" w:cs="Arial"/>
              </w:rPr>
              <w:t>IL-10</w:t>
            </w:r>
          </w:p>
          <w:p w14:paraId="6E6FC855"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51654550" w14:textId="77777777" w:rsidR="00C32674" w:rsidRPr="00F7228F" w:rsidRDefault="00C32674" w:rsidP="00C32674">
            <w:pPr>
              <w:spacing w:line="276" w:lineRule="auto"/>
              <w:rPr>
                <w:rFonts w:ascii="Arial" w:hAnsi="Arial" w:cs="Arial"/>
              </w:rPr>
            </w:pPr>
            <w:r w:rsidRPr="00F7228F">
              <w:rPr>
                <w:rFonts w:ascii="Arial" w:hAnsi="Arial" w:cs="Arial"/>
              </w:rPr>
              <w:t>0.67 (0.43 – 0.90)</w:t>
            </w:r>
          </w:p>
        </w:tc>
        <w:tc>
          <w:tcPr>
            <w:tcW w:w="389" w:type="pct"/>
          </w:tcPr>
          <w:p w14:paraId="3520DF36" w14:textId="77777777" w:rsidR="00C32674" w:rsidRPr="00F7228F" w:rsidRDefault="00C32674" w:rsidP="00C32674">
            <w:pPr>
              <w:spacing w:line="276" w:lineRule="auto"/>
              <w:rPr>
                <w:rFonts w:ascii="Arial" w:hAnsi="Arial" w:cs="Arial"/>
              </w:rPr>
            </w:pPr>
            <w:r w:rsidRPr="00F7228F">
              <w:rPr>
                <w:rFonts w:ascii="Arial" w:hAnsi="Arial" w:cs="Arial"/>
              </w:rPr>
              <w:t>2.45 (1.22 – 4.09)</w:t>
            </w:r>
          </w:p>
        </w:tc>
        <w:tc>
          <w:tcPr>
            <w:tcW w:w="321" w:type="pct"/>
          </w:tcPr>
          <w:p w14:paraId="491FE997"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685130ED" w14:textId="77777777" w:rsidR="00C32674" w:rsidRPr="00F7228F" w:rsidRDefault="00C32674" w:rsidP="00C32674">
            <w:pPr>
              <w:spacing w:line="276" w:lineRule="auto"/>
              <w:jc w:val="right"/>
              <w:rPr>
                <w:rFonts w:ascii="Arial" w:hAnsi="Arial" w:cs="Arial"/>
              </w:rPr>
            </w:pPr>
            <w:r w:rsidRPr="00F7228F">
              <w:rPr>
                <w:rFonts w:ascii="Arial" w:hAnsi="Arial" w:cs="Arial"/>
              </w:rPr>
              <w:t>3.66</w:t>
            </w:r>
          </w:p>
        </w:tc>
        <w:tc>
          <w:tcPr>
            <w:tcW w:w="462" w:type="pct"/>
          </w:tcPr>
          <w:p w14:paraId="54BEDDA7" w14:textId="452B5899" w:rsidR="00C32674" w:rsidRPr="00F7228F" w:rsidRDefault="006E4BF9" w:rsidP="00C32674">
            <w:pPr>
              <w:spacing w:line="276" w:lineRule="auto"/>
              <w:rPr>
                <w:rFonts w:ascii="Arial" w:hAnsi="Arial" w:cs="Arial"/>
              </w:rPr>
            </w:pPr>
            <w:r w:rsidRPr="00F7228F">
              <w:rPr>
                <w:rFonts w:ascii="Arial" w:hAnsi="Arial" w:cs="Arial"/>
              </w:rPr>
              <w:t>0.56 (0.43 – 0.79)</w:t>
            </w:r>
          </w:p>
        </w:tc>
        <w:tc>
          <w:tcPr>
            <w:tcW w:w="533" w:type="pct"/>
          </w:tcPr>
          <w:p w14:paraId="644A0DD2" w14:textId="3094BE15" w:rsidR="00C32674" w:rsidRPr="00F7228F" w:rsidRDefault="006E4BF9" w:rsidP="00C32674">
            <w:pPr>
              <w:spacing w:line="276" w:lineRule="auto"/>
              <w:rPr>
                <w:rFonts w:ascii="Arial" w:hAnsi="Arial" w:cs="Arial"/>
              </w:rPr>
            </w:pPr>
            <w:r w:rsidRPr="00F7228F">
              <w:rPr>
                <w:rFonts w:ascii="Arial" w:hAnsi="Arial" w:cs="Arial"/>
              </w:rPr>
              <w:t>0.75 (0.50 – 1.18)</w:t>
            </w:r>
          </w:p>
        </w:tc>
        <w:tc>
          <w:tcPr>
            <w:tcW w:w="470" w:type="pct"/>
          </w:tcPr>
          <w:p w14:paraId="60B186FE" w14:textId="34E18353" w:rsidR="00C32674" w:rsidRPr="00F7228F" w:rsidRDefault="006E4BF9" w:rsidP="00C32674">
            <w:pPr>
              <w:spacing w:line="276" w:lineRule="auto"/>
              <w:rPr>
                <w:rFonts w:ascii="Arial" w:hAnsi="Arial" w:cs="Arial"/>
              </w:rPr>
            </w:pPr>
            <w:r w:rsidRPr="00F7228F">
              <w:rPr>
                <w:rFonts w:ascii="Arial" w:hAnsi="Arial" w:cs="Arial"/>
              </w:rPr>
              <w:t>0.067</w:t>
            </w:r>
          </w:p>
        </w:tc>
        <w:tc>
          <w:tcPr>
            <w:tcW w:w="470" w:type="pct"/>
          </w:tcPr>
          <w:p w14:paraId="1E1E36DD" w14:textId="3FB528EE" w:rsidR="00C32674" w:rsidRPr="00F7228F" w:rsidRDefault="007037A0" w:rsidP="00C32674">
            <w:pPr>
              <w:spacing w:line="276" w:lineRule="auto"/>
              <w:rPr>
                <w:rFonts w:ascii="Arial" w:hAnsi="Arial" w:cs="Arial"/>
              </w:rPr>
            </w:pPr>
            <w:r w:rsidRPr="00F7228F">
              <w:rPr>
                <w:rFonts w:ascii="Arial" w:hAnsi="Arial" w:cs="Arial"/>
              </w:rPr>
              <w:t>2.45 (1.22 – 4.21)</w:t>
            </w:r>
          </w:p>
        </w:tc>
        <w:tc>
          <w:tcPr>
            <w:tcW w:w="524" w:type="pct"/>
          </w:tcPr>
          <w:p w14:paraId="2258FC3B" w14:textId="3D9DBDF3" w:rsidR="00C32674" w:rsidRPr="00F7228F" w:rsidRDefault="007037A0" w:rsidP="00C32674">
            <w:pPr>
              <w:spacing w:line="276" w:lineRule="auto"/>
              <w:rPr>
                <w:rFonts w:ascii="Arial" w:hAnsi="Arial" w:cs="Arial"/>
              </w:rPr>
            </w:pPr>
            <w:r w:rsidRPr="00F7228F">
              <w:rPr>
                <w:rFonts w:ascii="Arial" w:hAnsi="Arial" w:cs="Arial"/>
              </w:rPr>
              <w:t>2.43 (1.25 – 4.03)</w:t>
            </w:r>
          </w:p>
        </w:tc>
        <w:tc>
          <w:tcPr>
            <w:tcW w:w="524" w:type="pct"/>
          </w:tcPr>
          <w:p w14:paraId="75269C14" w14:textId="287124C5" w:rsidR="00C32674" w:rsidRPr="00F7228F" w:rsidRDefault="007037A0" w:rsidP="00C32674">
            <w:pPr>
              <w:spacing w:line="276" w:lineRule="auto"/>
              <w:rPr>
                <w:rFonts w:ascii="Arial" w:hAnsi="Arial" w:cs="Arial"/>
              </w:rPr>
            </w:pPr>
            <w:r w:rsidRPr="00F7228F">
              <w:rPr>
                <w:rFonts w:ascii="Arial" w:hAnsi="Arial" w:cs="Arial"/>
              </w:rPr>
              <w:t>0.743</w:t>
            </w:r>
          </w:p>
        </w:tc>
      </w:tr>
      <w:tr w:rsidR="00C32674" w:rsidRPr="00F7228F" w14:paraId="722658DE" w14:textId="653EA698" w:rsidTr="00C32674">
        <w:tc>
          <w:tcPr>
            <w:tcW w:w="455" w:type="pct"/>
            <w:vAlign w:val="center"/>
          </w:tcPr>
          <w:p w14:paraId="54FDFC7C" w14:textId="77777777" w:rsidR="00C32674" w:rsidRPr="00F7228F" w:rsidRDefault="00C32674" w:rsidP="00C32674">
            <w:pPr>
              <w:spacing w:line="276" w:lineRule="auto"/>
              <w:rPr>
                <w:rFonts w:ascii="Arial" w:hAnsi="Arial" w:cs="Arial"/>
              </w:rPr>
            </w:pPr>
            <w:r w:rsidRPr="00F7228F">
              <w:rPr>
                <w:rFonts w:ascii="Arial" w:hAnsi="Arial" w:cs="Arial"/>
              </w:rPr>
              <w:t>IL-12</w:t>
            </w:r>
          </w:p>
          <w:p w14:paraId="2ECBF8B7"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62114BE3" w14:textId="77777777" w:rsidR="00C32674" w:rsidRPr="00F7228F" w:rsidRDefault="00C32674" w:rsidP="00C32674">
            <w:pPr>
              <w:spacing w:line="276" w:lineRule="auto"/>
              <w:rPr>
                <w:rFonts w:ascii="Arial" w:hAnsi="Arial" w:cs="Arial"/>
              </w:rPr>
            </w:pPr>
            <w:r w:rsidRPr="00F7228F">
              <w:rPr>
                <w:rFonts w:ascii="Arial" w:hAnsi="Arial" w:cs="Arial"/>
              </w:rPr>
              <w:t>0.23 (0.17 – 0.32)</w:t>
            </w:r>
          </w:p>
        </w:tc>
        <w:tc>
          <w:tcPr>
            <w:tcW w:w="389" w:type="pct"/>
          </w:tcPr>
          <w:p w14:paraId="4C992146" w14:textId="77777777" w:rsidR="00C32674" w:rsidRPr="00F7228F" w:rsidRDefault="00C32674" w:rsidP="00C32674">
            <w:pPr>
              <w:spacing w:line="276" w:lineRule="auto"/>
              <w:rPr>
                <w:rFonts w:ascii="Arial" w:hAnsi="Arial" w:cs="Arial"/>
              </w:rPr>
            </w:pPr>
            <w:r w:rsidRPr="00F7228F">
              <w:rPr>
                <w:rFonts w:ascii="Arial" w:hAnsi="Arial" w:cs="Arial"/>
              </w:rPr>
              <w:t>3.04 (0.92 – 15.57)</w:t>
            </w:r>
          </w:p>
        </w:tc>
        <w:tc>
          <w:tcPr>
            <w:tcW w:w="321" w:type="pct"/>
          </w:tcPr>
          <w:p w14:paraId="299E6428"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3C751152" w14:textId="77777777" w:rsidR="00C32674" w:rsidRPr="00F7228F" w:rsidRDefault="00C32674" w:rsidP="00C32674">
            <w:pPr>
              <w:spacing w:line="276" w:lineRule="auto"/>
              <w:jc w:val="right"/>
              <w:rPr>
                <w:rFonts w:ascii="Arial" w:hAnsi="Arial" w:cs="Arial"/>
              </w:rPr>
            </w:pPr>
            <w:r w:rsidRPr="00F7228F">
              <w:rPr>
                <w:rFonts w:ascii="Arial" w:hAnsi="Arial" w:cs="Arial"/>
              </w:rPr>
              <w:t>13.22</w:t>
            </w:r>
          </w:p>
        </w:tc>
        <w:tc>
          <w:tcPr>
            <w:tcW w:w="462" w:type="pct"/>
          </w:tcPr>
          <w:p w14:paraId="70157B9B" w14:textId="39839325" w:rsidR="00C32674" w:rsidRPr="00F7228F" w:rsidRDefault="006E4BF9" w:rsidP="00C32674">
            <w:pPr>
              <w:spacing w:line="276" w:lineRule="auto"/>
              <w:rPr>
                <w:rFonts w:ascii="Arial" w:hAnsi="Arial" w:cs="Arial"/>
              </w:rPr>
            </w:pPr>
            <w:r w:rsidRPr="00F7228F">
              <w:rPr>
                <w:rFonts w:ascii="Arial" w:hAnsi="Arial" w:cs="Arial"/>
              </w:rPr>
              <w:t>0.23 (0.16 – 0.30)</w:t>
            </w:r>
          </w:p>
        </w:tc>
        <w:tc>
          <w:tcPr>
            <w:tcW w:w="533" w:type="pct"/>
          </w:tcPr>
          <w:p w14:paraId="2E679C62" w14:textId="1CC3D92F" w:rsidR="00C32674" w:rsidRPr="00F7228F" w:rsidRDefault="006E4BF9" w:rsidP="00C32674">
            <w:pPr>
              <w:spacing w:line="276" w:lineRule="auto"/>
              <w:rPr>
                <w:rFonts w:ascii="Arial" w:hAnsi="Arial" w:cs="Arial"/>
              </w:rPr>
            </w:pPr>
            <w:r w:rsidRPr="00F7228F">
              <w:rPr>
                <w:rFonts w:ascii="Arial" w:hAnsi="Arial" w:cs="Arial"/>
              </w:rPr>
              <w:t>0.20 (0.17 – 0.32)</w:t>
            </w:r>
          </w:p>
        </w:tc>
        <w:tc>
          <w:tcPr>
            <w:tcW w:w="470" w:type="pct"/>
          </w:tcPr>
          <w:p w14:paraId="0148DA74" w14:textId="3817FEF5" w:rsidR="00C32674" w:rsidRPr="00F7228F" w:rsidRDefault="006E4BF9" w:rsidP="00C32674">
            <w:pPr>
              <w:spacing w:line="276" w:lineRule="auto"/>
              <w:rPr>
                <w:rFonts w:ascii="Arial" w:hAnsi="Arial" w:cs="Arial"/>
              </w:rPr>
            </w:pPr>
            <w:r w:rsidRPr="00F7228F">
              <w:rPr>
                <w:rFonts w:ascii="Arial" w:hAnsi="Arial" w:cs="Arial"/>
              </w:rPr>
              <w:t>0.827</w:t>
            </w:r>
          </w:p>
        </w:tc>
        <w:tc>
          <w:tcPr>
            <w:tcW w:w="470" w:type="pct"/>
          </w:tcPr>
          <w:p w14:paraId="081D3E7A" w14:textId="50B6ABC2" w:rsidR="00C32674" w:rsidRPr="00F7228F" w:rsidRDefault="007037A0" w:rsidP="00C32674">
            <w:pPr>
              <w:spacing w:line="276" w:lineRule="auto"/>
              <w:rPr>
                <w:rFonts w:ascii="Arial" w:hAnsi="Arial" w:cs="Arial"/>
              </w:rPr>
            </w:pPr>
            <w:r w:rsidRPr="00F7228F">
              <w:rPr>
                <w:rFonts w:ascii="Arial" w:hAnsi="Arial" w:cs="Arial"/>
              </w:rPr>
              <w:t>2.23 (0.85 – 12.93)</w:t>
            </w:r>
          </w:p>
        </w:tc>
        <w:tc>
          <w:tcPr>
            <w:tcW w:w="524" w:type="pct"/>
          </w:tcPr>
          <w:p w14:paraId="553FF999" w14:textId="5F3EDAAA" w:rsidR="00C32674" w:rsidRPr="00F7228F" w:rsidRDefault="007037A0" w:rsidP="00C32674">
            <w:pPr>
              <w:spacing w:line="276" w:lineRule="auto"/>
              <w:rPr>
                <w:rFonts w:ascii="Arial" w:hAnsi="Arial" w:cs="Arial"/>
              </w:rPr>
            </w:pPr>
            <w:r w:rsidRPr="00F7228F">
              <w:rPr>
                <w:rFonts w:ascii="Arial" w:hAnsi="Arial" w:cs="Arial"/>
              </w:rPr>
              <w:t>12.35 (1.92 – 17.37)</w:t>
            </w:r>
          </w:p>
        </w:tc>
        <w:tc>
          <w:tcPr>
            <w:tcW w:w="524" w:type="pct"/>
          </w:tcPr>
          <w:p w14:paraId="2F8A14D3" w14:textId="1ED70886" w:rsidR="00C32674" w:rsidRPr="00F7228F" w:rsidRDefault="007037A0" w:rsidP="00C32674">
            <w:pPr>
              <w:spacing w:line="276" w:lineRule="auto"/>
              <w:rPr>
                <w:rFonts w:ascii="Arial" w:hAnsi="Arial" w:cs="Arial"/>
              </w:rPr>
            </w:pPr>
            <w:r w:rsidRPr="00F7228F">
              <w:rPr>
                <w:rFonts w:ascii="Arial" w:hAnsi="Arial" w:cs="Arial"/>
              </w:rPr>
              <w:t>0.026</w:t>
            </w:r>
          </w:p>
        </w:tc>
      </w:tr>
      <w:tr w:rsidR="00C32674" w:rsidRPr="00F7228F" w14:paraId="5911D199" w14:textId="5F4DA2F0" w:rsidTr="00C32674">
        <w:tc>
          <w:tcPr>
            <w:tcW w:w="455" w:type="pct"/>
            <w:vAlign w:val="center"/>
          </w:tcPr>
          <w:p w14:paraId="442C33EF" w14:textId="77777777" w:rsidR="00C32674" w:rsidRPr="00F7228F" w:rsidRDefault="00C32674" w:rsidP="00C32674">
            <w:pPr>
              <w:spacing w:line="276" w:lineRule="auto"/>
              <w:rPr>
                <w:rFonts w:ascii="Arial" w:hAnsi="Arial" w:cs="Arial"/>
              </w:rPr>
            </w:pPr>
            <w:r w:rsidRPr="00F7228F">
              <w:rPr>
                <w:rFonts w:ascii="Arial" w:hAnsi="Arial" w:cs="Arial"/>
              </w:rPr>
              <w:t>IL-13</w:t>
            </w:r>
          </w:p>
          <w:p w14:paraId="6ED13841"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6B680D0C" w14:textId="77777777" w:rsidR="00C32674" w:rsidRPr="00F7228F" w:rsidRDefault="00C32674" w:rsidP="00C32674">
            <w:pPr>
              <w:spacing w:line="276" w:lineRule="auto"/>
              <w:rPr>
                <w:rFonts w:ascii="Arial" w:hAnsi="Arial" w:cs="Arial"/>
              </w:rPr>
            </w:pPr>
            <w:r w:rsidRPr="00F7228F">
              <w:rPr>
                <w:rFonts w:ascii="Arial" w:hAnsi="Arial" w:cs="Arial"/>
              </w:rPr>
              <w:t>1.89 (0.01 – 3.54)</w:t>
            </w:r>
          </w:p>
        </w:tc>
        <w:tc>
          <w:tcPr>
            <w:tcW w:w="389" w:type="pct"/>
          </w:tcPr>
          <w:p w14:paraId="11C973E2" w14:textId="77777777" w:rsidR="00C32674" w:rsidRPr="00F7228F" w:rsidRDefault="00C32674" w:rsidP="00C32674">
            <w:pPr>
              <w:spacing w:line="276" w:lineRule="auto"/>
              <w:rPr>
                <w:rFonts w:ascii="Arial" w:hAnsi="Arial" w:cs="Arial"/>
              </w:rPr>
            </w:pPr>
            <w:r w:rsidRPr="00F7228F">
              <w:rPr>
                <w:rFonts w:ascii="Arial" w:hAnsi="Arial" w:cs="Arial"/>
              </w:rPr>
              <w:t>21.66 (11.75 – 41.67)</w:t>
            </w:r>
          </w:p>
        </w:tc>
        <w:tc>
          <w:tcPr>
            <w:tcW w:w="321" w:type="pct"/>
          </w:tcPr>
          <w:p w14:paraId="786F5594"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6232FC9C" w14:textId="77777777" w:rsidR="00C32674" w:rsidRPr="00F7228F" w:rsidRDefault="00C32674" w:rsidP="00C32674">
            <w:pPr>
              <w:spacing w:line="276" w:lineRule="auto"/>
              <w:jc w:val="right"/>
              <w:rPr>
                <w:rFonts w:ascii="Arial" w:hAnsi="Arial" w:cs="Arial"/>
              </w:rPr>
            </w:pPr>
            <w:r w:rsidRPr="00F7228F">
              <w:rPr>
                <w:rFonts w:ascii="Arial" w:hAnsi="Arial" w:cs="Arial"/>
              </w:rPr>
              <w:t>11.46</w:t>
            </w:r>
          </w:p>
        </w:tc>
        <w:tc>
          <w:tcPr>
            <w:tcW w:w="462" w:type="pct"/>
          </w:tcPr>
          <w:p w14:paraId="7816A968" w14:textId="504A99EA" w:rsidR="00C32674" w:rsidRPr="00F7228F" w:rsidRDefault="006E4BF9" w:rsidP="00C32674">
            <w:pPr>
              <w:spacing w:line="276" w:lineRule="auto"/>
              <w:rPr>
                <w:rFonts w:ascii="Arial" w:hAnsi="Arial" w:cs="Arial"/>
              </w:rPr>
            </w:pPr>
            <w:r w:rsidRPr="00F7228F">
              <w:rPr>
                <w:rFonts w:ascii="Arial" w:hAnsi="Arial" w:cs="Arial"/>
              </w:rPr>
              <w:t>1.70 (0.01 – 3.25)</w:t>
            </w:r>
          </w:p>
        </w:tc>
        <w:tc>
          <w:tcPr>
            <w:tcW w:w="533" w:type="pct"/>
          </w:tcPr>
          <w:p w14:paraId="5753F743" w14:textId="6EC4DE12" w:rsidR="00C32674" w:rsidRPr="00F7228F" w:rsidRDefault="006E4BF9" w:rsidP="00C32674">
            <w:pPr>
              <w:spacing w:line="276" w:lineRule="auto"/>
              <w:rPr>
                <w:rFonts w:ascii="Arial" w:hAnsi="Arial" w:cs="Arial"/>
              </w:rPr>
            </w:pPr>
            <w:r w:rsidRPr="00F7228F">
              <w:rPr>
                <w:rFonts w:ascii="Arial" w:hAnsi="Arial" w:cs="Arial"/>
              </w:rPr>
              <w:t>1.88 (0.01 – 3.81)</w:t>
            </w:r>
          </w:p>
        </w:tc>
        <w:tc>
          <w:tcPr>
            <w:tcW w:w="470" w:type="pct"/>
          </w:tcPr>
          <w:p w14:paraId="5AB4A855" w14:textId="672BE8A8" w:rsidR="00C32674" w:rsidRPr="00F7228F" w:rsidRDefault="006E4BF9" w:rsidP="00C32674">
            <w:pPr>
              <w:spacing w:line="276" w:lineRule="auto"/>
              <w:rPr>
                <w:rFonts w:ascii="Arial" w:hAnsi="Arial" w:cs="Arial"/>
              </w:rPr>
            </w:pPr>
            <w:r w:rsidRPr="00F7228F">
              <w:rPr>
                <w:rFonts w:ascii="Arial" w:hAnsi="Arial" w:cs="Arial"/>
              </w:rPr>
              <w:t>0.325</w:t>
            </w:r>
          </w:p>
        </w:tc>
        <w:tc>
          <w:tcPr>
            <w:tcW w:w="470" w:type="pct"/>
          </w:tcPr>
          <w:p w14:paraId="479AF313" w14:textId="74EC7E9E" w:rsidR="00C32674" w:rsidRPr="00F7228F" w:rsidRDefault="006B3577" w:rsidP="00C32674">
            <w:pPr>
              <w:spacing w:line="276" w:lineRule="auto"/>
              <w:rPr>
                <w:rFonts w:ascii="Arial" w:hAnsi="Arial" w:cs="Arial"/>
              </w:rPr>
            </w:pPr>
            <w:r w:rsidRPr="00F7228F">
              <w:rPr>
                <w:rFonts w:ascii="Arial" w:hAnsi="Arial" w:cs="Arial"/>
              </w:rPr>
              <w:t>17.69 (9.85 – 35.57)</w:t>
            </w:r>
          </w:p>
        </w:tc>
        <w:tc>
          <w:tcPr>
            <w:tcW w:w="524" w:type="pct"/>
          </w:tcPr>
          <w:p w14:paraId="369EF974" w14:textId="1CB19B3E" w:rsidR="00C32674" w:rsidRPr="00F7228F" w:rsidRDefault="006B3577" w:rsidP="00C32674">
            <w:pPr>
              <w:spacing w:line="276" w:lineRule="auto"/>
              <w:rPr>
                <w:rFonts w:ascii="Arial" w:hAnsi="Arial" w:cs="Arial"/>
              </w:rPr>
            </w:pPr>
            <w:r w:rsidRPr="00F7228F">
              <w:rPr>
                <w:rFonts w:ascii="Arial" w:hAnsi="Arial" w:cs="Arial"/>
              </w:rPr>
              <w:t>27.16 (15.02 – 51.85)</w:t>
            </w:r>
          </w:p>
        </w:tc>
        <w:tc>
          <w:tcPr>
            <w:tcW w:w="524" w:type="pct"/>
          </w:tcPr>
          <w:p w14:paraId="4070CB8C" w14:textId="41E01005" w:rsidR="00C32674" w:rsidRPr="00F7228F" w:rsidRDefault="006B3577" w:rsidP="00C32674">
            <w:pPr>
              <w:spacing w:line="276" w:lineRule="auto"/>
              <w:rPr>
                <w:rFonts w:ascii="Arial" w:hAnsi="Arial" w:cs="Arial"/>
              </w:rPr>
            </w:pPr>
            <w:r w:rsidRPr="00F7228F">
              <w:rPr>
                <w:rFonts w:ascii="Arial" w:hAnsi="Arial" w:cs="Arial"/>
              </w:rPr>
              <w:t>0.070</w:t>
            </w:r>
          </w:p>
        </w:tc>
      </w:tr>
      <w:tr w:rsidR="00C32674" w:rsidRPr="00F7228F" w14:paraId="4637DBD9" w14:textId="423D8516" w:rsidTr="00C32674">
        <w:tc>
          <w:tcPr>
            <w:tcW w:w="455" w:type="pct"/>
            <w:vAlign w:val="center"/>
          </w:tcPr>
          <w:p w14:paraId="1BA2CE20" w14:textId="77777777" w:rsidR="00C32674" w:rsidRPr="00F7228F" w:rsidRDefault="00C32674" w:rsidP="00C32674">
            <w:pPr>
              <w:spacing w:line="276" w:lineRule="auto"/>
              <w:rPr>
                <w:rFonts w:ascii="Arial" w:hAnsi="Arial" w:cs="Arial"/>
              </w:rPr>
            </w:pPr>
            <w:r w:rsidRPr="00F7228F">
              <w:rPr>
                <w:rFonts w:ascii="Arial" w:hAnsi="Arial" w:cs="Arial"/>
              </w:rPr>
              <w:t xml:space="preserve">IFN-gamma </w:t>
            </w:r>
          </w:p>
          <w:p w14:paraId="4FCA588C"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20B3D22C" w14:textId="77777777" w:rsidR="00C32674" w:rsidRPr="00F7228F" w:rsidRDefault="00C32674" w:rsidP="00C32674">
            <w:pPr>
              <w:spacing w:line="276" w:lineRule="auto"/>
              <w:rPr>
                <w:rFonts w:ascii="Arial" w:hAnsi="Arial" w:cs="Arial"/>
              </w:rPr>
            </w:pPr>
            <w:r w:rsidRPr="00F7228F">
              <w:rPr>
                <w:rFonts w:ascii="Arial" w:hAnsi="Arial" w:cs="Arial"/>
              </w:rPr>
              <w:t>4.13 (2.13 – 6.61)</w:t>
            </w:r>
          </w:p>
        </w:tc>
        <w:tc>
          <w:tcPr>
            <w:tcW w:w="389" w:type="pct"/>
          </w:tcPr>
          <w:p w14:paraId="2D929743" w14:textId="77777777" w:rsidR="00C32674" w:rsidRPr="00F7228F" w:rsidRDefault="00C32674" w:rsidP="00C32674">
            <w:pPr>
              <w:spacing w:line="276" w:lineRule="auto"/>
              <w:rPr>
                <w:rFonts w:ascii="Arial" w:hAnsi="Arial" w:cs="Arial"/>
              </w:rPr>
            </w:pPr>
            <w:r w:rsidRPr="00F7228F">
              <w:rPr>
                <w:rFonts w:ascii="Arial" w:hAnsi="Arial" w:cs="Arial"/>
              </w:rPr>
              <w:t>7.98 (1.85 – 20.78)</w:t>
            </w:r>
          </w:p>
        </w:tc>
        <w:tc>
          <w:tcPr>
            <w:tcW w:w="321" w:type="pct"/>
          </w:tcPr>
          <w:p w14:paraId="6BC19E6F"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7DE7F1E5" w14:textId="77777777" w:rsidR="00C32674" w:rsidRPr="00F7228F" w:rsidRDefault="00C32674" w:rsidP="00C32674">
            <w:pPr>
              <w:spacing w:line="276" w:lineRule="auto"/>
              <w:jc w:val="right"/>
              <w:rPr>
                <w:rFonts w:ascii="Arial" w:hAnsi="Arial" w:cs="Arial"/>
              </w:rPr>
            </w:pPr>
            <w:r w:rsidRPr="00F7228F">
              <w:rPr>
                <w:rFonts w:ascii="Arial" w:hAnsi="Arial" w:cs="Arial"/>
              </w:rPr>
              <w:t>1.93</w:t>
            </w:r>
          </w:p>
        </w:tc>
        <w:tc>
          <w:tcPr>
            <w:tcW w:w="462" w:type="pct"/>
          </w:tcPr>
          <w:p w14:paraId="4A85495D" w14:textId="439D231F" w:rsidR="00C32674" w:rsidRPr="00F7228F" w:rsidRDefault="006E4BF9" w:rsidP="00C32674">
            <w:pPr>
              <w:spacing w:line="276" w:lineRule="auto"/>
              <w:rPr>
                <w:rFonts w:ascii="Arial" w:hAnsi="Arial" w:cs="Arial"/>
              </w:rPr>
            </w:pPr>
            <w:r w:rsidRPr="00F7228F">
              <w:rPr>
                <w:rFonts w:ascii="Arial" w:hAnsi="Arial" w:cs="Arial"/>
              </w:rPr>
              <w:t>4.30 (2.33 – 6.53)</w:t>
            </w:r>
          </w:p>
        </w:tc>
        <w:tc>
          <w:tcPr>
            <w:tcW w:w="533" w:type="pct"/>
          </w:tcPr>
          <w:p w14:paraId="322ADADD" w14:textId="0E15B649" w:rsidR="00C32674" w:rsidRPr="00F7228F" w:rsidRDefault="006E4BF9" w:rsidP="00C32674">
            <w:pPr>
              <w:spacing w:line="276" w:lineRule="auto"/>
              <w:rPr>
                <w:rFonts w:ascii="Arial" w:hAnsi="Arial" w:cs="Arial"/>
              </w:rPr>
            </w:pPr>
            <w:r w:rsidRPr="00F7228F">
              <w:rPr>
                <w:rFonts w:ascii="Arial" w:hAnsi="Arial" w:cs="Arial"/>
              </w:rPr>
              <w:t>3.18 (1.31 – 7.29)</w:t>
            </w:r>
          </w:p>
        </w:tc>
        <w:tc>
          <w:tcPr>
            <w:tcW w:w="470" w:type="pct"/>
          </w:tcPr>
          <w:p w14:paraId="32078E74" w14:textId="17FA196B" w:rsidR="00C32674" w:rsidRPr="00F7228F" w:rsidRDefault="006E4BF9" w:rsidP="00C32674">
            <w:pPr>
              <w:spacing w:line="276" w:lineRule="auto"/>
              <w:rPr>
                <w:rFonts w:ascii="Arial" w:hAnsi="Arial" w:cs="Arial"/>
              </w:rPr>
            </w:pPr>
            <w:r w:rsidRPr="00F7228F">
              <w:rPr>
                <w:rFonts w:ascii="Arial" w:hAnsi="Arial" w:cs="Arial"/>
              </w:rPr>
              <w:t>0.244</w:t>
            </w:r>
          </w:p>
        </w:tc>
        <w:tc>
          <w:tcPr>
            <w:tcW w:w="470" w:type="pct"/>
          </w:tcPr>
          <w:p w14:paraId="2D0E5A14" w14:textId="03CD2200" w:rsidR="00C32674" w:rsidRPr="00F7228F" w:rsidRDefault="006B3577" w:rsidP="00C32674">
            <w:pPr>
              <w:spacing w:line="276" w:lineRule="auto"/>
              <w:rPr>
                <w:rFonts w:ascii="Arial" w:hAnsi="Arial" w:cs="Arial"/>
              </w:rPr>
            </w:pPr>
            <w:r w:rsidRPr="00F7228F">
              <w:rPr>
                <w:rFonts w:ascii="Arial" w:hAnsi="Arial" w:cs="Arial"/>
              </w:rPr>
              <w:t>11.02 (2.8 – 26.72)</w:t>
            </w:r>
          </w:p>
        </w:tc>
        <w:tc>
          <w:tcPr>
            <w:tcW w:w="524" w:type="pct"/>
          </w:tcPr>
          <w:p w14:paraId="762F660A" w14:textId="723FFF84" w:rsidR="00C32674" w:rsidRPr="00F7228F" w:rsidRDefault="006B3577" w:rsidP="00C32674">
            <w:pPr>
              <w:spacing w:line="276" w:lineRule="auto"/>
              <w:rPr>
                <w:rFonts w:ascii="Arial" w:hAnsi="Arial" w:cs="Arial"/>
              </w:rPr>
            </w:pPr>
            <w:r w:rsidRPr="00F7228F">
              <w:rPr>
                <w:rFonts w:ascii="Arial" w:hAnsi="Arial" w:cs="Arial"/>
              </w:rPr>
              <w:t>6.97 (0.01 – 15.03)</w:t>
            </w:r>
          </w:p>
        </w:tc>
        <w:tc>
          <w:tcPr>
            <w:tcW w:w="524" w:type="pct"/>
          </w:tcPr>
          <w:p w14:paraId="4D2784EB" w14:textId="681CD059" w:rsidR="00C32674" w:rsidRPr="00F7228F" w:rsidRDefault="006B3577" w:rsidP="00C32674">
            <w:pPr>
              <w:spacing w:line="276" w:lineRule="auto"/>
              <w:rPr>
                <w:rFonts w:ascii="Arial" w:hAnsi="Arial" w:cs="Arial"/>
              </w:rPr>
            </w:pPr>
            <w:r w:rsidRPr="00F7228F">
              <w:rPr>
                <w:rFonts w:ascii="Arial" w:hAnsi="Arial" w:cs="Arial"/>
              </w:rPr>
              <w:t>0.357</w:t>
            </w:r>
          </w:p>
        </w:tc>
      </w:tr>
      <w:tr w:rsidR="00C32674" w:rsidRPr="00F7228F" w14:paraId="5C49D91C" w14:textId="002302BE" w:rsidTr="00C32674">
        <w:tc>
          <w:tcPr>
            <w:tcW w:w="455" w:type="pct"/>
            <w:vAlign w:val="center"/>
          </w:tcPr>
          <w:p w14:paraId="67F9DED5" w14:textId="77777777" w:rsidR="00C32674" w:rsidRPr="00F7228F" w:rsidRDefault="00C32674" w:rsidP="00C32674">
            <w:pPr>
              <w:spacing w:line="276" w:lineRule="auto"/>
              <w:rPr>
                <w:rFonts w:ascii="Arial" w:hAnsi="Arial" w:cs="Arial"/>
              </w:rPr>
            </w:pPr>
            <w:r w:rsidRPr="00F7228F">
              <w:rPr>
                <w:rFonts w:ascii="Arial" w:hAnsi="Arial" w:cs="Arial"/>
              </w:rPr>
              <w:t>TNF-alpha</w:t>
            </w:r>
          </w:p>
          <w:p w14:paraId="77E68AC2" w14:textId="77777777" w:rsidR="00C32674" w:rsidRPr="00F7228F" w:rsidRDefault="00C32674" w:rsidP="00C32674">
            <w:pPr>
              <w:spacing w:line="276" w:lineRule="auto"/>
              <w:rPr>
                <w:rFonts w:ascii="Arial" w:hAnsi="Arial" w:cs="Arial"/>
              </w:rPr>
            </w:pPr>
            <w:r w:rsidRPr="00F7228F">
              <w:rPr>
                <w:rFonts w:ascii="Arial" w:hAnsi="Arial" w:cs="Arial"/>
              </w:rPr>
              <w:t>(median, IQR)</w:t>
            </w:r>
          </w:p>
        </w:tc>
        <w:tc>
          <w:tcPr>
            <w:tcW w:w="389" w:type="pct"/>
          </w:tcPr>
          <w:p w14:paraId="62663E91" w14:textId="77777777" w:rsidR="00C32674" w:rsidRPr="00F7228F" w:rsidRDefault="00C32674" w:rsidP="00C32674">
            <w:pPr>
              <w:spacing w:line="276" w:lineRule="auto"/>
              <w:rPr>
                <w:rFonts w:ascii="Arial" w:hAnsi="Arial" w:cs="Arial"/>
              </w:rPr>
            </w:pPr>
            <w:r w:rsidRPr="00F7228F">
              <w:rPr>
                <w:rFonts w:ascii="Arial" w:hAnsi="Arial" w:cs="Arial"/>
              </w:rPr>
              <w:t>1.23 (1.04 – 1.50)</w:t>
            </w:r>
          </w:p>
        </w:tc>
        <w:tc>
          <w:tcPr>
            <w:tcW w:w="389" w:type="pct"/>
          </w:tcPr>
          <w:p w14:paraId="077B37E4" w14:textId="77777777" w:rsidR="00C32674" w:rsidRPr="00F7228F" w:rsidRDefault="00C32674" w:rsidP="00C32674">
            <w:pPr>
              <w:spacing w:line="276" w:lineRule="auto"/>
              <w:rPr>
                <w:rFonts w:ascii="Arial" w:hAnsi="Arial" w:cs="Arial"/>
              </w:rPr>
            </w:pPr>
            <w:r w:rsidRPr="00F7228F">
              <w:rPr>
                <w:rFonts w:ascii="Arial" w:hAnsi="Arial" w:cs="Arial"/>
              </w:rPr>
              <w:t>4.20</w:t>
            </w:r>
          </w:p>
          <w:p w14:paraId="1D1BD8EF" w14:textId="77777777" w:rsidR="00C32674" w:rsidRPr="00F7228F" w:rsidRDefault="00C32674" w:rsidP="00C32674">
            <w:pPr>
              <w:spacing w:line="276" w:lineRule="auto"/>
              <w:rPr>
                <w:rFonts w:ascii="Arial" w:hAnsi="Arial" w:cs="Arial"/>
              </w:rPr>
            </w:pPr>
            <w:r w:rsidRPr="00F7228F">
              <w:rPr>
                <w:rFonts w:ascii="Arial" w:hAnsi="Arial" w:cs="Arial"/>
              </w:rPr>
              <w:t>(2.50 – 7.92)</w:t>
            </w:r>
          </w:p>
        </w:tc>
        <w:tc>
          <w:tcPr>
            <w:tcW w:w="321" w:type="pct"/>
          </w:tcPr>
          <w:p w14:paraId="505DF7A7" w14:textId="77777777" w:rsidR="00C32674" w:rsidRPr="00F7228F" w:rsidRDefault="00C32674" w:rsidP="00C32674">
            <w:pPr>
              <w:spacing w:line="276" w:lineRule="auto"/>
              <w:rPr>
                <w:rFonts w:ascii="Arial" w:hAnsi="Arial" w:cs="Arial"/>
              </w:rPr>
            </w:pPr>
            <w:r w:rsidRPr="00F7228F">
              <w:rPr>
                <w:rFonts w:ascii="Arial" w:hAnsi="Arial" w:cs="Arial"/>
              </w:rPr>
              <w:t>&lt;0.001</w:t>
            </w:r>
          </w:p>
        </w:tc>
        <w:tc>
          <w:tcPr>
            <w:tcW w:w="463" w:type="pct"/>
          </w:tcPr>
          <w:p w14:paraId="3FF2AFAA" w14:textId="77777777" w:rsidR="00C32674" w:rsidRPr="00F7228F" w:rsidRDefault="00C32674" w:rsidP="00C32674">
            <w:pPr>
              <w:spacing w:line="276" w:lineRule="auto"/>
              <w:jc w:val="right"/>
              <w:rPr>
                <w:rFonts w:ascii="Arial" w:hAnsi="Arial" w:cs="Arial"/>
              </w:rPr>
            </w:pPr>
            <w:r w:rsidRPr="00F7228F">
              <w:rPr>
                <w:rFonts w:ascii="Arial" w:hAnsi="Arial" w:cs="Arial"/>
              </w:rPr>
              <w:t>3.41</w:t>
            </w:r>
          </w:p>
        </w:tc>
        <w:tc>
          <w:tcPr>
            <w:tcW w:w="462" w:type="pct"/>
          </w:tcPr>
          <w:p w14:paraId="4C8F1553" w14:textId="3EA4D663" w:rsidR="00C32674" w:rsidRPr="00F7228F" w:rsidRDefault="00E92F1F" w:rsidP="00C32674">
            <w:pPr>
              <w:spacing w:line="276" w:lineRule="auto"/>
              <w:rPr>
                <w:rFonts w:ascii="Arial" w:hAnsi="Arial" w:cs="Arial"/>
              </w:rPr>
            </w:pPr>
            <w:r w:rsidRPr="00F7228F">
              <w:rPr>
                <w:rFonts w:ascii="Arial" w:hAnsi="Arial" w:cs="Arial"/>
              </w:rPr>
              <w:t>1.23 (1.07 – 1.44)</w:t>
            </w:r>
          </w:p>
        </w:tc>
        <w:tc>
          <w:tcPr>
            <w:tcW w:w="533" w:type="pct"/>
          </w:tcPr>
          <w:p w14:paraId="78153759" w14:textId="25A77D95" w:rsidR="00C32674" w:rsidRPr="00F7228F" w:rsidRDefault="00E92F1F" w:rsidP="00C32674">
            <w:pPr>
              <w:spacing w:line="276" w:lineRule="auto"/>
              <w:rPr>
                <w:rFonts w:ascii="Arial" w:hAnsi="Arial" w:cs="Arial"/>
              </w:rPr>
            </w:pPr>
            <w:r w:rsidRPr="00F7228F">
              <w:rPr>
                <w:rFonts w:ascii="Arial" w:hAnsi="Arial" w:cs="Arial"/>
              </w:rPr>
              <w:t>1.14 (0.98 – 1.41)</w:t>
            </w:r>
          </w:p>
        </w:tc>
        <w:tc>
          <w:tcPr>
            <w:tcW w:w="470" w:type="pct"/>
          </w:tcPr>
          <w:p w14:paraId="3DDA1132" w14:textId="3DE19ABC" w:rsidR="00C32674" w:rsidRPr="00F7228F" w:rsidRDefault="00E92F1F" w:rsidP="00C32674">
            <w:pPr>
              <w:spacing w:line="276" w:lineRule="auto"/>
              <w:rPr>
                <w:rFonts w:ascii="Arial" w:hAnsi="Arial" w:cs="Arial"/>
              </w:rPr>
            </w:pPr>
            <w:r w:rsidRPr="00F7228F">
              <w:rPr>
                <w:rFonts w:ascii="Arial" w:hAnsi="Arial" w:cs="Arial"/>
              </w:rPr>
              <w:t>0.249</w:t>
            </w:r>
          </w:p>
        </w:tc>
        <w:tc>
          <w:tcPr>
            <w:tcW w:w="470" w:type="pct"/>
          </w:tcPr>
          <w:p w14:paraId="682FA2F2" w14:textId="584A4A63" w:rsidR="00C32674" w:rsidRPr="00F7228F" w:rsidRDefault="006B3577" w:rsidP="00C32674">
            <w:pPr>
              <w:spacing w:line="276" w:lineRule="auto"/>
              <w:rPr>
                <w:rFonts w:ascii="Arial" w:hAnsi="Arial" w:cs="Arial"/>
              </w:rPr>
            </w:pPr>
            <w:r w:rsidRPr="00F7228F">
              <w:rPr>
                <w:rFonts w:ascii="Arial" w:hAnsi="Arial" w:cs="Arial"/>
              </w:rPr>
              <w:t>3.75 (2.18 – 7.22)</w:t>
            </w:r>
          </w:p>
        </w:tc>
        <w:tc>
          <w:tcPr>
            <w:tcW w:w="524" w:type="pct"/>
          </w:tcPr>
          <w:p w14:paraId="7726DB36" w14:textId="7DBA7683" w:rsidR="00C32674" w:rsidRPr="00F7228F" w:rsidRDefault="006B3577" w:rsidP="00C32674">
            <w:pPr>
              <w:spacing w:line="276" w:lineRule="auto"/>
              <w:rPr>
                <w:rFonts w:ascii="Arial" w:hAnsi="Arial" w:cs="Arial"/>
              </w:rPr>
            </w:pPr>
            <w:r w:rsidRPr="00F7228F">
              <w:rPr>
                <w:rFonts w:ascii="Arial" w:hAnsi="Arial" w:cs="Arial"/>
              </w:rPr>
              <w:t>4.75 (3.20 – 10.58)</w:t>
            </w:r>
          </w:p>
        </w:tc>
        <w:tc>
          <w:tcPr>
            <w:tcW w:w="524" w:type="pct"/>
          </w:tcPr>
          <w:p w14:paraId="5A2CDE8E" w14:textId="2DFB3043" w:rsidR="00C32674" w:rsidRPr="00F7228F" w:rsidRDefault="006B3577" w:rsidP="00C32674">
            <w:pPr>
              <w:spacing w:line="276" w:lineRule="auto"/>
              <w:rPr>
                <w:rFonts w:ascii="Arial" w:hAnsi="Arial" w:cs="Arial"/>
              </w:rPr>
            </w:pPr>
            <w:r w:rsidRPr="00F7228F">
              <w:rPr>
                <w:rFonts w:ascii="Arial" w:hAnsi="Arial" w:cs="Arial"/>
              </w:rPr>
              <w:t>0.213</w:t>
            </w:r>
          </w:p>
        </w:tc>
      </w:tr>
      <w:tr w:rsidR="006B3577" w:rsidRPr="00F7228F" w14:paraId="694CC163" w14:textId="0662DBE3" w:rsidTr="00C32674">
        <w:tc>
          <w:tcPr>
            <w:tcW w:w="455" w:type="pct"/>
          </w:tcPr>
          <w:p w14:paraId="181AE489" w14:textId="77777777" w:rsidR="006B3577" w:rsidRPr="00F7228F" w:rsidRDefault="006B3577" w:rsidP="006B3577">
            <w:pPr>
              <w:spacing w:line="276" w:lineRule="auto"/>
              <w:rPr>
                <w:rFonts w:ascii="Arial" w:hAnsi="Arial" w:cs="Arial"/>
                <w:b/>
                <w:bCs/>
              </w:rPr>
            </w:pPr>
            <w:bookmarkStart w:id="0" w:name="_Hlk149895771"/>
            <w:r w:rsidRPr="00F7228F">
              <w:rPr>
                <w:rFonts w:ascii="Arial" w:hAnsi="Arial" w:cs="Arial"/>
                <w:b/>
                <w:bCs/>
              </w:rPr>
              <w:lastRenderedPageBreak/>
              <w:t>Cytokines (</w:t>
            </w:r>
            <w:proofErr w:type="spellStart"/>
            <w:r w:rsidRPr="00F7228F">
              <w:rPr>
                <w:rFonts w:ascii="Arial" w:hAnsi="Arial" w:cs="Arial"/>
                <w:b/>
                <w:bCs/>
              </w:rPr>
              <w:t>pg</w:t>
            </w:r>
            <w:proofErr w:type="spellEnd"/>
            <w:r w:rsidRPr="00F7228F">
              <w:rPr>
                <w:rFonts w:ascii="Arial" w:hAnsi="Arial" w:cs="Arial"/>
                <w:b/>
                <w:bCs/>
              </w:rPr>
              <w:t>/mL)</w:t>
            </w:r>
          </w:p>
        </w:tc>
        <w:tc>
          <w:tcPr>
            <w:tcW w:w="389" w:type="pct"/>
          </w:tcPr>
          <w:p w14:paraId="5ABE1BAF" w14:textId="77777777" w:rsidR="006B3577" w:rsidRPr="00F7228F" w:rsidRDefault="006B3577" w:rsidP="006B3577">
            <w:pPr>
              <w:spacing w:line="276" w:lineRule="auto"/>
              <w:rPr>
                <w:rFonts w:ascii="Arial" w:hAnsi="Arial" w:cs="Arial"/>
                <w:b/>
                <w:bCs/>
              </w:rPr>
            </w:pPr>
            <w:r w:rsidRPr="00F7228F">
              <w:rPr>
                <w:rFonts w:ascii="Arial" w:hAnsi="Arial" w:cs="Arial"/>
                <w:b/>
                <w:bCs/>
              </w:rPr>
              <w:t>Plasma levels in controls</w:t>
            </w:r>
          </w:p>
        </w:tc>
        <w:tc>
          <w:tcPr>
            <w:tcW w:w="389" w:type="pct"/>
          </w:tcPr>
          <w:p w14:paraId="4A38E017" w14:textId="77777777" w:rsidR="006B3577" w:rsidRPr="00F7228F" w:rsidRDefault="006B3577" w:rsidP="006B3577">
            <w:pPr>
              <w:spacing w:line="276" w:lineRule="auto"/>
              <w:rPr>
                <w:rFonts w:ascii="Arial" w:hAnsi="Arial" w:cs="Arial"/>
                <w:b/>
                <w:bCs/>
              </w:rPr>
            </w:pPr>
            <w:r w:rsidRPr="00F7228F">
              <w:rPr>
                <w:rFonts w:ascii="Arial" w:hAnsi="Arial" w:cs="Arial"/>
                <w:b/>
                <w:bCs/>
              </w:rPr>
              <w:t>CSF levels in controls</w:t>
            </w:r>
          </w:p>
        </w:tc>
        <w:tc>
          <w:tcPr>
            <w:tcW w:w="321" w:type="pct"/>
          </w:tcPr>
          <w:p w14:paraId="02F9B231" w14:textId="77777777" w:rsidR="006B3577" w:rsidRPr="00F7228F" w:rsidRDefault="006B3577" w:rsidP="006B3577">
            <w:pPr>
              <w:spacing w:line="276" w:lineRule="auto"/>
              <w:rPr>
                <w:rFonts w:ascii="Arial" w:hAnsi="Arial" w:cs="Arial"/>
              </w:rPr>
            </w:pPr>
            <w:r w:rsidRPr="00F7228F">
              <w:rPr>
                <w:rFonts w:ascii="Arial" w:hAnsi="Arial" w:cs="Arial"/>
                <w:b/>
                <w:bCs/>
              </w:rPr>
              <w:t>P-value</w:t>
            </w:r>
          </w:p>
        </w:tc>
        <w:tc>
          <w:tcPr>
            <w:tcW w:w="463" w:type="pct"/>
          </w:tcPr>
          <w:p w14:paraId="4035C17D" w14:textId="77777777" w:rsidR="006B3577" w:rsidRPr="00F7228F" w:rsidRDefault="006B3577" w:rsidP="006B3577">
            <w:pPr>
              <w:spacing w:line="276" w:lineRule="auto"/>
              <w:rPr>
                <w:rFonts w:ascii="Arial" w:hAnsi="Arial" w:cs="Arial"/>
                <w:b/>
                <w:bCs/>
              </w:rPr>
            </w:pPr>
            <w:r w:rsidRPr="00F7228F">
              <w:rPr>
                <w:rFonts w:ascii="Arial" w:hAnsi="Arial" w:cs="Arial"/>
                <w:b/>
                <w:bCs/>
              </w:rPr>
              <w:t>Fold Difference (CSF vs Plasma)</w:t>
            </w:r>
          </w:p>
        </w:tc>
        <w:tc>
          <w:tcPr>
            <w:tcW w:w="462" w:type="pct"/>
          </w:tcPr>
          <w:p w14:paraId="1F4755FB" w14:textId="518968CA" w:rsidR="006B3577" w:rsidRPr="00F7228F" w:rsidRDefault="006B3577" w:rsidP="006B3577">
            <w:pPr>
              <w:spacing w:line="276" w:lineRule="auto"/>
              <w:rPr>
                <w:rFonts w:ascii="Arial" w:hAnsi="Arial" w:cs="Arial"/>
                <w:b/>
                <w:bCs/>
              </w:rPr>
            </w:pPr>
            <w:r w:rsidRPr="00F7228F">
              <w:rPr>
                <w:rFonts w:ascii="Arial" w:hAnsi="Arial" w:cs="Arial"/>
                <w:b/>
                <w:bCs/>
              </w:rPr>
              <w:t>NA</w:t>
            </w:r>
          </w:p>
        </w:tc>
        <w:tc>
          <w:tcPr>
            <w:tcW w:w="533" w:type="pct"/>
          </w:tcPr>
          <w:p w14:paraId="578BC896" w14:textId="500FBEB2" w:rsidR="006B3577" w:rsidRPr="00F7228F" w:rsidRDefault="006B3577" w:rsidP="006B3577">
            <w:pPr>
              <w:spacing w:line="276" w:lineRule="auto"/>
              <w:rPr>
                <w:rFonts w:ascii="Arial" w:hAnsi="Arial" w:cs="Arial"/>
                <w:b/>
                <w:bCs/>
              </w:rPr>
            </w:pPr>
            <w:r w:rsidRPr="00F7228F">
              <w:rPr>
                <w:rFonts w:ascii="Arial" w:hAnsi="Arial" w:cs="Arial"/>
                <w:b/>
                <w:bCs/>
              </w:rPr>
              <w:t>NA</w:t>
            </w:r>
          </w:p>
        </w:tc>
        <w:tc>
          <w:tcPr>
            <w:tcW w:w="470" w:type="pct"/>
          </w:tcPr>
          <w:p w14:paraId="329EBC0C" w14:textId="11C7126F" w:rsidR="006B3577" w:rsidRPr="00F7228F" w:rsidRDefault="006B3577" w:rsidP="006B3577">
            <w:pPr>
              <w:spacing w:line="276" w:lineRule="auto"/>
              <w:rPr>
                <w:rFonts w:ascii="Arial" w:hAnsi="Arial" w:cs="Arial"/>
                <w:b/>
                <w:bCs/>
              </w:rPr>
            </w:pPr>
            <w:r w:rsidRPr="00F7228F">
              <w:rPr>
                <w:rFonts w:ascii="Arial" w:hAnsi="Arial" w:cs="Arial"/>
                <w:b/>
                <w:bCs/>
              </w:rPr>
              <w:t>NA</w:t>
            </w:r>
          </w:p>
        </w:tc>
        <w:tc>
          <w:tcPr>
            <w:tcW w:w="470" w:type="pct"/>
          </w:tcPr>
          <w:p w14:paraId="1E6060FE" w14:textId="7E2FD7DE" w:rsidR="006B3577" w:rsidRPr="00F7228F" w:rsidRDefault="006B3577" w:rsidP="006B3577">
            <w:pPr>
              <w:spacing w:line="276" w:lineRule="auto"/>
              <w:rPr>
                <w:rFonts w:ascii="Arial" w:hAnsi="Arial" w:cs="Arial"/>
                <w:b/>
                <w:bCs/>
              </w:rPr>
            </w:pPr>
            <w:r w:rsidRPr="00F7228F">
              <w:rPr>
                <w:rFonts w:ascii="Arial" w:hAnsi="Arial" w:cs="Arial"/>
                <w:b/>
                <w:bCs/>
              </w:rPr>
              <w:t>NA</w:t>
            </w:r>
          </w:p>
        </w:tc>
        <w:tc>
          <w:tcPr>
            <w:tcW w:w="524" w:type="pct"/>
          </w:tcPr>
          <w:p w14:paraId="3459C4A8" w14:textId="4D2F1577" w:rsidR="006B3577" w:rsidRPr="00F7228F" w:rsidRDefault="006B3577" w:rsidP="006B3577">
            <w:pPr>
              <w:spacing w:line="276" w:lineRule="auto"/>
              <w:rPr>
                <w:rFonts w:ascii="Arial" w:hAnsi="Arial" w:cs="Arial"/>
                <w:b/>
                <w:bCs/>
              </w:rPr>
            </w:pPr>
            <w:r w:rsidRPr="00F7228F">
              <w:rPr>
                <w:rFonts w:ascii="Arial" w:hAnsi="Arial" w:cs="Arial"/>
                <w:b/>
                <w:bCs/>
              </w:rPr>
              <w:t>NA</w:t>
            </w:r>
          </w:p>
        </w:tc>
        <w:tc>
          <w:tcPr>
            <w:tcW w:w="524" w:type="pct"/>
          </w:tcPr>
          <w:p w14:paraId="199A3D5A" w14:textId="67641EBF" w:rsidR="006B3577" w:rsidRPr="00F7228F" w:rsidRDefault="006B3577" w:rsidP="006B3577">
            <w:pPr>
              <w:spacing w:line="276" w:lineRule="auto"/>
              <w:rPr>
                <w:rFonts w:ascii="Arial" w:hAnsi="Arial" w:cs="Arial"/>
                <w:b/>
                <w:bCs/>
              </w:rPr>
            </w:pPr>
            <w:r w:rsidRPr="00F7228F">
              <w:rPr>
                <w:rFonts w:ascii="Arial" w:hAnsi="Arial" w:cs="Arial"/>
                <w:b/>
                <w:bCs/>
              </w:rPr>
              <w:t>NA</w:t>
            </w:r>
          </w:p>
        </w:tc>
      </w:tr>
      <w:tr w:rsidR="006B3577" w:rsidRPr="00F7228F" w14:paraId="5C7D6E8A" w14:textId="4D306DC7" w:rsidTr="00C32674">
        <w:tc>
          <w:tcPr>
            <w:tcW w:w="455" w:type="pct"/>
            <w:vAlign w:val="center"/>
          </w:tcPr>
          <w:p w14:paraId="40A3CFCD" w14:textId="77777777" w:rsidR="006B3577" w:rsidRPr="00F7228F" w:rsidRDefault="006B3577" w:rsidP="006B3577">
            <w:pPr>
              <w:spacing w:line="276" w:lineRule="auto"/>
              <w:rPr>
                <w:rFonts w:ascii="Arial" w:hAnsi="Arial" w:cs="Arial"/>
              </w:rPr>
            </w:pPr>
            <w:r w:rsidRPr="00F7228F">
              <w:rPr>
                <w:rFonts w:ascii="Arial" w:hAnsi="Arial" w:cs="Arial"/>
                <w:color w:val="000000"/>
              </w:rPr>
              <w:t>IL-1beta</w:t>
            </w:r>
          </w:p>
          <w:p w14:paraId="6767C755"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1356FC3F" w14:textId="77777777" w:rsidR="006B3577" w:rsidRPr="00F7228F" w:rsidRDefault="006B3577" w:rsidP="006B3577">
            <w:pPr>
              <w:spacing w:line="276" w:lineRule="auto"/>
              <w:rPr>
                <w:rFonts w:ascii="Arial" w:hAnsi="Arial" w:cs="Arial"/>
              </w:rPr>
            </w:pPr>
            <w:r w:rsidRPr="00F7228F">
              <w:rPr>
                <w:rFonts w:ascii="Arial" w:hAnsi="Arial" w:cs="Arial"/>
              </w:rPr>
              <w:t>0.07 (0.05 – 0.13)</w:t>
            </w:r>
          </w:p>
        </w:tc>
        <w:tc>
          <w:tcPr>
            <w:tcW w:w="389" w:type="pct"/>
          </w:tcPr>
          <w:p w14:paraId="0B17B3BD" w14:textId="77777777" w:rsidR="006B3577" w:rsidRPr="00F7228F" w:rsidRDefault="006B3577" w:rsidP="006B3577">
            <w:pPr>
              <w:spacing w:line="276" w:lineRule="auto"/>
              <w:rPr>
                <w:rFonts w:ascii="Arial" w:hAnsi="Arial" w:cs="Arial"/>
              </w:rPr>
            </w:pPr>
            <w:r w:rsidRPr="00F7228F">
              <w:rPr>
                <w:rFonts w:ascii="Arial" w:hAnsi="Arial" w:cs="Arial"/>
              </w:rPr>
              <w:t>0.07 (0.03 – 0.09)</w:t>
            </w:r>
          </w:p>
        </w:tc>
        <w:tc>
          <w:tcPr>
            <w:tcW w:w="321" w:type="pct"/>
          </w:tcPr>
          <w:p w14:paraId="27570BA4" w14:textId="77777777" w:rsidR="006B3577" w:rsidRPr="00F7228F" w:rsidRDefault="006B3577" w:rsidP="006B3577">
            <w:pPr>
              <w:spacing w:line="276" w:lineRule="auto"/>
              <w:rPr>
                <w:rFonts w:ascii="Arial" w:hAnsi="Arial" w:cs="Arial"/>
              </w:rPr>
            </w:pPr>
            <w:r w:rsidRPr="00F7228F">
              <w:rPr>
                <w:rFonts w:ascii="Arial" w:hAnsi="Arial" w:cs="Arial"/>
              </w:rPr>
              <w:t>0.253</w:t>
            </w:r>
          </w:p>
        </w:tc>
        <w:tc>
          <w:tcPr>
            <w:tcW w:w="463" w:type="pct"/>
          </w:tcPr>
          <w:p w14:paraId="51664BF9" w14:textId="77777777" w:rsidR="006B3577" w:rsidRPr="00F7228F" w:rsidRDefault="006B3577" w:rsidP="006B3577">
            <w:pPr>
              <w:spacing w:line="276" w:lineRule="auto"/>
              <w:jc w:val="right"/>
              <w:rPr>
                <w:rFonts w:ascii="Arial" w:hAnsi="Arial" w:cs="Arial"/>
              </w:rPr>
            </w:pPr>
            <w:r w:rsidRPr="00F7228F">
              <w:rPr>
                <w:rFonts w:ascii="Arial" w:hAnsi="Arial" w:cs="Arial"/>
              </w:rPr>
              <w:t>1.00</w:t>
            </w:r>
          </w:p>
        </w:tc>
        <w:tc>
          <w:tcPr>
            <w:tcW w:w="462" w:type="pct"/>
          </w:tcPr>
          <w:p w14:paraId="1A491876" w14:textId="1F85FD2E"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5C2B41EC" w14:textId="0713A11D"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4E366EAF" w14:textId="1D1ADB88"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275F7FAE" w14:textId="0C796313"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37C0FDD1" w14:textId="22575684"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55F03B17" w14:textId="06FC6D3E"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7C018D41" w14:textId="7C17CC5A" w:rsidTr="00C32674">
        <w:tc>
          <w:tcPr>
            <w:tcW w:w="455" w:type="pct"/>
            <w:vAlign w:val="center"/>
          </w:tcPr>
          <w:p w14:paraId="5306913A" w14:textId="77777777" w:rsidR="006B3577" w:rsidRPr="00F7228F" w:rsidRDefault="006B3577" w:rsidP="006B3577">
            <w:pPr>
              <w:spacing w:line="276" w:lineRule="auto"/>
              <w:rPr>
                <w:rFonts w:ascii="Arial" w:hAnsi="Arial" w:cs="Arial"/>
              </w:rPr>
            </w:pPr>
            <w:r w:rsidRPr="00F7228F">
              <w:rPr>
                <w:rFonts w:ascii="Arial" w:hAnsi="Arial" w:cs="Arial"/>
                <w:color w:val="000000"/>
              </w:rPr>
              <w:t>IL-2</w:t>
            </w:r>
          </w:p>
          <w:p w14:paraId="3DFE49E4"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5F659847" w14:textId="77777777" w:rsidR="006B3577" w:rsidRPr="00F7228F" w:rsidRDefault="006B3577" w:rsidP="006B3577">
            <w:pPr>
              <w:spacing w:line="276" w:lineRule="auto"/>
              <w:rPr>
                <w:rFonts w:ascii="Arial" w:hAnsi="Arial" w:cs="Arial"/>
              </w:rPr>
            </w:pPr>
            <w:r w:rsidRPr="00F7228F">
              <w:rPr>
                <w:rFonts w:ascii="Arial" w:hAnsi="Arial" w:cs="Arial"/>
              </w:rPr>
              <w:t>0.37 (0.33 – 0.55)</w:t>
            </w:r>
          </w:p>
        </w:tc>
        <w:tc>
          <w:tcPr>
            <w:tcW w:w="389" w:type="pct"/>
          </w:tcPr>
          <w:p w14:paraId="578FBD93" w14:textId="77777777" w:rsidR="006B3577" w:rsidRPr="00F7228F" w:rsidRDefault="006B3577" w:rsidP="006B3577">
            <w:pPr>
              <w:spacing w:line="276" w:lineRule="auto"/>
              <w:rPr>
                <w:rFonts w:ascii="Arial" w:hAnsi="Arial" w:cs="Arial"/>
              </w:rPr>
            </w:pPr>
            <w:r w:rsidRPr="00F7228F">
              <w:rPr>
                <w:rFonts w:ascii="Arial" w:hAnsi="Arial" w:cs="Arial"/>
              </w:rPr>
              <w:t>0.19 (0.11 – 0.27)</w:t>
            </w:r>
          </w:p>
        </w:tc>
        <w:tc>
          <w:tcPr>
            <w:tcW w:w="321" w:type="pct"/>
          </w:tcPr>
          <w:p w14:paraId="40688BD1" w14:textId="77777777" w:rsidR="006B3577" w:rsidRPr="00F7228F" w:rsidRDefault="006B3577" w:rsidP="006B3577">
            <w:pPr>
              <w:spacing w:line="276" w:lineRule="auto"/>
              <w:rPr>
                <w:rFonts w:ascii="Arial" w:hAnsi="Arial" w:cs="Arial"/>
              </w:rPr>
            </w:pPr>
            <w:r w:rsidRPr="00F7228F">
              <w:rPr>
                <w:rFonts w:ascii="Arial" w:hAnsi="Arial" w:cs="Arial"/>
              </w:rPr>
              <w:t>0.109</w:t>
            </w:r>
          </w:p>
        </w:tc>
        <w:tc>
          <w:tcPr>
            <w:tcW w:w="463" w:type="pct"/>
          </w:tcPr>
          <w:p w14:paraId="05C89B7C" w14:textId="77777777" w:rsidR="006B3577" w:rsidRPr="00F7228F" w:rsidRDefault="006B3577" w:rsidP="006B3577">
            <w:pPr>
              <w:spacing w:line="276" w:lineRule="auto"/>
              <w:jc w:val="right"/>
              <w:rPr>
                <w:rFonts w:ascii="Arial" w:hAnsi="Arial" w:cs="Arial"/>
              </w:rPr>
            </w:pPr>
            <w:r w:rsidRPr="00F7228F">
              <w:rPr>
                <w:rFonts w:ascii="Arial" w:hAnsi="Arial" w:cs="Arial"/>
              </w:rPr>
              <w:t>0.51</w:t>
            </w:r>
          </w:p>
        </w:tc>
        <w:tc>
          <w:tcPr>
            <w:tcW w:w="462" w:type="pct"/>
          </w:tcPr>
          <w:p w14:paraId="7DED440C" w14:textId="724E817C"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7067B5B3" w14:textId="17187EF9"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6F2FB7E2" w14:textId="2A64B485"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69A32577" w14:textId="27DA9A75"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0A5DD21B" w14:textId="0B9EC918"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38078139" w14:textId="1CF78D90"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59D6ADD7" w14:textId="12F52A2C" w:rsidTr="00C32674">
        <w:tc>
          <w:tcPr>
            <w:tcW w:w="455" w:type="pct"/>
            <w:vAlign w:val="center"/>
          </w:tcPr>
          <w:p w14:paraId="6294F311" w14:textId="77777777" w:rsidR="006B3577" w:rsidRPr="00F7228F" w:rsidRDefault="006B3577" w:rsidP="006B3577">
            <w:pPr>
              <w:spacing w:line="276" w:lineRule="auto"/>
              <w:rPr>
                <w:rFonts w:ascii="Arial" w:hAnsi="Arial" w:cs="Arial"/>
              </w:rPr>
            </w:pPr>
            <w:r w:rsidRPr="00F7228F">
              <w:rPr>
                <w:rFonts w:ascii="Arial" w:hAnsi="Arial" w:cs="Arial"/>
                <w:color w:val="000000"/>
              </w:rPr>
              <w:t>IL-4</w:t>
            </w:r>
          </w:p>
          <w:p w14:paraId="073DC825"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6833D54F" w14:textId="77777777" w:rsidR="006B3577" w:rsidRPr="00F7228F" w:rsidRDefault="006B3577" w:rsidP="006B3577">
            <w:pPr>
              <w:spacing w:line="276" w:lineRule="auto"/>
              <w:rPr>
                <w:rFonts w:ascii="Arial" w:hAnsi="Arial" w:cs="Arial"/>
              </w:rPr>
            </w:pPr>
            <w:r w:rsidRPr="00F7228F">
              <w:rPr>
                <w:rFonts w:ascii="Arial" w:hAnsi="Arial" w:cs="Arial"/>
              </w:rPr>
              <w:t>0.06 (0.04 – 0.10)</w:t>
            </w:r>
          </w:p>
        </w:tc>
        <w:tc>
          <w:tcPr>
            <w:tcW w:w="389" w:type="pct"/>
          </w:tcPr>
          <w:p w14:paraId="278B1570" w14:textId="77777777" w:rsidR="006B3577" w:rsidRPr="00F7228F" w:rsidRDefault="006B3577" w:rsidP="006B3577">
            <w:pPr>
              <w:spacing w:line="276" w:lineRule="auto"/>
              <w:rPr>
                <w:rFonts w:ascii="Arial" w:hAnsi="Arial" w:cs="Arial"/>
              </w:rPr>
            </w:pPr>
            <w:r w:rsidRPr="00F7228F">
              <w:rPr>
                <w:rFonts w:ascii="Arial" w:hAnsi="Arial" w:cs="Arial"/>
              </w:rPr>
              <w:t>0.01 (0.01 – 0.04)</w:t>
            </w:r>
          </w:p>
        </w:tc>
        <w:tc>
          <w:tcPr>
            <w:tcW w:w="321" w:type="pct"/>
          </w:tcPr>
          <w:p w14:paraId="1DC22615" w14:textId="77777777" w:rsidR="006B3577" w:rsidRPr="00F7228F" w:rsidRDefault="006B3577" w:rsidP="006B3577">
            <w:pPr>
              <w:spacing w:line="276" w:lineRule="auto"/>
              <w:rPr>
                <w:rFonts w:ascii="Arial" w:hAnsi="Arial" w:cs="Arial"/>
              </w:rPr>
            </w:pPr>
            <w:r w:rsidRPr="00F7228F">
              <w:rPr>
                <w:rFonts w:ascii="Arial" w:hAnsi="Arial" w:cs="Arial"/>
              </w:rPr>
              <w:t>0.002</w:t>
            </w:r>
          </w:p>
        </w:tc>
        <w:tc>
          <w:tcPr>
            <w:tcW w:w="463" w:type="pct"/>
          </w:tcPr>
          <w:p w14:paraId="3C3BB68A" w14:textId="77777777" w:rsidR="006B3577" w:rsidRPr="00F7228F" w:rsidRDefault="006B3577" w:rsidP="006B3577">
            <w:pPr>
              <w:spacing w:line="276" w:lineRule="auto"/>
              <w:jc w:val="right"/>
              <w:rPr>
                <w:rFonts w:ascii="Arial" w:hAnsi="Arial" w:cs="Arial"/>
              </w:rPr>
            </w:pPr>
            <w:r w:rsidRPr="00F7228F">
              <w:rPr>
                <w:rFonts w:ascii="Arial" w:hAnsi="Arial" w:cs="Arial"/>
              </w:rPr>
              <w:t>0.17</w:t>
            </w:r>
          </w:p>
        </w:tc>
        <w:tc>
          <w:tcPr>
            <w:tcW w:w="462" w:type="pct"/>
          </w:tcPr>
          <w:p w14:paraId="6529D58D" w14:textId="48CA5F98"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3E272D1B" w14:textId="21CBDB18"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7F265CC5" w14:textId="746E0A0F"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028F5918" w14:textId="08644A15"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03C20C9A" w14:textId="6595479A"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625F91E1" w14:textId="5FFE7CF7"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1CB18EC3" w14:textId="076C51EA" w:rsidTr="00C32674">
        <w:tc>
          <w:tcPr>
            <w:tcW w:w="455" w:type="pct"/>
            <w:vAlign w:val="center"/>
          </w:tcPr>
          <w:p w14:paraId="1BD7E58D" w14:textId="77777777" w:rsidR="006B3577" w:rsidRPr="00F7228F" w:rsidRDefault="006B3577" w:rsidP="006B3577">
            <w:pPr>
              <w:spacing w:line="276" w:lineRule="auto"/>
              <w:rPr>
                <w:rFonts w:ascii="Arial" w:hAnsi="Arial" w:cs="Arial"/>
              </w:rPr>
            </w:pPr>
            <w:r w:rsidRPr="00F7228F">
              <w:rPr>
                <w:rFonts w:ascii="Arial" w:hAnsi="Arial" w:cs="Arial"/>
                <w:color w:val="000000"/>
              </w:rPr>
              <w:t>IL-6</w:t>
            </w:r>
          </w:p>
          <w:p w14:paraId="448E20E6"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1B90E6C2" w14:textId="77777777" w:rsidR="006B3577" w:rsidRPr="00F7228F" w:rsidRDefault="006B3577" w:rsidP="006B3577">
            <w:pPr>
              <w:spacing w:line="276" w:lineRule="auto"/>
              <w:rPr>
                <w:rFonts w:ascii="Arial" w:hAnsi="Arial" w:cs="Arial"/>
              </w:rPr>
            </w:pPr>
            <w:r w:rsidRPr="00F7228F">
              <w:rPr>
                <w:rFonts w:ascii="Arial" w:hAnsi="Arial" w:cs="Arial"/>
              </w:rPr>
              <w:t>1.30 (1.13 – 2.48)</w:t>
            </w:r>
          </w:p>
        </w:tc>
        <w:tc>
          <w:tcPr>
            <w:tcW w:w="389" w:type="pct"/>
          </w:tcPr>
          <w:p w14:paraId="20F153BB" w14:textId="77777777" w:rsidR="006B3577" w:rsidRPr="00F7228F" w:rsidRDefault="006B3577" w:rsidP="006B3577">
            <w:pPr>
              <w:spacing w:line="276" w:lineRule="auto"/>
              <w:rPr>
                <w:rFonts w:ascii="Arial" w:hAnsi="Arial" w:cs="Arial"/>
              </w:rPr>
            </w:pPr>
            <w:r w:rsidRPr="00F7228F">
              <w:rPr>
                <w:rFonts w:ascii="Arial" w:hAnsi="Arial" w:cs="Arial"/>
              </w:rPr>
              <w:t>2.49 (1.55 – 2.91)</w:t>
            </w:r>
          </w:p>
        </w:tc>
        <w:tc>
          <w:tcPr>
            <w:tcW w:w="321" w:type="pct"/>
          </w:tcPr>
          <w:p w14:paraId="6525E9B3" w14:textId="77777777" w:rsidR="006B3577" w:rsidRPr="00F7228F" w:rsidRDefault="006B3577" w:rsidP="006B3577">
            <w:pPr>
              <w:spacing w:line="276" w:lineRule="auto"/>
              <w:rPr>
                <w:rFonts w:ascii="Arial" w:hAnsi="Arial" w:cs="Arial"/>
              </w:rPr>
            </w:pPr>
            <w:r w:rsidRPr="00F7228F">
              <w:rPr>
                <w:rFonts w:ascii="Arial" w:hAnsi="Arial" w:cs="Arial"/>
              </w:rPr>
              <w:t>0.225</w:t>
            </w:r>
          </w:p>
        </w:tc>
        <w:tc>
          <w:tcPr>
            <w:tcW w:w="463" w:type="pct"/>
          </w:tcPr>
          <w:p w14:paraId="7A835DC7" w14:textId="77777777" w:rsidR="006B3577" w:rsidRPr="00F7228F" w:rsidRDefault="006B3577" w:rsidP="006B3577">
            <w:pPr>
              <w:spacing w:line="276" w:lineRule="auto"/>
              <w:jc w:val="right"/>
              <w:rPr>
                <w:rFonts w:ascii="Arial" w:hAnsi="Arial" w:cs="Arial"/>
              </w:rPr>
            </w:pPr>
            <w:r w:rsidRPr="00F7228F">
              <w:rPr>
                <w:rFonts w:ascii="Arial" w:hAnsi="Arial" w:cs="Arial"/>
              </w:rPr>
              <w:t>1.92</w:t>
            </w:r>
          </w:p>
        </w:tc>
        <w:tc>
          <w:tcPr>
            <w:tcW w:w="462" w:type="pct"/>
          </w:tcPr>
          <w:p w14:paraId="3CCB4319" w14:textId="16C21347"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403F0116" w14:textId="24A0E9E2"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13CC8B3F" w14:textId="3C84E70C"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1819DD65" w14:textId="0A7AB75D"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6F6528D8" w14:textId="2AE8CD64"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618F2412" w14:textId="410CFDA7"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401C8359" w14:textId="4B67AADE" w:rsidTr="00C32674">
        <w:tc>
          <w:tcPr>
            <w:tcW w:w="455" w:type="pct"/>
            <w:vAlign w:val="center"/>
          </w:tcPr>
          <w:p w14:paraId="62BE7EDE" w14:textId="77777777" w:rsidR="006B3577" w:rsidRPr="00F7228F" w:rsidRDefault="006B3577" w:rsidP="006B3577">
            <w:pPr>
              <w:spacing w:line="276" w:lineRule="auto"/>
              <w:rPr>
                <w:rFonts w:ascii="Arial" w:hAnsi="Arial" w:cs="Arial"/>
              </w:rPr>
            </w:pPr>
            <w:r w:rsidRPr="00F7228F">
              <w:rPr>
                <w:rFonts w:ascii="Arial" w:hAnsi="Arial" w:cs="Arial"/>
                <w:color w:val="000000"/>
              </w:rPr>
              <w:t>IL-8</w:t>
            </w:r>
          </w:p>
          <w:p w14:paraId="4115F50C"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0266A481" w14:textId="77777777" w:rsidR="006B3577" w:rsidRPr="00F7228F" w:rsidRDefault="006B3577" w:rsidP="006B3577">
            <w:pPr>
              <w:spacing w:line="276" w:lineRule="auto"/>
              <w:rPr>
                <w:rFonts w:ascii="Arial" w:hAnsi="Arial" w:cs="Arial"/>
              </w:rPr>
            </w:pPr>
            <w:r w:rsidRPr="00F7228F">
              <w:rPr>
                <w:rFonts w:ascii="Arial" w:hAnsi="Arial" w:cs="Arial"/>
              </w:rPr>
              <w:t>13.51 (10.40 – 15.82)</w:t>
            </w:r>
          </w:p>
        </w:tc>
        <w:tc>
          <w:tcPr>
            <w:tcW w:w="389" w:type="pct"/>
          </w:tcPr>
          <w:p w14:paraId="36C1A5DB" w14:textId="77777777" w:rsidR="006B3577" w:rsidRPr="00F7228F" w:rsidRDefault="006B3577" w:rsidP="006B3577">
            <w:pPr>
              <w:spacing w:line="276" w:lineRule="auto"/>
              <w:rPr>
                <w:rFonts w:ascii="Arial" w:hAnsi="Arial" w:cs="Arial"/>
              </w:rPr>
            </w:pPr>
            <w:r w:rsidRPr="00F7228F">
              <w:rPr>
                <w:rFonts w:ascii="Arial" w:hAnsi="Arial" w:cs="Arial"/>
              </w:rPr>
              <w:t>48.37 (41.47 - 60.87)</w:t>
            </w:r>
          </w:p>
        </w:tc>
        <w:tc>
          <w:tcPr>
            <w:tcW w:w="321" w:type="pct"/>
          </w:tcPr>
          <w:p w14:paraId="3E0496DB" w14:textId="77777777" w:rsidR="006B3577" w:rsidRPr="00F7228F" w:rsidRDefault="006B3577" w:rsidP="006B3577">
            <w:pPr>
              <w:spacing w:line="276" w:lineRule="auto"/>
              <w:rPr>
                <w:rFonts w:ascii="Arial" w:hAnsi="Arial" w:cs="Arial"/>
              </w:rPr>
            </w:pPr>
            <w:r w:rsidRPr="00F7228F">
              <w:rPr>
                <w:rFonts w:ascii="Arial" w:hAnsi="Arial" w:cs="Arial"/>
              </w:rPr>
              <w:t>&lt; 0.001</w:t>
            </w:r>
          </w:p>
        </w:tc>
        <w:tc>
          <w:tcPr>
            <w:tcW w:w="463" w:type="pct"/>
          </w:tcPr>
          <w:p w14:paraId="511C274D" w14:textId="77777777" w:rsidR="006B3577" w:rsidRPr="00F7228F" w:rsidRDefault="006B3577" w:rsidP="006B3577">
            <w:pPr>
              <w:spacing w:line="276" w:lineRule="auto"/>
              <w:jc w:val="right"/>
              <w:rPr>
                <w:rFonts w:ascii="Arial" w:hAnsi="Arial" w:cs="Arial"/>
              </w:rPr>
            </w:pPr>
            <w:r w:rsidRPr="00F7228F">
              <w:rPr>
                <w:rFonts w:ascii="Arial" w:hAnsi="Arial" w:cs="Arial"/>
              </w:rPr>
              <w:t>3.58</w:t>
            </w:r>
          </w:p>
        </w:tc>
        <w:tc>
          <w:tcPr>
            <w:tcW w:w="462" w:type="pct"/>
          </w:tcPr>
          <w:p w14:paraId="2DEA7886" w14:textId="2E6A4217"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099A789B" w14:textId="4C39457D"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7EFAF55A" w14:textId="51A08C1A"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7F5CCFEB" w14:textId="20D912F3"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33E3424C" w14:textId="401C4521"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6312E8CD" w14:textId="2A6BB50E"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4B480B70" w14:textId="6779FEBA" w:rsidTr="00C32674">
        <w:tc>
          <w:tcPr>
            <w:tcW w:w="455" w:type="pct"/>
            <w:vAlign w:val="center"/>
          </w:tcPr>
          <w:p w14:paraId="20E7C706" w14:textId="77777777" w:rsidR="006B3577" w:rsidRPr="00F7228F" w:rsidRDefault="006B3577" w:rsidP="006B3577">
            <w:pPr>
              <w:spacing w:line="276" w:lineRule="auto"/>
              <w:rPr>
                <w:rFonts w:ascii="Arial" w:hAnsi="Arial" w:cs="Arial"/>
              </w:rPr>
            </w:pPr>
            <w:r w:rsidRPr="00F7228F">
              <w:rPr>
                <w:rFonts w:ascii="Arial" w:hAnsi="Arial" w:cs="Arial"/>
                <w:color w:val="000000"/>
              </w:rPr>
              <w:t>IL-10</w:t>
            </w:r>
          </w:p>
          <w:p w14:paraId="76CAF4E9"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632296A3" w14:textId="77777777" w:rsidR="006B3577" w:rsidRPr="00F7228F" w:rsidRDefault="006B3577" w:rsidP="006B3577">
            <w:pPr>
              <w:spacing w:line="276" w:lineRule="auto"/>
              <w:rPr>
                <w:rFonts w:ascii="Arial" w:hAnsi="Arial" w:cs="Arial"/>
              </w:rPr>
            </w:pPr>
            <w:r w:rsidRPr="00F7228F">
              <w:rPr>
                <w:rFonts w:ascii="Arial" w:hAnsi="Arial" w:cs="Arial"/>
              </w:rPr>
              <w:t>0.40 (0.37 – 0.65)</w:t>
            </w:r>
          </w:p>
        </w:tc>
        <w:tc>
          <w:tcPr>
            <w:tcW w:w="389" w:type="pct"/>
          </w:tcPr>
          <w:p w14:paraId="40F9DF21" w14:textId="77777777" w:rsidR="006B3577" w:rsidRPr="00F7228F" w:rsidRDefault="006B3577" w:rsidP="006B3577">
            <w:pPr>
              <w:spacing w:line="276" w:lineRule="auto"/>
              <w:rPr>
                <w:rFonts w:ascii="Arial" w:hAnsi="Arial" w:cs="Arial"/>
              </w:rPr>
            </w:pPr>
            <w:r w:rsidRPr="00F7228F">
              <w:rPr>
                <w:rFonts w:ascii="Arial" w:hAnsi="Arial" w:cs="Arial"/>
              </w:rPr>
              <w:t>0.12 (0.09 – 0.17)</w:t>
            </w:r>
          </w:p>
        </w:tc>
        <w:tc>
          <w:tcPr>
            <w:tcW w:w="321" w:type="pct"/>
          </w:tcPr>
          <w:p w14:paraId="4CF1CEC0" w14:textId="77777777" w:rsidR="006B3577" w:rsidRPr="00F7228F" w:rsidRDefault="006B3577" w:rsidP="006B3577">
            <w:pPr>
              <w:spacing w:line="276" w:lineRule="auto"/>
              <w:rPr>
                <w:rFonts w:ascii="Arial" w:hAnsi="Arial" w:cs="Arial"/>
              </w:rPr>
            </w:pPr>
            <w:r w:rsidRPr="00F7228F">
              <w:rPr>
                <w:rFonts w:ascii="Arial" w:hAnsi="Arial" w:cs="Arial"/>
              </w:rPr>
              <w:t>&lt; 0.001</w:t>
            </w:r>
          </w:p>
        </w:tc>
        <w:tc>
          <w:tcPr>
            <w:tcW w:w="463" w:type="pct"/>
          </w:tcPr>
          <w:p w14:paraId="73958CD0" w14:textId="77777777" w:rsidR="006B3577" w:rsidRPr="00F7228F" w:rsidRDefault="006B3577" w:rsidP="006B3577">
            <w:pPr>
              <w:spacing w:line="276" w:lineRule="auto"/>
              <w:jc w:val="right"/>
              <w:rPr>
                <w:rFonts w:ascii="Arial" w:hAnsi="Arial" w:cs="Arial"/>
              </w:rPr>
            </w:pPr>
            <w:r w:rsidRPr="00F7228F">
              <w:rPr>
                <w:rFonts w:ascii="Arial" w:hAnsi="Arial" w:cs="Arial"/>
              </w:rPr>
              <w:t>0.30</w:t>
            </w:r>
          </w:p>
        </w:tc>
        <w:tc>
          <w:tcPr>
            <w:tcW w:w="462" w:type="pct"/>
          </w:tcPr>
          <w:p w14:paraId="0569B88A" w14:textId="3D764825"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6ADE6F53" w14:textId="4C2BA3B4"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23BD995C" w14:textId="172BABFF"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1615A2AC" w14:textId="42B8B58A"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4F42A707" w14:textId="1794C7A0"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4E2E01E2" w14:textId="010D9535"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653E65B7" w14:textId="560B0C8C" w:rsidTr="00C32674">
        <w:tc>
          <w:tcPr>
            <w:tcW w:w="455" w:type="pct"/>
            <w:vAlign w:val="center"/>
          </w:tcPr>
          <w:p w14:paraId="25EB958A" w14:textId="77777777" w:rsidR="006B3577" w:rsidRPr="00F7228F" w:rsidRDefault="006B3577" w:rsidP="006B3577">
            <w:pPr>
              <w:spacing w:line="276" w:lineRule="auto"/>
              <w:rPr>
                <w:rFonts w:ascii="Arial" w:hAnsi="Arial" w:cs="Arial"/>
              </w:rPr>
            </w:pPr>
            <w:r w:rsidRPr="00F7228F">
              <w:rPr>
                <w:rFonts w:ascii="Arial" w:hAnsi="Arial" w:cs="Arial"/>
                <w:color w:val="000000"/>
              </w:rPr>
              <w:t>IL-12</w:t>
            </w:r>
          </w:p>
          <w:p w14:paraId="59D49E68"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4CCDDC5D" w14:textId="77777777" w:rsidR="006B3577" w:rsidRPr="00F7228F" w:rsidRDefault="006B3577" w:rsidP="006B3577">
            <w:pPr>
              <w:spacing w:line="276" w:lineRule="auto"/>
              <w:rPr>
                <w:rFonts w:ascii="Arial" w:hAnsi="Arial" w:cs="Arial"/>
              </w:rPr>
            </w:pPr>
            <w:r w:rsidRPr="00F7228F">
              <w:rPr>
                <w:rFonts w:ascii="Arial" w:hAnsi="Arial" w:cs="Arial"/>
              </w:rPr>
              <w:t>0.25 (0.21 – 0.27)</w:t>
            </w:r>
          </w:p>
        </w:tc>
        <w:tc>
          <w:tcPr>
            <w:tcW w:w="389" w:type="pct"/>
          </w:tcPr>
          <w:p w14:paraId="108BBACC" w14:textId="77777777" w:rsidR="006B3577" w:rsidRPr="00F7228F" w:rsidRDefault="006B3577" w:rsidP="006B3577">
            <w:pPr>
              <w:spacing w:line="276" w:lineRule="auto"/>
              <w:rPr>
                <w:rFonts w:ascii="Arial" w:hAnsi="Arial" w:cs="Arial"/>
              </w:rPr>
            </w:pPr>
            <w:r w:rsidRPr="00F7228F">
              <w:rPr>
                <w:rFonts w:ascii="Arial" w:hAnsi="Arial" w:cs="Arial"/>
              </w:rPr>
              <w:t>0.01 (0.01 – 0.01)</w:t>
            </w:r>
          </w:p>
        </w:tc>
        <w:tc>
          <w:tcPr>
            <w:tcW w:w="321" w:type="pct"/>
          </w:tcPr>
          <w:p w14:paraId="5B89E3DF" w14:textId="77777777" w:rsidR="006B3577" w:rsidRPr="00F7228F" w:rsidRDefault="006B3577" w:rsidP="006B3577">
            <w:pPr>
              <w:spacing w:line="276" w:lineRule="auto"/>
              <w:rPr>
                <w:rFonts w:ascii="Arial" w:hAnsi="Arial" w:cs="Arial"/>
              </w:rPr>
            </w:pPr>
            <w:r w:rsidRPr="00F7228F">
              <w:rPr>
                <w:rFonts w:ascii="Arial" w:hAnsi="Arial" w:cs="Arial"/>
              </w:rPr>
              <w:t>0.002</w:t>
            </w:r>
          </w:p>
        </w:tc>
        <w:tc>
          <w:tcPr>
            <w:tcW w:w="463" w:type="pct"/>
          </w:tcPr>
          <w:p w14:paraId="53F7D1F4" w14:textId="77777777" w:rsidR="006B3577" w:rsidRPr="00F7228F" w:rsidRDefault="006B3577" w:rsidP="006B3577">
            <w:pPr>
              <w:spacing w:line="276" w:lineRule="auto"/>
              <w:jc w:val="right"/>
              <w:rPr>
                <w:rFonts w:ascii="Arial" w:hAnsi="Arial" w:cs="Arial"/>
              </w:rPr>
            </w:pPr>
            <w:r w:rsidRPr="00F7228F">
              <w:rPr>
                <w:rFonts w:ascii="Arial" w:hAnsi="Arial" w:cs="Arial"/>
              </w:rPr>
              <w:t>0.04</w:t>
            </w:r>
          </w:p>
        </w:tc>
        <w:tc>
          <w:tcPr>
            <w:tcW w:w="462" w:type="pct"/>
          </w:tcPr>
          <w:p w14:paraId="0169B17E" w14:textId="7DBA7A78"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2A095D65" w14:textId="4133FB52"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168F0D9F" w14:textId="0172145B"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5C616E68" w14:textId="431950FD"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07CF9B15" w14:textId="41BB0749"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00ED41B6" w14:textId="0121D1CC"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0B2EA6E4" w14:textId="28FE9758" w:rsidTr="00C32674">
        <w:tc>
          <w:tcPr>
            <w:tcW w:w="455" w:type="pct"/>
            <w:vAlign w:val="center"/>
          </w:tcPr>
          <w:p w14:paraId="25D102C9" w14:textId="77777777" w:rsidR="006B3577" w:rsidRPr="00F7228F" w:rsidRDefault="006B3577" w:rsidP="006B3577">
            <w:pPr>
              <w:spacing w:line="276" w:lineRule="auto"/>
              <w:rPr>
                <w:rFonts w:ascii="Arial" w:hAnsi="Arial" w:cs="Arial"/>
              </w:rPr>
            </w:pPr>
            <w:r w:rsidRPr="00F7228F">
              <w:rPr>
                <w:rFonts w:ascii="Arial" w:hAnsi="Arial" w:cs="Arial"/>
                <w:color w:val="000000"/>
              </w:rPr>
              <w:t>IL-13</w:t>
            </w:r>
          </w:p>
          <w:p w14:paraId="5E64A2AC"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55C18F87" w14:textId="77777777" w:rsidR="006B3577" w:rsidRPr="00F7228F" w:rsidRDefault="006B3577" w:rsidP="006B3577">
            <w:pPr>
              <w:spacing w:line="276" w:lineRule="auto"/>
              <w:rPr>
                <w:rFonts w:ascii="Arial" w:hAnsi="Arial" w:cs="Arial"/>
              </w:rPr>
            </w:pPr>
            <w:r w:rsidRPr="00F7228F">
              <w:rPr>
                <w:rFonts w:ascii="Arial" w:hAnsi="Arial" w:cs="Arial"/>
              </w:rPr>
              <w:t>0.01 (0.01 – 3.03)</w:t>
            </w:r>
          </w:p>
        </w:tc>
        <w:tc>
          <w:tcPr>
            <w:tcW w:w="389" w:type="pct"/>
          </w:tcPr>
          <w:p w14:paraId="7DAC0F39" w14:textId="77777777" w:rsidR="006B3577" w:rsidRPr="00F7228F" w:rsidRDefault="006B3577" w:rsidP="006B3577">
            <w:pPr>
              <w:spacing w:line="276" w:lineRule="auto"/>
              <w:rPr>
                <w:rFonts w:ascii="Arial" w:hAnsi="Arial" w:cs="Arial"/>
              </w:rPr>
            </w:pPr>
            <w:r w:rsidRPr="00F7228F">
              <w:rPr>
                <w:rFonts w:ascii="Arial" w:hAnsi="Arial" w:cs="Arial"/>
              </w:rPr>
              <w:t>3.94 (0.73 - 6.18)</w:t>
            </w:r>
          </w:p>
        </w:tc>
        <w:tc>
          <w:tcPr>
            <w:tcW w:w="321" w:type="pct"/>
          </w:tcPr>
          <w:p w14:paraId="4CD0EE19" w14:textId="77777777" w:rsidR="006B3577" w:rsidRPr="00F7228F" w:rsidRDefault="006B3577" w:rsidP="006B3577">
            <w:pPr>
              <w:spacing w:line="276" w:lineRule="auto"/>
              <w:rPr>
                <w:rFonts w:ascii="Arial" w:hAnsi="Arial" w:cs="Arial"/>
              </w:rPr>
            </w:pPr>
            <w:r w:rsidRPr="00F7228F">
              <w:rPr>
                <w:rFonts w:ascii="Arial" w:hAnsi="Arial" w:cs="Arial"/>
              </w:rPr>
              <w:t>0.126</w:t>
            </w:r>
          </w:p>
        </w:tc>
        <w:tc>
          <w:tcPr>
            <w:tcW w:w="463" w:type="pct"/>
          </w:tcPr>
          <w:p w14:paraId="064B209C" w14:textId="77777777" w:rsidR="006B3577" w:rsidRPr="00F7228F" w:rsidRDefault="006B3577" w:rsidP="006B3577">
            <w:pPr>
              <w:spacing w:line="276" w:lineRule="auto"/>
              <w:jc w:val="right"/>
              <w:rPr>
                <w:rFonts w:ascii="Arial" w:hAnsi="Arial" w:cs="Arial"/>
              </w:rPr>
            </w:pPr>
            <w:r w:rsidRPr="00F7228F">
              <w:rPr>
                <w:rFonts w:ascii="Arial" w:hAnsi="Arial" w:cs="Arial"/>
              </w:rPr>
              <w:t>394</w:t>
            </w:r>
          </w:p>
        </w:tc>
        <w:tc>
          <w:tcPr>
            <w:tcW w:w="462" w:type="pct"/>
          </w:tcPr>
          <w:p w14:paraId="57622DEA" w14:textId="75F95549"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6874D28F" w14:textId="023D44D8"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6ACAA4C2" w14:textId="10839BD0"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39658B5E" w14:textId="3D44DC4B"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544D9E70" w14:textId="3F136445"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4A00D599" w14:textId="097A33CA"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11A8284C" w14:textId="1D0F30A1" w:rsidTr="00C32674">
        <w:tc>
          <w:tcPr>
            <w:tcW w:w="455" w:type="pct"/>
            <w:vAlign w:val="center"/>
          </w:tcPr>
          <w:p w14:paraId="17C51E5F" w14:textId="77777777" w:rsidR="006B3577" w:rsidRPr="00F7228F" w:rsidRDefault="006B3577" w:rsidP="006B3577">
            <w:pPr>
              <w:spacing w:line="276" w:lineRule="auto"/>
              <w:rPr>
                <w:rFonts w:ascii="Arial" w:hAnsi="Arial" w:cs="Arial"/>
              </w:rPr>
            </w:pPr>
            <w:r w:rsidRPr="00F7228F">
              <w:rPr>
                <w:rFonts w:ascii="Arial" w:hAnsi="Arial" w:cs="Arial"/>
                <w:color w:val="000000"/>
              </w:rPr>
              <w:lastRenderedPageBreak/>
              <w:t>IFN-gamma</w:t>
            </w:r>
          </w:p>
          <w:p w14:paraId="002AD611" w14:textId="77777777" w:rsidR="006B3577" w:rsidRPr="00F7228F" w:rsidRDefault="006B3577" w:rsidP="006B3577">
            <w:pPr>
              <w:spacing w:line="276" w:lineRule="auto"/>
              <w:rPr>
                <w:rFonts w:ascii="Arial" w:hAnsi="Arial" w:cs="Arial"/>
                <w:color w:val="000000"/>
              </w:rPr>
            </w:pPr>
            <w:r w:rsidRPr="00F7228F">
              <w:rPr>
                <w:rFonts w:ascii="Arial" w:hAnsi="Arial" w:cs="Arial"/>
              </w:rPr>
              <w:t>(median, IQR)</w:t>
            </w:r>
          </w:p>
        </w:tc>
        <w:tc>
          <w:tcPr>
            <w:tcW w:w="389" w:type="pct"/>
          </w:tcPr>
          <w:p w14:paraId="0662FC75" w14:textId="77777777" w:rsidR="006B3577" w:rsidRPr="00F7228F" w:rsidRDefault="006B3577" w:rsidP="006B3577">
            <w:pPr>
              <w:spacing w:line="276" w:lineRule="auto"/>
              <w:rPr>
                <w:rFonts w:ascii="Arial" w:hAnsi="Arial" w:cs="Arial"/>
              </w:rPr>
            </w:pPr>
            <w:r w:rsidRPr="00F7228F">
              <w:rPr>
                <w:rFonts w:ascii="Arial" w:hAnsi="Arial" w:cs="Arial"/>
              </w:rPr>
              <w:t>5.26 (4.09 – 6.45)</w:t>
            </w:r>
          </w:p>
        </w:tc>
        <w:tc>
          <w:tcPr>
            <w:tcW w:w="389" w:type="pct"/>
          </w:tcPr>
          <w:p w14:paraId="1E7BC36A" w14:textId="77777777" w:rsidR="006B3577" w:rsidRPr="00F7228F" w:rsidRDefault="006B3577" w:rsidP="006B3577">
            <w:pPr>
              <w:spacing w:line="276" w:lineRule="auto"/>
              <w:rPr>
                <w:rFonts w:ascii="Arial" w:hAnsi="Arial" w:cs="Arial"/>
              </w:rPr>
            </w:pPr>
            <w:r w:rsidRPr="00F7228F">
              <w:rPr>
                <w:rFonts w:ascii="Arial" w:hAnsi="Arial" w:cs="Arial"/>
              </w:rPr>
              <w:t>0.01 (0.01 – 0.01)</w:t>
            </w:r>
          </w:p>
        </w:tc>
        <w:tc>
          <w:tcPr>
            <w:tcW w:w="321" w:type="pct"/>
          </w:tcPr>
          <w:p w14:paraId="0D04701F" w14:textId="77777777" w:rsidR="006B3577" w:rsidRPr="00F7228F" w:rsidRDefault="006B3577" w:rsidP="006B3577">
            <w:pPr>
              <w:spacing w:line="276" w:lineRule="auto"/>
              <w:rPr>
                <w:rFonts w:ascii="Arial" w:hAnsi="Arial" w:cs="Arial"/>
              </w:rPr>
            </w:pPr>
            <w:r w:rsidRPr="00F7228F">
              <w:rPr>
                <w:rFonts w:ascii="Arial" w:hAnsi="Arial" w:cs="Arial"/>
              </w:rPr>
              <w:t>&lt; 0.001</w:t>
            </w:r>
          </w:p>
        </w:tc>
        <w:tc>
          <w:tcPr>
            <w:tcW w:w="463" w:type="pct"/>
          </w:tcPr>
          <w:p w14:paraId="7E4E01CE" w14:textId="77777777" w:rsidR="006B3577" w:rsidRPr="00F7228F" w:rsidRDefault="006B3577" w:rsidP="006B3577">
            <w:pPr>
              <w:spacing w:line="276" w:lineRule="auto"/>
              <w:jc w:val="right"/>
              <w:rPr>
                <w:rFonts w:ascii="Arial" w:hAnsi="Arial" w:cs="Arial"/>
              </w:rPr>
            </w:pPr>
            <w:r w:rsidRPr="00F7228F">
              <w:rPr>
                <w:rFonts w:ascii="Arial" w:hAnsi="Arial" w:cs="Arial"/>
              </w:rPr>
              <w:t>0.02</w:t>
            </w:r>
          </w:p>
        </w:tc>
        <w:tc>
          <w:tcPr>
            <w:tcW w:w="462" w:type="pct"/>
          </w:tcPr>
          <w:p w14:paraId="4506D1D4" w14:textId="7949CFEC"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03C8408D" w14:textId="0386D3F6"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07307FA3" w14:textId="23FD293F"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320DC33A" w14:textId="15C3EFAE"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3FACA4FE" w14:textId="65FA825B"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6AC94AC8" w14:textId="30217F98" w:rsidR="006B3577" w:rsidRPr="00F7228F" w:rsidRDefault="006B3577" w:rsidP="006B3577">
            <w:pPr>
              <w:spacing w:line="276" w:lineRule="auto"/>
              <w:rPr>
                <w:rFonts w:ascii="Arial" w:hAnsi="Arial" w:cs="Arial"/>
              </w:rPr>
            </w:pPr>
            <w:r w:rsidRPr="00F7228F">
              <w:rPr>
                <w:rFonts w:ascii="Arial" w:hAnsi="Arial" w:cs="Arial"/>
                <w:b/>
                <w:bCs/>
              </w:rPr>
              <w:t>NA</w:t>
            </w:r>
          </w:p>
        </w:tc>
      </w:tr>
      <w:tr w:rsidR="006B3577" w:rsidRPr="00F7228F" w14:paraId="112C1312" w14:textId="4746C0A2" w:rsidTr="00C32674">
        <w:tc>
          <w:tcPr>
            <w:tcW w:w="455" w:type="pct"/>
            <w:vAlign w:val="center"/>
          </w:tcPr>
          <w:p w14:paraId="7B1EAF6B" w14:textId="77777777" w:rsidR="006B3577" w:rsidRPr="00F7228F" w:rsidRDefault="006B3577" w:rsidP="006B3577">
            <w:pPr>
              <w:spacing w:line="276" w:lineRule="auto"/>
              <w:rPr>
                <w:rFonts w:ascii="Arial" w:hAnsi="Arial" w:cs="Arial"/>
              </w:rPr>
            </w:pPr>
            <w:r w:rsidRPr="00F7228F">
              <w:rPr>
                <w:rFonts w:ascii="Arial" w:hAnsi="Arial" w:cs="Arial"/>
                <w:color w:val="000000"/>
              </w:rPr>
              <w:t>TNF-alpha</w:t>
            </w:r>
          </w:p>
          <w:p w14:paraId="633C8478" w14:textId="77777777" w:rsidR="006B3577" w:rsidRPr="00F7228F" w:rsidRDefault="006B3577" w:rsidP="006B3577">
            <w:pPr>
              <w:spacing w:line="276" w:lineRule="auto"/>
              <w:rPr>
                <w:rFonts w:ascii="Arial" w:hAnsi="Arial" w:cs="Arial"/>
              </w:rPr>
            </w:pPr>
            <w:r w:rsidRPr="00F7228F">
              <w:rPr>
                <w:rFonts w:ascii="Arial" w:hAnsi="Arial" w:cs="Arial"/>
              </w:rPr>
              <w:t>(median, IQR)</w:t>
            </w:r>
          </w:p>
        </w:tc>
        <w:tc>
          <w:tcPr>
            <w:tcW w:w="389" w:type="pct"/>
          </w:tcPr>
          <w:p w14:paraId="23B2DF50" w14:textId="77777777" w:rsidR="006B3577" w:rsidRPr="00F7228F" w:rsidRDefault="006B3577" w:rsidP="006B3577">
            <w:pPr>
              <w:spacing w:line="276" w:lineRule="auto"/>
              <w:rPr>
                <w:rFonts w:ascii="Arial" w:hAnsi="Arial" w:cs="Arial"/>
              </w:rPr>
            </w:pPr>
            <w:r w:rsidRPr="00F7228F">
              <w:rPr>
                <w:rFonts w:ascii="Arial" w:hAnsi="Arial" w:cs="Arial"/>
              </w:rPr>
              <w:t>2.00 (1.57 – 2.56)</w:t>
            </w:r>
          </w:p>
        </w:tc>
        <w:tc>
          <w:tcPr>
            <w:tcW w:w="389" w:type="pct"/>
          </w:tcPr>
          <w:p w14:paraId="202DD33C" w14:textId="77777777" w:rsidR="006B3577" w:rsidRPr="00F7228F" w:rsidRDefault="006B3577" w:rsidP="006B3577">
            <w:pPr>
              <w:spacing w:line="276" w:lineRule="auto"/>
              <w:rPr>
                <w:rFonts w:ascii="Arial" w:hAnsi="Arial" w:cs="Arial"/>
              </w:rPr>
            </w:pPr>
            <w:r w:rsidRPr="00F7228F">
              <w:rPr>
                <w:rFonts w:ascii="Arial" w:hAnsi="Arial" w:cs="Arial"/>
              </w:rPr>
              <w:t>0.16 (0.01 – 0.22)</w:t>
            </w:r>
          </w:p>
        </w:tc>
        <w:tc>
          <w:tcPr>
            <w:tcW w:w="321" w:type="pct"/>
          </w:tcPr>
          <w:p w14:paraId="190D701A" w14:textId="77777777" w:rsidR="006B3577" w:rsidRPr="00F7228F" w:rsidRDefault="006B3577" w:rsidP="006B3577">
            <w:pPr>
              <w:spacing w:line="276" w:lineRule="auto"/>
              <w:rPr>
                <w:rFonts w:ascii="Arial" w:hAnsi="Arial" w:cs="Arial"/>
              </w:rPr>
            </w:pPr>
            <w:r w:rsidRPr="00F7228F">
              <w:rPr>
                <w:rFonts w:ascii="Arial" w:hAnsi="Arial" w:cs="Arial"/>
              </w:rPr>
              <w:t>&lt; 0.001</w:t>
            </w:r>
          </w:p>
        </w:tc>
        <w:tc>
          <w:tcPr>
            <w:tcW w:w="463" w:type="pct"/>
          </w:tcPr>
          <w:p w14:paraId="33925DFA" w14:textId="77777777" w:rsidR="006B3577" w:rsidRPr="00F7228F" w:rsidRDefault="006B3577" w:rsidP="006B3577">
            <w:pPr>
              <w:spacing w:line="276" w:lineRule="auto"/>
              <w:jc w:val="right"/>
              <w:rPr>
                <w:rFonts w:ascii="Arial" w:hAnsi="Arial" w:cs="Arial"/>
              </w:rPr>
            </w:pPr>
            <w:r w:rsidRPr="00F7228F">
              <w:rPr>
                <w:rFonts w:ascii="Arial" w:hAnsi="Arial" w:cs="Arial"/>
              </w:rPr>
              <w:t>0.08</w:t>
            </w:r>
          </w:p>
        </w:tc>
        <w:tc>
          <w:tcPr>
            <w:tcW w:w="462" w:type="pct"/>
          </w:tcPr>
          <w:p w14:paraId="437E223B" w14:textId="1FBA7B0F" w:rsidR="006B3577" w:rsidRPr="00F7228F" w:rsidRDefault="006B3577" w:rsidP="006B3577">
            <w:pPr>
              <w:spacing w:line="276" w:lineRule="auto"/>
              <w:rPr>
                <w:rFonts w:ascii="Arial" w:hAnsi="Arial" w:cs="Arial"/>
              </w:rPr>
            </w:pPr>
            <w:r w:rsidRPr="00F7228F">
              <w:rPr>
                <w:rFonts w:ascii="Arial" w:hAnsi="Arial" w:cs="Arial"/>
                <w:b/>
                <w:bCs/>
              </w:rPr>
              <w:t>NA</w:t>
            </w:r>
          </w:p>
        </w:tc>
        <w:tc>
          <w:tcPr>
            <w:tcW w:w="533" w:type="pct"/>
          </w:tcPr>
          <w:p w14:paraId="0AE56E65" w14:textId="667E2E67"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2C8002E4" w14:textId="42241B15" w:rsidR="006B3577" w:rsidRPr="00F7228F" w:rsidRDefault="006B3577" w:rsidP="006B3577">
            <w:pPr>
              <w:spacing w:line="276" w:lineRule="auto"/>
              <w:rPr>
                <w:rFonts w:ascii="Arial" w:hAnsi="Arial" w:cs="Arial"/>
              </w:rPr>
            </w:pPr>
            <w:r w:rsidRPr="00F7228F">
              <w:rPr>
                <w:rFonts w:ascii="Arial" w:hAnsi="Arial" w:cs="Arial"/>
                <w:b/>
                <w:bCs/>
              </w:rPr>
              <w:t>NA</w:t>
            </w:r>
          </w:p>
        </w:tc>
        <w:tc>
          <w:tcPr>
            <w:tcW w:w="470" w:type="pct"/>
          </w:tcPr>
          <w:p w14:paraId="17A2D50D" w14:textId="18CEB62A"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5CEF790E" w14:textId="5667CE59" w:rsidR="006B3577" w:rsidRPr="00F7228F" w:rsidRDefault="006B3577" w:rsidP="006B3577">
            <w:pPr>
              <w:spacing w:line="276" w:lineRule="auto"/>
              <w:rPr>
                <w:rFonts w:ascii="Arial" w:hAnsi="Arial" w:cs="Arial"/>
              </w:rPr>
            </w:pPr>
            <w:r w:rsidRPr="00F7228F">
              <w:rPr>
                <w:rFonts w:ascii="Arial" w:hAnsi="Arial" w:cs="Arial"/>
                <w:b/>
                <w:bCs/>
              </w:rPr>
              <w:t>NA</w:t>
            </w:r>
          </w:p>
        </w:tc>
        <w:tc>
          <w:tcPr>
            <w:tcW w:w="524" w:type="pct"/>
          </w:tcPr>
          <w:p w14:paraId="0058E8F0" w14:textId="1028C60E" w:rsidR="006B3577" w:rsidRPr="00F7228F" w:rsidRDefault="006B3577" w:rsidP="006B3577">
            <w:pPr>
              <w:spacing w:line="276" w:lineRule="auto"/>
              <w:rPr>
                <w:rFonts w:ascii="Arial" w:hAnsi="Arial" w:cs="Arial"/>
              </w:rPr>
            </w:pPr>
            <w:r w:rsidRPr="00F7228F">
              <w:rPr>
                <w:rFonts w:ascii="Arial" w:hAnsi="Arial" w:cs="Arial"/>
                <w:b/>
                <w:bCs/>
              </w:rPr>
              <w:t>NA</w:t>
            </w:r>
          </w:p>
        </w:tc>
      </w:tr>
      <w:bookmarkEnd w:id="0"/>
    </w:tbl>
    <w:p w14:paraId="62E44572" w14:textId="77777777" w:rsidR="00236A5B" w:rsidRPr="00F7228F" w:rsidRDefault="00236A5B" w:rsidP="000B242D">
      <w:pPr>
        <w:spacing w:after="0" w:line="276" w:lineRule="auto"/>
        <w:rPr>
          <w:rFonts w:ascii="Arial" w:hAnsi="Arial" w:cs="Arial"/>
          <w:b/>
          <w:bCs/>
        </w:rPr>
      </w:pPr>
    </w:p>
    <w:p w14:paraId="1DD6A0A1" w14:textId="77777777" w:rsidR="00C32674" w:rsidRDefault="00C32674" w:rsidP="000B242D">
      <w:pPr>
        <w:spacing w:after="0" w:line="276" w:lineRule="auto"/>
        <w:rPr>
          <w:rFonts w:ascii="Arial" w:hAnsi="Arial" w:cs="Arial"/>
          <w:b/>
          <w:bCs/>
        </w:rPr>
      </w:pPr>
    </w:p>
    <w:p w14:paraId="4DDD1468" w14:textId="37ECD776" w:rsidR="00255D29" w:rsidRPr="00F7228F" w:rsidRDefault="00255D29" w:rsidP="00255D29">
      <w:pPr>
        <w:spacing w:after="0" w:line="276" w:lineRule="auto"/>
        <w:rPr>
          <w:rFonts w:ascii="Arial" w:hAnsi="Arial" w:cs="Arial"/>
          <w:b/>
          <w:bCs/>
        </w:rPr>
      </w:pPr>
      <w:r w:rsidRPr="00F7228F">
        <w:rPr>
          <w:rFonts w:ascii="Arial" w:hAnsi="Arial" w:cs="Arial"/>
          <w:b/>
          <w:bCs/>
        </w:rPr>
        <w:t xml:space="preserve">Supplementary Table </w:t>
      </w:r>
      <w:r>
        <w:rPr>
          <w:rFonts w:ascii="Arial" w:hAnsi="Arial" w:cs="Arial"/>
          <w:b/>
          <w:bCs/>
        </w:rPr>
        <w:t>4</w:t>
      </w:r>
      <w:r w:rsidRPr="00F7228F">
        <w:rPr>
          <w:rFonts w:ascii="Arial" w:hAnsi="Arial" w:cs="Arial"/>
          <w:b/>
          <w:bCs/>
        </w:rPr>
        <w:t xml:space="preserve"> </w:t>
      </w:r>
      <w:r w:rsidRPr="00F7228F">
        <w:rPr>
          <w:rFonts w:ascii="Arial" w:hAnsi="Arial" w:cs="Arial"/>
        </w:rPr>
        <w:t>– Within-subjects ANOVA and Tukey’s pairwise comparisons of significant differences in cytokine levels over time</w:t>
      </w:r>
    </w:p>
    <w:tbl>
      <w:tblPr>
        <w:tblW w:w="0" w:type="auto"/>
        <w:tblLook w:val="04A0" w:firstRow="1" w:lastRow="0" w:firstColumn="1" w:lastColumn="0" w:noHBand="0" w:noVBand="1"/>
      </w:tblPr>
      <w:tblGrid>
        <w:gridCol w:w="2172"/>
        <w:gridCol w:w="1272"/>
        <w:gridCol w:w="3685"/>
        <w:gridCol w:w="2075"/>
      </w:tblGrid>
      <w:tr w:rsidR="00255D29" w:rsidRPr="00F7228F" w14:paraId="33EF3F08" w14:textId="77777777" w:rsidTr="003327D0">
        <w:trPr>
          <w:trHeight w:val="543"/>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64C468" w14:textId="77777777" w:rsidR="00255D29" w:rsidRPr="00F7228F" w:rsidRDefault="00255D29" w:rsidP="003327D0">
            <w:pPr>
              <w:spacing w:after="0" w:line="240" w:lineRule="auto"/>
              <w:jc w:val="center"/>
              <w:rPr>
                <w:rFonts w:ascii="Arial" w:eastAsia="Times New Roman" w:hAnsi="Arial" w:cs="Arial"/>
                <w:b/>
                <w:bCs/>
              </w:rPr>
            </w:pPr>
            <w:r w:rsidRPr="00F7228F">
              <w:rPr>
                <w:rFonts w:ascii="Arial" w:eastAsia="Times New Roman" w:hAnsi="Arial" w:cs="Arial"/>
                <w:b/>
                <w:bCs/>
              </w:rPr>
              <w:t>Cytokine</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14:paraId="75CF8F76" w14:textId="77777777" w:rsidR="00255D29" w:rsidRPr="00F7228F" w:rsidRDefault="00255D29" w:rsidP="003327D0">
            <w:pPr>
              <w:spacing w:after="0" w:line="240" w:lineRule="auto"/>
              <w:jc w:val="center"/>
              <w:rPr>
                <w:rFonts w:ascii="Arial" w:eastAsia="Times New Roman" w:hAnsi="Arial" w:cs="Arial"/>
                <w:b/>
                <w:bCs/>
              </w:rPr>
            </w:pPr>
            <w:r w:rsidRPr="00F7228F">
              <w:rPr>
                <w:rFonts w:ascii="Arial" w:eastAsia="Times New Roman" w:hAnsi="Arial" w:cs="Arial"/>
                <w:b/>
                <w:bCs/>
              </w:rPr>
              <w:t>P-value</w:t>
            </w:r>
          </w:p>
        </w:tc>
        <w:tc>
          <w:tcPr>
            <w:tcW w:w="3685" w:type="dxa"/>
            <w:tcBorders>
              <w:top w:val="single" w:sz="4" w:space="0" w:color="auto"/>
              <w:left w:val="nil"/>
              <w:bottom w:val="single" w:sz="4" w:space="0" w:color="auto"/>
              <w:right w:val="single" w:sz="4" w:space="0" w:color="auto"/>
            </w:tcBorders>
            <w:shd w:val="clear" w:color="auto" w:fill="auto"/>
            <w:vAlign w:val="center"/>
            <w:hideMark/>
          </w:tcPr>
          <w:p w14:paraId="36BF9F39" w14:textId="77777777" w:rsidR="00255D29" w:rsidRPr="00F7228F" w:rsidRDefault="00255D29" w:rsidP="003327D0">
            <w:pPr>
              <w:spacing w:after="0" w:line="240" w:lineRule="auto"/>
              <w:jc w:val="center"/>
              <w:rPr>
                <w:rFonts w:ascii="Arial" w:eastAsia="Times New Roman" w:hAnsi="Arial" w:cs="Arial"/>
                <w:b/>
                <w:bCs/>
              </w:rPr>
            </w:pPr>
            <w:r w:rsidRPr="00F7228F">
              <w:rPr>
                <w:rFonts w:ascii="Arial" w:eastAsia="Times New Roman" w:hAnsi="Arial" w:cs="Arial"/>
                <w:b/>
                <w:bCs/>
              </w:rPr>
              <w:t>Days that were significantly different</w:t>
            </w:r>
          </w:p>
        </w:tc>
        <w:tc>
          <w:tcPr>
            <w:tcW w:w="2075" w:type="dxa"/>
            <w:tcBorders>
              <w:top w:val="single" w:sz="4" w:space="0" w:color="auto"/>
              <w:left w:val="nil"/>
              <w:bottom w:val="single" w:sz="4" w:space="0" w:color="auto"/>
              <w:right w:val="single" w:sz="4" w:space="0" w:color="auto"/>
            </w:tcBorders>
            <w:shd w:val="clear" w:color="auto" w:fill="auto"/>
            <w:vAlign w:val="center"/>
            <w:hideMark/>
          </w:tcPr>
          <w:p w14:paraId="704C2333" w14:textId="77777777" w:rsidR="00255D29" w:rsidRPr="00F7228F" w:rsidRDefault="00255D29" w:rsidP="003327D0">
            <w:pPr>
              <w:spacing w:after="0" w:line="240" w:lineRule="auto"/>
              <w:jc w:val="center"/>
              <w:rPr>
                <w:rFonts w:ascii="Arial" w:eastAsia="Times New Roman" w:hAnsi="Arial" w:cs="Arial"/>
                <w:b/>
                <w:bCs/>
              </w:rPr>
            </w:pPr>
            <w:r w:rsidRPr="00F7228F">
              <w:rPr>
                <w:rFonts w:ascii="Arial" w:eastAsia="Times New Roman" w:hAnsi="Arial" w:cs="Arial"/>
                <w:b/>
                <w:bCs/>
              </w:rPr>
              <w:t>Tukey corrected p-value</w:t>
            </w:r>
          </w:p>
        </w:tc>
      </w:tr>
      <w:tr w:rsidR="00255D29" w:rsidRPr="00F7228F" w14:paraId="18FCCF9D"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51F82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IL-1beta</w:t>
            </w:r>
          </w:p>
        </w:tc>
        <w:tc>
          <w:tcPr>
            <w:tcW w:w="1272" w:type="dxa"/>
            <w:tcBorders>
              <w:top w:val="nil"/>
              <w:left w:val="nil"/>
              <w:bottom w:val="single" w:sz="4" w:space="0" w:color="auto"/>
              <w:right w:val="single" w:sz="4" w:space="0" w:color="auto"/>
            </w:tcBorders>
            <w:shd w:val="clear" w:color="auto" w:fill="auto"/>
            <w:vAlign w:val="center"/>
            <w:hideMark/>
          </w:tcPr>
          <w:p w14:paraId="6FA9359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0.326</w:t>
            </w:r>
          </w:p>
        </w:tc>
        <w:tc>
          <w:tcPr>
            <w:tcW w:w="3685" w:type="dxa"/>
            <w:tcBorders>
              <w:top w:val="nil"/>
              <w:left w:val="nil"/>
              <w:bottom w:val="single" w:sz="4" w:space="0" w:color="auto"/>
              <w:right w:val="single" w:sz="4" w:space="0" w:color="auto"/>
            </w:tcBorders>
            <w:shd w:val="clear" w:color="auto" w:fill="auto"/>
            <w:vAlign w:val="center"/>
            <w:hideMark/>
          </w:tcPr>
          <w:p w14:paraId="497920B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46E9F8DB"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6D4C5C2F"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B57CA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IL-2</w:t>
            </w:r>
          </w:p>
        </w:tc>
        <w:tc>
          <w:tcPr>
            <w:tcW w:w="1272" w:type="dxa"/>
            <w:tcBorders>
              <w:top w:val="nil"/>
              <w:left w:val="nil"/>
              <w:bottom w:val="single" w:sz="4" w:space="0" w:color="auto"/>
              <w:right w:val="single" w:sz="4" w:space="0" w:color="auto"/>
            </w:tcBorders>
            <w:shd w:val="clear" w:color="auto" w:fill="auto"/>
            <w:vAlign w:val="center"/>
            <w:hideMark/>
          </w:tcPr>
          <w:p w14:paraId="0E7BB224"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0.004</w:t>
            </w:r>
          </w:p>
        </w:tc>
        <w:tc>
          <w:tcPr>
            <w:tcW w:w="3685" w:type="dxa"/>
            <w:tcBorders>
              <w:top w:val="nil"/>
              <w:left w:val="nil"/>
              <w:bottom w:val="single" w:sz="4" w:space="0" w:color="auto"/>
              <w:right w:val="single" w:sz="4" w:space="0" w:color="auto"/>
            </w:tcBorders>
            <w:shd w:val="clear" w:color="auto" w:fill="auto"/>
            <w:vAlign w:val="center"/>
            <w:hideMark/>
          </w:tcPr>
          <w:p w14:paraId="3A6DCDA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0</w:t>
            </w:r>
          </w:p>
        </w:tc>
        <w:tc>
          <w:tcPr>
            <w:tcW w:w="2075" w:type="dxa"/>
            <w:tcBorders>
              <w:top w:val="nil"/>
              <w:left w:val="nil"/>
              <w:bottom w:val="single" w:sz="4" w:space="0" w:color="auto"/>
              <w:right w:val="single" w:sz="4" w:space="0" w:color="auto"/>
            </w:tcBorders>
            <w:shd w:val="clear" w:color="auto" w:fill="auto"/>
            <w:vAlign w:val="center"/>
            <w:hideMark/>
          </w:tcPr>
          <w:p w14:paraId="2177001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0.029</w:t>
            </w:r>
          </w:p>
        </w:tc>
      </w:tr>
      <w:tr w:rsidR="00255D29" w:rsidRPr="00F7228F" w14:paraId="6E0AEDAC"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5795663"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IL-4</w:t>
            </w:r>
          </w:p>
        </w:tc>
        <w:tc>
          <w:tcPr>
            <w:tcW w:w="1272" w:type="dxa"/>
            <w:tcBorders>
              <w:top w:val="nil"/>
              <w:left w:val="nil"/>
              <w:bottom w:val="single" w:sz="4" w:space="0" w:color="auto"/>
              <w:right w:val="single" w:sz="4" w:space="0" w:color="auto"/>
            </w:tcBorders>
            <w:shd w:val="clear" w:color="auto" w:fill="auto"/>
            <w:vAlign w:val="center"/>
            <w:hideMark/>
          </w:tcPr>
          <w:p w14:paraId="3AF3C93D"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0.100</w:t>
            </w:r>
          </w:p>
        </w:tc>
        <w:tc>
          <w:tcPr>
            <w:tcW w:w="3685" w:type="dxa"/>
            <w:tcBorders>
              <w:top w:val="nil"/>
              <w:left w:val="nil"/>
              <w:bottom w:val="single" w:sz="4" w:space="0" w:color="auto"/>
              <w:right w:val="single" w:sz="4" w:space="0" w:color="auto"/>
            </w:tcBorders>
            <w:shd w:val="clear" w:color="auto" w:fill="auto"/>
            <w:vAlign w:val="center"/>
            <w:hideMark/>
          </w:tcPr>
          <w:p w14:paraId="357C089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72637EF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02ED7159" w14:textId="77777777" w:rsidTr="003327D0">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344CC9C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IL-6</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14:paraId="00E6DA74"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c>
          <w:tcPr>
            <w:tcW w:w="3685" w:type="dxa"/>
            <w:tcBorders>
              <w:top w:val="nil"/>
              <w:left w:val="nil"/>
              <w:bottom w:val="single" w:sz="4" w:space="0" w:color="auto"/>
              <w:right w:val="single" w:sz="4" w:space="0" w:color="auto"/>
            </w:tcBorders>
            <w:shd w:val="clear" w:color="auto" w:fill="auto"/>
            <w:vAlign w:val="center"/>
            <w:hideMark/>
          </w:tcPr>
          <w:p w14:paraId="335735D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5 vs 0</w:t>
            </w:r>
          </w:p>
        </w:tc>
        <w:tc>
          <w:tcPr>
            <w:tcW w:w="2075" w:type="dxa"/>
            <w:tcBorders>
              <w:top w:val="nil"/>
              <w:left w:val="nil"/>
              <w:bottom w:val="single" w:sz="4" w:space="0" w:color="auto"/>
              <w:right w:val="single" w:sz="4" w:space="0" w:color="auto"/>
            </w:tcBorders>
            <w:shd w:val="clear" w:color="auto" w:fill="auto"/>
            <w:vAlign w:val="center"/>
            <w:hideMark/>
          </w:tcPr>
          <w:p w14:paraId="33BA08B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0.003</w:t>
            </w:r>
          </w:p>
        </w:tc>
      </w:tr>
      <w:tr w:rsidR="00255D29" w:rsidRPr="00F7228F" w14:paraId="0F4E9E5F"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6A220DC7"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37777475"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7CBB878A"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7 vs 0</w:t>
            </w:r>
          </w:p>
        </w:tc>
        <w:tc>
          <w:tcPr>
            <w:tcW w:w="2075" w:type="dxa"/>
            <w:tcBorders>
              <w:top w:val="nil"/>
              <w:left w:val="nil"/>
              <w:bottom w:val="single" w:sz="4" w:space="0" w:color="auto"/>
              <w:right w:val="single" w:sz="4" w:space="0" w:color="auto"/>
            </w:tcBorders>
            <w:shd w:val="clear" w:color="auto" w:fill="auto"/>
            <w:vAlign w:val="center"/>
            <w:hideMark/>
          </w:tcPr>
          <w:p w14:paraId="414BAD9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0.004</w:t>
            </w:r>
          </w:p>
        </w:tc>
      </w:tr>
      <w:tr w:rsidR="00255D29" w:rsidRPr="00F7228F" w14:paraId="798EAF34"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561E5E4E"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6614AE3A"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426CC36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0</w:t>
            </w:r>
          </w:p>
        </w:tc>
        <w:tc>
          <w:tcPr>
            <w:tcW w:w="2075" w:type="dxa"/>
            <w:tcBorders>
              <w:top w:val="nil"/>
              <w:left w:val="nil"/>
              <w:bottom w:val="single" w:sz="4" w:space="0" w:color="auto"/>
              <w:right w:val="single" w:sz="4" w:space="0" w:color="auto"/>
            </w:tcBorders>
            <w:shd w:val="clear" w:color="auto" w:fill="auto"/>
            <w:vAlign w:val="center"/>
            <w:hideMark/>
          </w:tcPr>
          <w:p w14:paraId="6190580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0.002</w:t>
            </w:r>
          </w:p>
        </w:tc>
      </w:tr>
      <w:tr w:rsidR="00255D29" w:rsidRPr="00F7228F" w14:paraId="407BEC13"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71E45ED7"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61174F2C"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5645289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11 vs 0</w:t>
            </w:r>
          </w:p>
        </w:tc>
        <w:tc>
          <w:tcPr>
            <w:tcW w:w="2075" w:type="dxa"/>
            <w:tcBorders>
              <w:top w:val="nil"/>
              <w:left w:val="nil"/>
              <w:bottom w:val="single" w:sz="4" w:space="0" w:color="auto"/>
              <w:right w:val="single" w:sz="4" w:space="0" w:color="auto"/>
            </w:tcBorders>
            <w:shd w:val="clear" w:color="auto" w:fill="auto"/>
            <w:vAlign w:val="center"/>
            <w:hideMark/>
          </w:tcPr>
          <w:p w14:paraId="36323DD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0.024</w:t>
            </w:r>
          </w:p>
        </w:tc>
      </w:tr>
      <w:tr w:rsidR="00255D29" w:rsidRPr="00F7228F" w14:paraId="0FD25FA2" w14:textId="77777777" w:rsidTr="003327D0">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D1C75DB"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IL-8</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14:paraId="77E2546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c>
          <w:tcPr>
            <w:tcW w:w="3685" w:type="dxa"/>
            <w:tcBorders>
              <w:top w:val="nil"/>
              <w:left w:val="nil"/>
              <w:bottom w:val="single" w:sz="4" w:space="0" w:color="auto"/>
              <w:right w:val="single" w:sz="4" w:space="0" w:color="auto"/>
            </w:tcBorders>
            <w:shd w:val="clear" w:color="auto" w:fill="auto"/>
            <w:noWrap/>
            <w:vAlign w:val="center"/>
            <w:hideMark/>
          </w:tcPr>
          <w:p w14:paraId="40CD11BE" w14:textId="77777777" w:rsidR="00255D29" w:rsidRPr="00F7228F" w:rsidRDefault="00255D29" w:rsidP="003327D0">
            <w:pPr>
              <w:spacing w:after="0" w:line="240" w:lineRule="auto"/>
              <w:jc w:val="center"/>
              <w:rPr>
                <w:rFonts w:ascii="Aptos Narrow" w:eastAsia="Times New Roman" w:hAnsi="Aptos Narrow" w:cs="Times New Roman"/>
              </w:rPr>
            </w:pPr>
            <w:r w:rsidRPr="00F7228F">
              <w:rPr>
                <w:rFonts w:ascii="Aptos Narrow" w:eastAsia="Times New Roman" w:hAnsi="Aptos Narrow" w:cs="Times New Roman"/>
              </w:rPr>
              <w:t>Day 9 vs 1</w:t>
            </w:r>
          </w:p>
        </w:tc>
        <w:tc>
          <w:tcPr>
            <w:tcW w:w="2075" w:type="dxa"/>
            <w:tcBorders>
              <w:top w:val="nil"/>
              <w:left w:val="nil"/>
              <w:bottom w:val="single" w:sz="4" w:space="0" w:color="auto"/>
              <w:right w:val="single" w:sz="4" w:space="0" w:color="auto"/>
            </w:tcBorders>
            <w:shd w:val="clear" w:color="auto" w:fill="auto"/>
            <w:vAlign w:val="center"/>
            <w:hideMark/>
          </w:tcPr>
          <w:p w14:paraId="162E788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0.002</w:t>
            </w:r>
          </w:p>
        </w:tc>
      </w:tr>
      <w:tr w:rsidR="00255D29" w:rsidRPr="00F7228F" w14:paraId="0A2085B2"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14AB911D"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14EAAF0C"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0A4A2AF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11 vs 1</w:t>
            </w:r>
          </w:p>
        </w:tc>
        <w:tc>
          <w:tcPr>
            <w:tcW w:w="2075" w:type="dxa"/>
            <w:tcBorders>
              <w:top w:val="nil"/>
              <w:left w:val="nil"/>
              <w:bottom w:val="single" w:sz="4" w:space="0" w:color="auto"/>
              <w:right w:val="single" w:sz="4" w:space="0" w:color="auto"/>
            </w:tcBorders>
            <w:shd w:val="clear" w:color="auto" w:fill="auto"/>
            <w:vAlign w:val="center"/>
            <w:hideMark/>
          </w:tcPr>
          <w:p w14:paraId="5A5F03C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0.048</w:t>
            </w:r>
          </w:p>
        </w:tc>
      </w:tr>
      <w:tr w:rsidR="00255D29" w:rsidRPr="00F7228F" w14:paraId="288B4FD1"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1CB5AB13"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0070AE3B"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7DD8B4F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3</w:t>
            </w:r>
          </w:p>
        </w:tc>
        <w:tc>
          <w:tcPr>
            <w:tcW w:w="2075" w:type="dxa"/>
            <w:tcBorders>
              <w:top w:val="nil"/>
              <w:left w:val="nil"/>
              <w:bottom w:val="single" w:sz="4" w:space="0" w:color="auto"/>
              <w:right w:val="single" w:sz="4" w:space="0" w:color="auto"/>
            </w:tcBorders>
            <w:shd w:val="clear" w:color="auto" w:fill="auto"/>
            <w:vAlign w:val="center"/>
            <w:hideMark/>
          </w:tcPr>
          <w:p w14:paraId="7DA470E0"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0.015</w:t>
            </w:r>
          </w:p>
        </w:tc>
      </w:tr>
      <w:tr w:rsidR="00255D29" w:rsidRPr="00F7228F" w14:paraId="138EDA9E"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381C3F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IL-10</w:t>
            </w:r>
          </w:p>
        </w:tc>
        <w:tc>
          <w:tcPr>
            <w:tcW w:w="1272" w:type="dxa"/>
            <w:tcBorders>
              <w:top w:val="nil"/>
              <w:left w:val="nil"/>
              <w:bottom w:val="single" w:sz="4" w:space="0" w:color="auto"/>
              <w:right w:val="single" w:sz="4" w:space="0" w:color="auto"/>
            </w:tcBorders>
            <w:shd w:val="clear" w:color="auto" w:fill="auto"/>
            <w:vAlign w:val="center"/>
            <w:hideMark/>
          </w:tcPr>
          <w:p w14:paraId="2446C52D"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0.169</w:t>
            </w:r>
          </w:p>
        </w:tc>
        <w:tc>
          <w:tcPr>
            <w:tcW w:w="3685" w:type="dxa"/>
            <w:tcBorders>
              <w:top w:val="nil"/>
              <w:left w:val="nil"/>
              <w:bottom w:val="single" w:sz="4" w:space="0" w:color="auto"/>
              <w:right w:val="single" w:sz="4" w:space="0" w:color="auto"/>
            </w:tcBorders>
            <w:shd w:val="clear" w:color="auto" w:fill="auto"/>
            <w:vAlign w:val="center"/>
            <w:hideMark/>
          </w:tcPr>
          <w:p w14:paraId="4A0713E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0C938CD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24D8882F"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A658FF3"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IL-12</w:t>
            </w:r>
          </w:p>
        </w:tc>
        <w:tc>
          <w:tcPr>
            <w:tcW w:w="1272" w:type="dxa"/>
            <w:tcBorders>
              <w:top w:val="nil"/>
              <w:left w:val="nil"/>
              <w:bottom w:val="single" w:sz="4" w:space="0" w:color="auto"/>
              <w:right w:val="single" w:sz="4" w:space="0" w:color="auto"/>
            </w:tcBorders>
            <w:shd w:val="clear" w:color="auto" w:fill="auto"/>
            <w:vAlign w:val="center"/>
            <w:hideMark/>
          </w:tcPr>
          <w:p w14:paraId="5550521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0.227</w:t>
            </w:r>
          </w:p>
        </w:tc>
        <w:tc>
          <w:tcPr>
            <w:tcW w:w="3685" w:type="dxa"/>
            <w:tcBorders>
              <w:top w:val="nil"/>
              <w:left w:val="nil"/>
              <w:bottom w:val="single" w:sz="4" w:space="0" w:color="auto"/>
              <w:right w:val="single" w:sz="4" w:space="0" w:color="auto"/>
            </w:tcBorders>
            <w:shd w:val="clear" w:color="auto" w:fill="auto"/>
            <w:vAlign w:val="center"/>
            <w:hideMark/>
          </w:tcPr>
          <w:p w14:paraId="056A1D04"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52E7E211"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520FE582" w14:textId="77777777" w:rsidTr="003327D0">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ED3D0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IL-13</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14:paraId="254B1A1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c>
          <w:tcPr>
            <w:tcW w:w="3685" w:type="dxa"/>
            <w:tcBorders>
              <w:top w:val="nil"/>
              <w:left w:val="nil"/>
              <w:bottom w:val="single" w:sz="4" w:space="0" w:color="auto"/>
              <w:right w:val="single" w:sz="4" w:space="0" w:color="auto"/>
            </w:tcBorders>
            <w:shd w:val="clear" w:color="auto" w:fill="auto"/>
            <w:vAlign w:val="center"/>
            <w:hideMark/>
          </w:tcPr>
          <w:p w14:paraId="4D3501C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1</w:t>
            </w:r>
          </w:p>
        </w:tc>
        <w:tc>
          <w:tcPr>
            <w:tcW w:w="2075" w:type="dxa"/>
            <w:tcBorders>
              <w:top w:val="nil"/>
              <w:left w:val="nil"/>
              <w:bottom w:val="single" w:sz="4" w:space="0" w:color="auto"/>
              <w:right w:val="single" w:sz="4" w:space="0" w:color="auto"/>
            </w:tcBorders>
            <w:shd w:val="clear" w:color="auto" w:fill="auto"/>
            <w:vAlign w:val="center"/>
            <w:hideMark/>
          </w:tcPr>
          <w:p w14:paraId="05922130"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0.04</w:t>
            </w:r>
          </w:p>
        </w:tc>
      </w:tr>
      <w:tr w:rsidR="00255D29" w:rsidRPr="00F7228F" w14:paraId="0A307E26"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46E49979"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4AE08A5A"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23287EE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13 vs 9</w:t>
            </w:r>
          </w:p>
        </w:tc>
        <w:tc>
          <w:tcPr>
            <w:tcW w:w="2075" w:type="dxa"/>
            <w:tcBorders>
              <w:top w:val="nil"/>
              <w:left w:val="nil"/>
              <w:bottom w:val="single" w:sz="4" w:space="0" w:color="auto"/>
              <w:right w:val="single" w:sz="4" w:space="0" w:color="auto"/>
            </w:tcBorders>
            <w:shd w:val="clear" w:color="auto" w:fill="auto"/>
            <w:vAlign w:val="center"/>
            <w:hideMark/>
          </w:tcPr>
          <w:p w14:paraId="6399467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0.033</w:t>
            </w:r>
          </w:p>
        </w:tc>
      </w:tr>
      <w:tr w:rsidR="00255D29" w:rsidRPr="00F7228F" w14:paraId="5CE64E10" w14:textId="77777777" w:rsidTr="003327D0">
        <w:trPr>
          <w:trHeight w:val="552"/>
        </w:trPr>
        <w:tc>
          <w:tcPr>
            <w:tcW w:w="0" w:type="auto"/>
            <w:vMerge/>
            <w:tcBorders>
              <w:top w:val="nil"/>
              <w:left w:val="single" w:sz="4" w:space="0" w:color="auto"/>
              <w:bottom w:val="single" w:sz="4" w:space="0" w:color="000000"/>
              <w:right w:val="single" w:sz="4" w:space="0" w:color="auto"/>
            </w:tcBorders>
            <w:vAlign w:val="center"/>
            <w:hideMark/>
          </w:tcPr>
          <w:p w14:paraId="01643F84"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7DE557E8"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626A5EE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13 vs 11</w:t>
            </w:r>
          </w:p>
        </w:tc>
        <w:tc>
          <w:tcPr>
            <w:tcW w:w="2075" w:type="dxa"/>
            <w:tcBorders>
              <w:top w:val="nil"/>
              <w:left w:val="nil"/>
              <w:bottom w:val="single" w:sz="4" w:space="0" w:color="auto"/>
              <w:right w:val="single" w:sz="4" w:space="0" w:color="auto"/>
            </w:tcBorders>
            <w:shd w:val="clear" w:color="auto" w:fill="auto"/>
            <w:vAlign w:val="center"/>
            <w:hideMark/>
          </w:tcPr>
          <w:p w14:paraId="25C6F65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0.038</w:t>
            </w:r>
          </w:p>
        </w:tc>
      </w:tr>
      <w:tr w:rsidR="00255D29" w:rsidRPr="00F7228F" w14:paraId="07343723"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4D947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 xml:space="preserve">CSF IFN-gamma </w:t>
            </w:r>
          </w:p>
        </w:tc>
        <w:tc>
          <w:tcPr>
            <w:tcW w:w="1272" w:type="dxa"/>
            <w:tcBorders>
              <w:top w:val="nil"/>
              <w:left w:val="nil"/>
              <w:bottom w:val="single" w:sz="4" w:space="0" w:color="auto"/>
              <w:right w:val="single" w:sz="4" w:space="0" w:color="auto"/>
            </w:tcBorders>
            <w:shd w:val="clear" w:color="auto" w:fill="auto"/>
            <w:vAlign w:val="center"/>
            <w:hideMark/>
          </w:tcPr>
          <w:p w14:paraId="5D44FB6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0.335</w:t>
            </w:r>
          </w:p>
        </w:tc>
        <w:tc>
          <w:tcPr>
            <w:tcW w:w="3685" w:type="dxa"/>
            <w:tcBorders>
              <w:top w:val="nil"/>
              <w:left w:val="nil"/>
              <w:bottom w:val="single" w:sz="4" w:space="0" w:color="auto"/>
              <w:right w:val="single" w:sz="4" w:space="0" w:color="auto"/>
            </w:tcBorders>
            <w:shd w:val="clear" w:color="auto" w:fill="auto"/>
            <w:vAlign w:val="center"/>
            <w:hideMark/>
          </w:tcPr>
          <w:p w14:paraId="3A6DB9B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1E7B9C9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51D23181"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933F61B"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CSF TNF-alpha</w:t>
            </w:r>
          </w:p>
        </w:tc>
        <w:tc>
          <w:tcPr>
            <w:tcW w:w="1272" w:type="dxa"/>
            <w:tcBorders>
              <w:top w:val="nil"/>
              <w:left w:val="nil"/>
              <w:bottom w:val="single" w:sz="4" w:space="0" w:color="auto"/>
              <w:right w:val="single" w:sz="4" w:space="0" w:color="auto"/>
            </w:tcBorders>
            <w:shd w:val="clear" w:color="auto" w:fill="auto"/>
            <w:vAlign w:val="center"/>
            <w:hideMark/>
          </w:tcPr>
          <w:p w14:paraId="5975531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0.034</w:t>
            </w:r>
          </w:p>
        </w:tc>
        <w:tc>
          <w:tcPr>
            <w:tcW w:w="3685" w:type="dxa"/>
            <w:tcBorders>
              <w:top w:val="nil"/>
              <w:left w:val="nil"/>
              <w:bottom w:val="single" w:sz="4" w:space="0" w:color="auto"/>
              <w:right w:val="single" w:sz="4" w:space="0" w:color="auto"/>
            </w:tcBorders>
            <w:shd w:val="clear" w:color="auto" w:fill="auto"/>
            <w:vAlign w:val="center"/>
            <w:hideMark/>
          </w:tcPr>
          <w:p w14:paraId="05012E6A"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Nil</w:t>
            </w:r>
          </w:p>
        </w:tc>
        <w:tc>
          <w:tcPr>
            <w:tcW w:w="2075" w:type="dxa"/>
            <w:tcBorders>
              <w:top w:val="nil"/>
              <w:left w:val="nil"/>
              <w:bottom w:val="single" w:sz="4" w:space="0" w:color="auto"/>
              <w:right w:val="single" w:sz="4" w:space="0" w:color="auto"/>
            </w:tcBorders>
            <w:shd w:val="clear" w:color="auto" w:fill="auto"/>
            <w:vAlign w:val="center"/>
            <w:hideMark/>
          </w:tcPr>
          <w:p w14:paraId="195E4D8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2664F72D"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7C1F171"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lastRenderedPageBreak/>
              <w:t>Plasma IL-1beta</w:t>
            </w:r>
          </w:p>
        </w:tc>
        <w:tc>
          <w:tcPr>
            <w:tcW w:w="1272" w:type="dxa"/>
            <w:tcBorders>
              <w:top w:val="nil"/>
              <w:left w:val="nil"/>
              <w:bottom w:val="single" w:sz="4" w:space="0" w:color="auto"/>
              <w:right w:val="single" w:sz="4" w:space="0" w:color="auto"/>
            </w:tcBorders>
            <w:shd w:val="clear" w:color="auto" w:fill="auto"/>
            <w:vAlign w:val="center"/>
            <w:hideMark/>
          </w:tcPr>
          <w:p w14:paraId="36582BC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0.083</w:t>
            </w:r>
          </w:p>
        </w:tc>
        <w:tc>
          <w:tcPr>
            <w:tcW w:w="3685" w:type="dxa"/>
            <w:tcBorders>
              <w:top w:val="nil"/>
              <w:left w:val="nil"/>
              <w:bottom w:val="single" w:sz="4" w:space="0" w:color="auto"/>
              <w:right w:val="single" w:sz="4" w:space="0" w:color="auto"/>
            </w:tcBorders>
            <w:shd w:val="clear" w:color="auto" w:fill="auto"/>
            <w:vAlign w:val="center"/>
            <w:hideMark/>
          </w:tcPr>
          <w:p w14:paraId="6F94662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2B20DA5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68CAF157"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6B3C5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IL-2</w:t>
            </w:r>
          </w:p>
        </w:tc>
        <w:tc>
          <w:tcPr>
            <w:tcW w:w="1272" w:type="dxa"/>
            <w:tcBorders>
              <w:top w:val="nil"/>
              <w:left w:val="nil"/>
              <w:bottom w:val="single" w:sz="4" w:space="0" w:color="auto"/>
              <w:right w:val="single" w:sz="4" w:space="0" w:color="auto"/>
            </w:tcBorders>
            <w:shd w:val="clear" w:color="auto" w:fill="auto"/>
            <w:vAlign w:val="center"/>
            <w:hideMark/>
          </w:tcPr>
          <w:p w14:paraId="4EF6718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0.120</w:t>
            </w:r>
          </w:p>
        </w:tc>
        <w:tc>
          <w:tcPr>
            <w:tcW w:w="3685" w:type="dxa"/>
            <w:tcBorders>
              <w:top w:val="nil"/>
              <w:left w:val="nil"/>
              <w:bottom w:val="single" w:sz="4" w:space="0" w:color="auto"/>
              <w:right w:val="single" w:sz="4" w:space="0" w:color="auto"/>
            </w:tcBorders>
            <w:shd w:val="clear" w:color="auto" w:fill="auto"/>
            <w:vAlign w:val="center"/>
            <w:hideMark/>
          </w:tcPr>
          <w:p w14:paraId="5F6F24E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45E7CDB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6C1BD61C"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9981FA"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IL-4</w:t>
            </w:r>
          </w:p>
        </w:tc>
        <w:tc>
          <w:tcPr>
            <w:tcW w:w="1272" w:type="dxa"/>
            <w:tcBorders>
              <w:top w:val="nil"/>
              <w:left w:val="nil"/>
              <w:bottom w:val="single" w:sz="4" w:space="0" w:color="auto"/>
              <w:right w:val="single" w:sz="4" w:space="0" w:color="auto"/>
            </w:tcBorders>
            <w:shd w:val="clear" w:color="auto" w:fill="auto"/>
            <w:vAlign w:val="center"/>
            <w:hideMark/>
          </w:tcPr>
          <w:p w14:paraId="381C38D3"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0.600</w:t>
            </w:r>
          </w:p>
        </w:tc>
        <w:tc>
          <w:tcPr>
            <w:tcW w:w="3685" w:type="dxa"/>
            <w:tcBorders>
              <w:top w:val="nil"/>
              <w:left w:val="nil"/>
              <w:bottom w:val="single" w:sz="4" w:space="0" w:color="auto"/>
              <w:right w:val="single" w:sz="4" w:space="0" w:color="auto"/>
            </w:tcBorders>
            <w:shd w:val="clear" w:color="auto" w:fill="auto"/>
            <w:vAlign w:val="center"/>
            <w:hideMark/>
          </w:tcPr>
          <w:p w14:paraId="2DBCCAC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3EBCCD4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068F4BE3" w14:textId="77777777" w:rsidTr="003327D0">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2F1EEA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IL-6</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14:paraId="165D478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c>
          <w:tcPr>
            <w:tcW w:w="3685" w:type="dxa"/>
            <w:tcBorders>
              <w:top w:val="nil"/>
              <w:left w:val="nil"/>
              <w:bottom w:val="single" w:sz="4" w:space="0" w:color="auto"/>
              <w:right w:val="single" w:sz="4" w:space="0" w:color="auto"/>
            </w:tcBorders>
            <w:shd w:val="clear" w:color="auto" w:fill="auto"/>
            <w:vAlign w:val="center"/>
            <w:hideMark/>
          </w:tcPr>
          <w:p w14:paraId="138DA4C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1</w:t>
            </w:r>
          </w:p>
        </w:tc>
        <w:tc>
          <w:tcPr>
            <w:tcW w:w="2075" w:type="dxa"/>
            <w:tcBorders>
              <w:top w:val="nil"/>
              <w:left w:val="nil"/>
              <w:bottom w:val="single" w:sz="4" w:space="0" w:color="auto"/>
              <w:right w:val="single" w:sz="4" w:space="0" w:color="auto"/>
            </w:tcBorders>
            <w:shd w:val="clear" w:color="auto" w:fill="auto"/>
            <w:vAlign w:val="center"/>
            <w:hideMark/>
          </w:tcPr>
          <w:p w14:paraId="3BF6CFD1"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0.039</w:t>
            </w:r>
          </w:p>
        </w:tc>
      </w:tr>
      <w:tr w:rsidR="00255D29" w:rsidRPr="00F7228F" w14:paraId="223CC409"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425EF777"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50486C51"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0570425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3</w:t>
            </w:r>
          </w:p>
        </w:tc>
        <w:tc>
          <w:tcPr>
            <w:tcW w:w="2075" w:type="dxa"/>
            <w:tcBorders>
              <w:top w:val="nil"/>
              <w:left w:val="nil"/>
              <w:bottom w:val="single" w:sz="4" w:space="0" w:color="auto"/>
              <w:right w:val="single" w:sz="4" w:space="0" w:color="auto"/>
            </w:tcBorders>
            <w:shd w:val="clear" w:color="auto" w:fill="auto"/>
            <w:vAlign w:val="center"/>
            <w:hideMark/>
          </w:tcPr>
          <w:p w14:paraId="3EAD87BA"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0.003</w:t>
            </w:r>
          </w:p>
        </w:tc>
      </w:tr>
      <w:tr w:rsidR="00255D29" w:rsidRPr="00F7228F" w14:paraId="6E3997AD"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10396277"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048336DE"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38DC88A3"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11 vs 3</w:t>
            </w:r>
          </w:p>
        </w:tc>
        <w:tc>
          <w:tcPr>
            <w:tcW w:w="2075" w:type="dxa"/>
            <w:tcBorders>
              <w:top w:val="nil"/>
              <w:left w:val="nil"/>
              <w:bottom w:val="single" w:sz="4" w:space="0" w:color="auto"/>
              <w:right w:val="single" w:sz="4" w:space="0" w:color="auto"/>
            </w:tcBorders>
            <w:shd w:val="clear" w:color="auto" w:fill="auto"/>
            <w:vAlign w:val="center"/>
            <w:hideMark/>
          </w:tcPr>
          <w:p w14:paraId="7F72B29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0.016</w:t>
            </w:r>
          </w:p>
        </w:tc>
      </w:tr>
      <w:tr w:rsidR="00255D29" w:rsidRPr="00F7228F" w14:paraId="0943EF73"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327CC5CE"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77BD3059"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2FF4AF3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13 vs 3</w:t>
            </w:r>
          </w:p>
        </w:tc>
        <w:tc>
          <w:tcPr>
            <w:tcW w:w="2075" w:type="dxa"/>
            <w:tcBorders>
              <w:top w:val="nil"/>
              <w:left w:val="nil"/>
              <w:bottom w:val="single" w:sz="4" w:space="0" w:color="auto"/>
              <w:right w:val="single" w:sz="4" w:space="0" w:color="auto"/>
            </w:tcBorders>
            <w:shd w:val="clear" w:color="auto" w:fill="auto"/>
            <w:vAlign w:val="center"/>
            <w:hideMark/>
          </w:tcPr>
          <w:p w14:paraId="58F34FA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0.037</w:t>
            </w:r>
          </w:p>
        </w:tc>
      </w:tr>
      <w:tr w:rsidR="00255D29" w:rsidRPr="00F7228F" w14:paraId="57BDAA8F"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45B53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IL-8</w:t>
            </w:r>
          </w:p>
        </w:tc>
        <w:tc>
          <w:tcPr>
            <w:tcW w:w="1272" w:type="dxa"/>
            <w:tcBorders>
              <w:top w:val="nil"/>
              <w:left w:val="nil"/>
              <w:bottom w:val="single" w:sz="4" w:space="0" w:color="auto"/>
              <w:right w:val="single" w:sz="4" w:space="0" w:color="auto"/>
            </w:tcBorders>
            <w:shd w:val="clear" w:color="auto" w:fill="auto"/>
            <w:vAlign w:val="center"/>
            <w:hideMark/>
          </w:tcPr>
          <w:p w14:paraId="2345DFCA"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0.005</w:t>
            </w:r>
          </w:p>
        </w:tc>
        <w:tc>
          <w:tcPr>
            <w:tcW w:w="3685" w:type="dxa"/>
            <w:tcBorders>
              <w:top w:val="nil"/>
              <w:left w:val="nil"/>
              <w:bottom w:val="single" w:sz="4" w:space="0" w:color="auto"/>
              <w:right w:val="single" w:sz="4" w:space="0" w:color="auto"/>
            </w:tcBorders>
            <w:shd w:val="clear" w:color="auto" w:fill="auto"/>
            <w:vAlign w:val="center"/>
            <w:hideMark/>
          </w:tcPr>
          <w:p w14:paraId="4AA715E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11 vs 1</w:t>
            </w:r>
          </w:p>
        </w:tc>
        <w:tc>
          <w:tcPr>
            <w:tcW w:w="2075" w:type="dxa"/>
            <w:tcBorders>
              <w:top w:val="nil"/>
              <w:left w:val="nil"/>
              <w:bottom w:val="single" w:sz="4" w:space="0" w:color="auto"/>
              <w:right w:val="single" w:sz="4" w:space="0" w:color="auto"/>
            </w:tcBorders>
            <w:shd w:val="clear" w:color="auto" w:fill="auto"/>
            <w:vAlign w:val="center"/>
            <w:hideMark/>
          </w:tcPr>
          <w:p w14:paraId="07014B9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0.025</w:t>
            </w:r>
          </w:p>
        </w:tc>
      </w:tr>
      <w:tr w:rsidR="00255D29" w:rsidRPr="00F7228F" w14:paraId="34AACBB2" w14:textId="77777777" w:rsidTr="003327D0">
        <w:trPr>
          <w:trHeight w:val="288"/>
        </w:trPr>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2450D7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IL-10</w:t>
            </w:r>
          </w:p>
        </w:tc>
        <w:tc>
          <w:tcPr>
            <w:tcW w:w="1272" w:type="dxa"/>
            <w:vMerge w:val="restart"/>
            <w:tcBorders>
              <w:top w:val="nil"/>
              <w:left w:val="single" w:sz="4" w:space="0" w:color="auto"/>
              <w:bottom w:val="single" w:sz="4" w:space="0" w:color="000000"/>
              <w:right w:val="single" w:sz="4" w:space="0" w:color="auto"/>
            </w:tcBorders>
            <w:shd w:val="clear" w:color="auto" w:fill="auto"/>
            <w:vAlign w:val="center"/>
            <w:hideMark/>
          </w:tcPr>
          <w:p w14:paraId="4E2235B8"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c>
          <w:tcPr>
            <w:tcW w:w="3685" w:type="dxa"/>
            <w:tcBorders>
              <w:top w:val="nil"/>
              <w:left w:val="nil"/>
              <w:bottom w:val="single" w:sz="4" w:space="0" w:color="auto"/>
              <w:right w:val="single" w:sz="4" w:space="0" w:color="auto"/>
            </w:tcBorders>
            <w:shd w:val="clear" w:color="auto" w:fill="auto"/>
            <w:vAlign w:val="center"/>
            <w:hideMark/>
          </w:tcPr>
          <w:p w14:paraId="1173A31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 vs 0</w:t>
            </w:r>
          </w:p>
        </w:tc>
        <w:tc>
          <w:tcPr>
            <w:tcW w:w="2075" w:type="dxa"/>
            <w:tcBorders>
              <w:top w:val="nil"/>
              <w:left w:val="nil"/>
              <w:bottom w:val="single" w:sz="4" w:space="0" w:color="auto"/>
              <w:right w:val="single" w:sz="4" w:space="0" w:color="auto"/>
            </w:tcBorders>
            <w:shd w:val="clear" w:color="auto" w:fill="auto"/>
            <w:vAlign w:val="center"/>
            <w:hideMark/>
          </w:tcPr>
          <w:p w14:paraId="1C45967C"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r>
      <w:tr w:rsidR="00255D29" w:rsidRPr="00F7228F" w14:paraId="01E42F9C"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17552B6E"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396FE48B"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149F6A3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3 vs 0</w:t>
            </w:r>
          </w:p>
        </w:tc>
        <w:tc>
          <w:tcPr>
            <w:tcW w:w="2075" w:type="dxa"/>
            <w:tcBorders>
              <w:top w:val="nil"/>
              <w:left w:val="nil"/>
              <w:bottom w:val="single" w:sz="4" w:space="0" w:color="auto"/>
              <w:right w:val="single" w:sz="4" w:space="0" w:color="auto"/>
            </w:tcBorders>
            <w:shd w:val="clear" w:color="auto" w:fill="auto"/>
            <w:vAlign w:val="center"/>
            <w:hideMark/>
          </w:tcPr>
          <w:p w14:paraId="42BA588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0.001</w:t>
            </w:r>
          </w:p>
        </w:tc>
      </w:tr>
      <w:tr w:rsidR="00255D29" w:rsidRPr="00F7228F" w14:paraId="09F7E3CF"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2A0315FE"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536F6C18"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7492B5B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5 vs 0</w:t>
            </w:r>
          </w:p>
        </w:tc>
        <w:tc>
          <w:tcPr>
            <w:tcW w:w="2075" w:type="dxa"/>
            <w:tcBorders>
              <w:top w:val="nil"/>
              <w:left w:val="nil"/>
              <w:bottom w:val="single" w:sz="4" w:space="0" w:color="auto"/>
              <w:right w:val="single" w:sz="4" w:space="0" w:color="auto"/>
            </w:tcBorders>
            <w:shd w:val="clear" w:color="auto" w:fill="auto"/>
            <w:vAlign w:val="center"/>
            <w:hideMark/>
          </w:tcPr>
          <w:p w14:paraId="3B53693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r>
      <w:tr w:rsidR="00255D29" w:rsidRPr="00F7228F" w14:paraId="1303FE92"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05EB2F9B"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2A8DF1A7"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227C4AD1"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9 vs 0</w:t>
            </w:r>
          </w:p>
        </w:tc>
        <w:tc>
          <w:tcPr>
            <w:tcW w:w="2075" w:type="dxa"/>
            <w:tcBorders>
              <w:top w:val="nil"/>
              <w:left w:val="nil"/>
              <w:bottom w:val="single" w:sz="4" w:space="0" w:color="auto"/>
              <w:right w:val="single" w:sz="4" w:space="0" w:color="auto"/>
            </w:tcBorders>
            <w:shd w:val="clear" w:color="auto" w:fill="auto"/>
            <w:vAlign w:val="center"/>
            <w:hideMark/>
          </w:tcPr>
          <w:p w14:paraId="154F01C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&lt; 0.001</w:t>
            </w:r>
          </w:p>
        </w:tc>
      </w:tr>
      <w:tr w:rsidR="00255D29" w:rsidRPr="00F7228F" w14:paraId="6599678B"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1B49E143"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7C537FFB"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2A61CCAD"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11 vs 0</w:t>
            </w:r>
          </w:p>
        </w:tc>
        <w:tc>
          <w:tcPr>
            <w:tcW w:w="2075" w:type="dxa"/>
            <w:tcBorders>
              <w:top w:val="nil"/>
              <w:left w:val="nil"/>
              <w:bottom w:val="single" w:sz="4" w:space="0" w:color="auto"/>
              <w:right w:val="single" w:sz="4" w:space="0" w:color="auto"/>
            </w:tcBorders>
            <w:shd w:val="clear" w:color="auto" w:fill="auto"/>
            <w:vAlign w:val="center"/>
            <w:hideMark/>
          </w:tcPr>
          <w:p w14:paraId="04F5D28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0.011</w:t>
            </w:r>
          </w:p>
        </w:tc>
      </w:tr>
      <w:tr w:rsidR="00255D29" w:rsidRPr="00F7228F" w14:paraId="1BF30A13" w14:textId="77777777" w:rsidTr="003327D0">
        <w:trPr>
          <w:trHeight w:val="288"/>
        </w:trPr>
        <w:tc>
          <w:tcPr>
            <w:tcW w:w="0" w:type="auto"/>
            <w:vMerge/>
            <w:tcBorders>
              <w:top w:val="nil"/>
              <w:left w:val="single" w:sz="4" w:space="0" w:color="auto"/>
              <w:bottom w:val="single" w:sz="4" w:space="0" w:color="000000"/>
              <w:right w:val="single" w:sz="4" w:space="0" w:color="auto"/>
            </w:tcBorders>
            <w:vAlign w:val="center"/>
            <w:hideMark/>
          </w:tcPr>
          <w:p w14:paraId="492620AE" w14:textId="77777777" w:rsidR="00255D29" w:rsidRPr="00F7228F" w:rsidRDefault="00255D29" w:rsidP="003327D0">
            <w:pPr>
              <w:spacing w:after="0" w:line="240" w:lineRule="auto"/>
              <w:rPr>
                <w:rFonts w:ascii="Arial" w:eastAsia="Times New Roman" w:hAnsi="Arial" w:cs="Arial"/>
              </w:rPr>
            </w:pPr>
          </w:p>
        </w:tc>
        <w:tc>
          <w:tcPr>
            <w:tcW w:w="1272" w:type="dxa"/>
            <w:vMerge/>
            <w:tcBorders>
              <w:top w:val="nil"/>
              <w:left w:val="single" w:sz="4" w:space="0" w:color="auto"/>
              <w:bottom w:val="single" w:sz="4" w:space="0" w:color="000000"/>
              <w:right w:val="single" w:sz="4" w:space="0" w:color="auto"/>
            </w:tcBorders>
            <w:vAlign w:val="center"/>
            <w:hideMark/>
          </w:tcPr>
          <w:p w14:paraId="56C07D3D" w14:textId="77777777" w:rsidR="00255D29" w:rsidRPr="00F7228F" w:rsidRDefault="00255D29" w:rsidP="003327D0">
            <w:pPr>
              <w:spacing w:after="0" w:line="240" w:lineRule="auto"/>
              <w:rPr>
                <w:rFonts w:ascii="Arial" w:eastAsia="Times New Roman" w:hAnsi="Arial" w:cs="Arial"/>
              </w:rPr>
            </w:pPr>
          </w:p>
        </w:tc>
        <w:tc>
          <w:tcPr>
            <w:tcW w:w="3685" w:type="dxa"/>
            <w:tcBorders>
              <w:top w:val="nil"/>
              <w:left w:val="nil"/>
              <w:bottom w:val="single" w:sz="4" w:space="0" w:color="auto"/>
              <w:right w:val="single" w:sz="4" w:space="0" w:color="auto"/>
            </w:tcBorders>
            <w:shd w:val="clear" w:color="auto" w:fill="auto"/>
            <w:vAlign w:val="center"/>
            <w:hideMark/>
          </w:tcPr>
          <w:p w14:paraId="319178AF"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Day 13 vs 0</w:t>
            </w:r>
          </w:p>
        </w:tc>
        <w:tc>
          <w:tcPr>
            <w:tcW w:w="2075" w:type="dxa"/>
            <w:tcBorders>
              <w:top w:val="nil"/>
              <w:left w:val="nil"/>
              <w:bottom w:val="single" w:sz="4" w:space="0" w:color="auto"/>
              <w:right w:val="single" w:sz="4" w:space="0" w:color="auto"/>
            </w:tcBorders>
            <w:shd w:val="clear" w:color="auto" w:fill="auto"/>
            <w:vAlign w:val="center"/>
            <w:hideMark/>
          </w:tcPr>
          <w:p w14:paraId="34CF9E2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0.014</w:t>
            </w:r>
          </w:p>
        </w:tc>
      </w:tr>
      <w:tr w:rsidR="00255D29" w:rsidRPr="00F7228F" w14:paraId="7C1A0A41"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D62E74"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IL-12</w:t>
            </w:r>
          </w:p>
        </w:tc>
        <w:tc>
          <w:tcPr>
            <w:tcW w:w="1272" w:type="dxa"/>
            <w:tcBorders>
              <w:top w:val="nil"/>
              <w:left w:val="nil"/>
              <w:bottom w:val="single" w:sz="4" w:space="0" w:color="auto"/>
              <w:right w:val="single" w:sz="4" w:space="0" w:color="auto"/>
            </w:tcBorders>
            <w:shd w:val="clear" w:color="auto" w:fill="auto"/>
            <w:vAlign w:val="center"/>
            <w:hideMark/>
          </w:tcPr>
          <w:p w14:paraId="14C0F0C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0.911</w:t>
            </w:r>
          </w:p>
        </w:tc>
        <w:tc>
          <w:tcPr>
            <w:tcW w:w="3685" w:type="dxa"/>
            <w:tcBorders>
              <w:top w:val="nil"/>
              <w:left w:val="nil"/>
              <w:bottom w:val="single" w:sz="4" w:space="0" w:color="auto"/>
              <w:right w:val="single" w:sz="4" w:space="0" w:color="auto"/>
            </w:tcBorders>
            <w:shd w:val="clear" w:color="auto" w:fill="auto"/>
            <w:vAlign w:val="center"/>
            <w:hideMark/>
          </w:tcPr>
          <w:p w14:paraId="48E1FDED"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20D73BB3"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4A556E76"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E0863B7"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IL-13</w:t>
            </w:r>
          </w:p>
        </w:tc>
        <w:tc>
          <w:tcPr>
            <w:tcW w:w="1272" w:type="dxa"/>
            <w:tcBorders>
              <w:top w:val="nil"/>
              <w:left w:val="nil"/>
              <w:bottom w:val="single" w:sz="4" w:space="0" w:color="auto"/>
              <w:right w:val="single" w:sz="4" w:space="0" w:color="auto"/>
            </w:tcBorders>
            <w:shd w:val="clear" w:color="auto" w:fill="auto"/>
            <w:vAlign w:val="center"/>
            <w:hideMark/>
          </w:tcPr>
          <w:p w14:paraId="72E61FF2"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0.521</w:t>
            </w:r>
          </w:p>
        </w:tc>
        <w:tc>
          <w:tcPr>
            <w:tcW w:w="3685" w:type="dxa"/>
            <w:tcBorders>
              <w:top w:val="nil"/>
              <w:left w:val="nil"/>
              <w:bottom w:val="single" w:sz="4" w:space="0" w:color="auto"/>
              <w:right w:val="single" w:sz="4" w:space="0" w:color="auto"/>
            </w:tcBorders>
            <w:shd w:val="clear" w:color="auto" w:fill="auto"/>
            <w:vAlign w:val="center"/>
            <w:hideMark/>
          </w:tcPr>
          <w:p w14:paraId="0164772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063C1745"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2E11F32C"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A7B7346"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 xml:space="preserve">Plasma IFN-gamma </w:t>
            </w:r>
          </w:p>
        </w:tc>
        <w:tc>
          <w:tcPr>
            <w:tcW w:w="1272" w:type="dxa"/>
            <w:tcBorders>
              <w:top w:val="nil"/>
              <w:left w:val="nil"/>
              <w:bottom w:val="single" w:sz="4" w:space="0" w:color="auto"/>
              <w:right w:val="single" w:sz="4" w:space="0" w:color="auto"/>
            </w:tcBorders>
            <w:shd w:val="clear" w:color="auto" w:fill="auto"/>
            <w:vAlign w:val="center"/>
            <w:hideMark/>
          </w:tcPr>
          <w:p w14:paraId="7D022D2D"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0.329</w:t>
            </w:r>
          </w:p>
        </w:tc>
        <w:tc>
          <w:tcPr>
            <w:tcW w:w="3685" w:type="dxa"/>
            <w:tcBorders>
              <w:top w:val="nil"/>
              <w:left w:val="nil"/>
              <w:bottom w:val="single" w:sz="4" w:space="0" w:color="auto"/>
              <w:right w:val="single" w:sz="4" w:space="0" w:color="auto"/>
            </w:tcBorders>
            <w:shd w:val="clear" w:color="auto" w:fill="auto"/>
            <w:vAlign w:val="center"/>
            <w:hideMark/>
          </w:tcPr>
          <w:p w14:paraId="578C1500"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340E925E"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r w:rsidR="00255D29" w:rsidRPr="00F7228F" w14:paraId="25A4840F" w14:textId="77777777" w:rsidTr="003327D0">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AA9C5B"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Plasma TNF-alpha</w:t>
            </w:r>
          </w:p>
        </w:tc>
        <w:tc>
          <w:tcPr>
            <w:tcW w:w="1272" w:type="dxa"/>
            <w:tcBorders>
              <w:top w:val="nil"/>
              <w:left w:val="nil"/>
              <w:bottom w:val="single" w:sz="4" w:space="0" w:color="auto"/>
              <w:right w:val="single" w:sz="4" w:space="0" w:color="auto"/>
            </w:tcBorders>
            <w:shd w:val="clear" w:color="auto" w:fill="auto"/>
            <w:vAlign w:val="center"/>
            <w:hideMark/>
          </w:tcPr>
          <w:p w14:paraId="093CF97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0.560</w:t>
            </w:r>
          </w:p>
        </w:tc>
        <w:tc>
          <w:tcPr>
            <w:tcW w:w="3685" w:type="dxa"/>
            <w:tcBorders>
              <w:top w:val="nil"/>
              <w:left w:val="nil"/>
              <w:bottom w:val="single" w:sz="4" w:space="0" w:color="auto"/>
              <w:right w:val="single" w:sz="4" w:space="0" w:color="auto"/>
            </w:tcBorders>
            <w:shd w:val="clear" w:color="auto" w:fill="auto"/>
            <w:vAlign w:val="center"/>
            <w:hideMark/>
          </w:tcPr>
          <w:p w14:paraId="033B4319"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c>
          <w:tcPr>
            <w:tcW w:w="2075" w:type="dxa"/>
            <w:tcBorders>
              <w:top w:val="nil"/>
              <w:left w:val="nil"/>
              <w:bottom w:val="single" w:sz="4" w:space="0" w:color="auto"/>
              <w:right w:val="single" w:sz="4" w:space="0" w:color="auto"/>
            </w:tcBorders>
            <w:shd w:val="clear" w:color="auto" w:fill="auto"/>
            <w:vAlign w:val="center"/>
            <w:hideMark/>
          </w:tcPr>
          <w:p w14:paraId="1389B9AB" w14:textId="77777777" w:rsidR="00255D29" w:rsidRPr="00F7228F" w:rsidRDefault="00255D29" w:rsidP="003327D0">
            <w:pPr>
              <w:spacing w:after="0" w:line="240" w:lineRule="auto"/>
              <w:jc w:val="center"/>
              <w:rPr>
                <w:rFonts w:ascii="Arial" w:eastAsia="Times New Roman" w:hAnsi="Arial" w:cs="Arial"/>
              </w:rPr>
            </w:pPr>
            <w:r w:rsidRPr="00F7228F">
              <w:rPr>
                <w:rFonts w:ascii="Arial" w:eastAsia="Times New Roman" w:hAnsi="Arial" w:cs="Arial"/>
              </w:rPr>
              <w:t>NA</w:t>
            </w:r>
          </w:p>
        </w:tc>
      </w:tr>
    </w:tbl>
    <w:p w14:paraId="336AFA17" w14:textId="77777777" w:rsidR="00255D29" w:rsidRPr="00F7228F" w:rsidRDefault="00255D29" w:rsidP="00255D29">
      <w:pPr>
        <w:spacing w:after="0" w:line="276" w:lineRule="auto"/>
        <w:rPr>
          <w:rFonts w:ascii="Arial" w:hAnsi="Arial" w:cs="Arial"/>
          <w:b/>
          <w:bCs/>
        </w:rPr>
      </w:pPr>
    </w:p>
    <w:p w14:paraId="31F890DA" w14:textId="77777777" w:rsidR="00255D29" w:rsidRPr="00F7228F" w:rsidRDefault="00255D29" w:rsidP="000B242D">
      <w:pPr>
        <w:spacing w:after="0" w:line="276" w:lineRule="auto"/>
        <w:rPr>
          <w:rFonts w:ascii="Arial" w:hAnsi="Arial" w:cs="Arial"/>
          <w:b/>
          <w:bCs/>
        </w:rPr>
        <w:sectPr w:rsidR="00255D29" w:rsidRPr="00F7228F" w:rsidSect="00C32674">
          <w:pgSz w:w="16838" w:h="11906" w:orient="landscape"/>
          <w:pgMar w:top="1440" w:right="1440" w:bottom="1440" w:left="1440" w:header="708" w:footer="708" w:gutter="0"/>
          <w:cols w:space="708"/>
          <w:docGrid w:linePitch="360"/>
        </w:sectPr>
      </w:pPr>
    </w:p>
    <w:p w14:paraId="6A49112F" w14:textId="77777777" w:rsidR="00236A5B" w:rsidRPr="00F7228F" w:rsidRDefault="00236A5B" w:rsidP="000B242D">
      <w:pPr>
        <w:spacing w:after="0" w:line="276" w:lineRule="auto"/>
        <w:rPr>
          <w:rFonts w:ascii="Arial" w:hAnsi="Arial" w:cs="Arial"/>
        </w:rPr>
      </w:pPr>
      <w:r w:rsidRPr="00F7228F">
        <w:rPr>
          <w:rFonts w:ascii="Arial" w:hAnsi="Arial" w:cs="Arial"/>
          <w:b/>
          <w:bCs/>
        </w:rPr>
        <w:lastRenderedPageBreak/>
        <w:t xml:space="preserve">Supplementary Table 5 – </w:t>
      </w:r>
      <w:r w:rsidRPr="00F7228F">
        <w:rPr>
          <w:rFonts w:ascii="Arial" w:hAnsi="Arial" w:cs="Arial"/>
        </w:rPr>
        <w:t xml:space="preserve">Relationship between plasma and CSF cytokines among all patients in a multivariable linear regression testing whether a specific CSF cytokine and </w:t>
      </w:r>
      <w:proofErr w:type="spellStart"/>
      <w:proofErr w:type="gramStart"/>
      <w:r w:rsidRPr="00F7228F">
        <w:rPr>
          <w:rFonts w:ascii="Arial" w:hAnsi="Arial" w:cs="Arial"/>
        </w:rPr>
        <w:t>qAlb</w:t>
      </w:r>
      <w:proofErr w:type="spellEnd"/>
      <w:r w:rsidRPr="00F7228F">
        <w:rPr>
          <w:rFonts w:ascii="Arial" w:hAnsi="Arial" w:cs="Arial"/>
        </w:rPr>
        <w:t xml:space="preserve">  predicted</w:t>
      </w:r>
      <w:proofErr w:type="gramEnd"/>
      <w:r w:rsidRPr="00F7228F">
        <w:rPr>
          <w:rFonts w:ascii="Arial" w:hAnsi="Arial" w:cs="Arial"/>
        </w:rPr>
        <w:t xml:space="preserve"> the corresponding plasma cytokine, while also considering a possible interaction between </w:t>
      </w:r>
      <w:proofErr w:type="spellStart"/>
      <w:r w:rsidRPr="00F7228F">
        <w:rPr>
          <w:rFonts w:ascii="Arial" w:hAnsi="Arial" w:cs="Arial"/>
        </w:rPr>
        <w:t>qAlb</w:t>
      </w:r>
      <w:proofErr w:type="spellEnd"/>
      <w:r w:rsidRPr="00F7228F">
        <w:rPr>
          <w:rFonts w:ascii="Arial" w:hAnsi="Arial" w:cs="Arial"/>
        </w:rPr>
        <w:t xml:space="preserve"> and the CSF cytokine. </w:t>
      </w:r>
    </w:p>
    <w:tbl>
      <w:tblPr>
        <w:tblStyle w:val="TableGrid"/>
        <w:tblW w:w="5000" w:type="pct"/>
        <w:tblLook w:val="04A0" w:firstRow="1" w:lastRow="0" w:firstColumn="1" w:lastColumn="0" w:noHBand="0" w:noVBand="1"/>
      </w:tblPr>
      <w:tblGrid>
        <w:gridCol w:w="1982"/>
        <w:gridCol w:w="2268"/>
        <w:gridCol w:w="2409"/>
        <w:gridCol w:w="2357"/>
      </w:tblGrid>
      <w:tr w:rsidR="00236A5B" w:rsidRPr="00F7228F" w14:paraId="769BBDC6" w14:textId="77777777" w:rsidTr="00CB0BB6">
        <w:tc>
          <w:tcPr>
            <w:tcW w:w="1099" w:type="pct"/>
          </w:tcPr>
          <w:p w14:paraId="10253210" w14:textId="77777777" w:rsidR="00236A5B" w:rsidRPr="00F7228F" w:rsidRDefault="00236A5B" w:rsidP="000B242D">
            <w:pPr>
              <w:spacing w:line="276" w:lineRule="auto"/>
              <w:rPr>
                <w:rFonts w:ascii="Arial" w:hAnsi="Arial" w:cs="Arial"/>
                <w:b/>
                <w:bCs/>
              </w:rPr>
            </w:pPr>
            <w:r w:rsidRPr="00F7228F">
              <w:rPr>
                <w:rFonts w:ascii="Arial" w:hAnsi="Arial" w:cs="Arial"/>
                <w:b/>
                <w:bCs/>
              </w:rPr>
              <w:t>Plasma cytokine</w:t>
            </w:r>
          </w:p>
        </w:tc>
        <w:tc>
          <w:tcPr>
            <w:tcW w:w="1258" w:type="pct"/>
          </w:tcPr>
          <w:p w14:paraId="7DFE3832" w14:textId="77777777" w:rsidR="00236A5B" w:rsidRPr="00F7228F" w:rsidRDefault="00236A5B" w:rsidP="000B242D">
            <w:pPr>
              <w:spacing w:line="276" w:lineRule="auto"/>
              <w:rPr>
                <w:rFonts w:ascii="Arial" w:hAnsi="Arial" w:cs="Arial"/>
                <w:b/>
                <w:bCs/>
              </w:rPr>
            </w:pPr>
            <w:r w:rsidRPr="00F7228F">
              <w:rPr>
                <w:rFonts w:ascii="Arial" w:hAnsi="Arial" w:cs="Arial"/>
                <w:b/>
                <w:bCs/>
              </w:rPr>
              <w:t xml:space="preserve">CSF cytokine and </w:t>
            </w:r>
            <w:proofErr w:type="spellStart"/>
            <w:r w:rsidRPr="00F7228F">
              <w:rPr>
                <w:rFonts w:ascii="Arial" w:hAnsi="Arial" w:cs="Arial"/>
                <w:b/>
                <w:bCs/>
              </w:rPr>
              <w:t>qAlb</w:t>
            </w:r>
            <w:proofErr w:type="spellEnd"/>
          </w:p>
        </w:tc>
        <w:tc>
          <w:tcPr>
            <w:tcW w:w="1336" w:type="pct"/>
          </w:tcPr>
          <w:p w14:paraId="1CBED2B3" w14:textId="77777777" w:rsidR="00236A5B" w:rsidRPr="00F7228F" w:rsidRDefault="00236A5B" w:rsidP="000B242D">
            <w:pPr>
              <w:spacing w:line="276" w:lineRule="auto"/>
              <w:rPr>
                <w:rFonts w:ascii="Arial" w:hAnsi="Arial" w:cs="Arial"/>
                <w:b/>
                <w:bCs/>
              </w:rPr>
            </w:pPr>
            <w:r w:rsidRPr="00F7228F">
              <w:rPr>
                <w:rFonts w:ascii="Arial" w:hAnsi="Arial" w:cs="Arial"/>
                <w:b/>
                <w:bCs/>
              </w:rPr>
              <w:t>Without Interaction</w:t>
            </w:r>
          </w:p>
        </w:tc>
        <w:tc>
          <w:tcPr>
            <w:tcW w:w="1307" w:type="pct"/>
          </w:tcPr>
          <w:p w14:paraId="5FA5CC4E" w14:textId="77777777" w:rsidR="00236A5B" w:rsidRPr="00F7228F" w:rsidRDefault="00236A5B" w:rsidP="000B242D">
            <w:pPr>
              <w:spacing w:line="276" w:lineRule="auto"/>
              <w:rPr>
                <w:rFonts w:ascii="Arial" w:hAnsi="Arial" w:cs="Arial"/>
                <w:b/>
                <w:bCs/>
              </w:rPr>
            </w:pPr>
            <w:r w:rsidRPr="00F7228F">
              <w:rPr>
                <w:rFonts w:ascii="Arial" w:hAnsi="Arial" w:cs="Arial"/>
                <w:b/>
                <w:bCs/>
              </w:rPr>
              <w:t>With Interaction</w:t>
            </w:r>
          </w:p>
        </w:tc>
      </w:tr>
      <w:tr w:rsidR="00236A5B" w:rsidRPr="00F7228F" w14:paraId="0D2CBBDC" w14:textId="77777777" w:rsidTr="00CB0BB6">
        <w:tc>
          <w:tcPr>
            <w:tcW w:w="1099" w:type="pct"/>
            <w:vAlign w:val="center"/>
          </w:tcPr>
          <w:p w14:paraId="4FCC5548" w14:textId="77777777" w:rsidR="00236A5B" w:rsidRPr="00F7228F" w:rsidRDefault="00236A5B" w:rsidP="000B242D">
            <w:pPr>
              <w:spacing w:line="276" w:lineRule="auto"/>
              <w:rPr>
                <w:rFonts w:ascii="Arial" w:hAnsi="Arial" w:cs="Arial"/>
              </w:rPr>
            </w:pPr>
            <w:r w:rsidRPr="00F7228F">
              <w:rPr>
                <w:rFonts w:ascii="Arial" w:hAnsi="Arial" w:cs="Arial"/>
              </w:rPr>
              <w:t>IL-1beta</w:t>
            </w:r>
          </w:p>
        </w:tc>
        <w:tc>
          <w:tcPr>
            <w:tcW w:w="1258" w:type="pct"/>
          </w:tcPr>
          <w:p w14:paraId="6CF08AD6"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630B3238" w14:textId="77777777" w:rsidR="00236A5B" w:rsidRPr="00F7228F" w:rsidRDefault="00236A5B" w:rsidP="000B242D">
            <w:pPr>
              <w:spacing w:line="276" w:lineRule="auto"/>
              <w:rPr>
                <w:rFonts w:ascii="Arial" w:hAnsi="Arial" w:cs="Arial"/>
              </w:rPr>
            </w:pPr>
            <w:r w:rsidRPr="00F7228F">
              <w:rPr>
                <w:rFonts w:ascii="Arial" w:hAnsi="Arial" w:cs="Arial"/>
              </w:rPr>
              <w:t>0.006</w:t>
            </w:r>
          </w:p>
          <w:p w14:paraId="3F927F90" w14:textId="77777777" w:rsidR="00236A5B" w:rsidRPr="00F7228F" w:rsidRDefault="00236A5B" w:rsidP="000B242D">
            <w:pPr>
              <w:spacing w:line="276" w:lineRule="auto"/>
              <w:rPr>
                <w:rFonts w:ascii="Arial" w:hAnsi="Arial" w:cs="Arial"/>
              </w:rPr>
            </w:pPr>
            <w:r w:rsidRPr="00F7228F">
              <w:rPr>
                <w:rFonts w:ascii="Arial" w:hAnsi="Arial" w:cs="Arial"/>
              </w:rPr>
              <w:t>(-0.006 – 0.019)</w:t>
            </w:r>
          </w:p>
        </w:tc>
        <w:tc>
          <w:tcPr>
            <w:tcW w:w="1307" w:type="pct"/>
          </w:tcPr>
          <w:p w14:paraId="72347C65" w14:textId="77777777" w:rsidR="00236A5B" w:rsidRPr="00F7228F" w:rsidRDefault="00236A5B" w:rsidP="000B242D">
            <w:pPr>
              <w:spacing w:line="276" w:lineRule="auto"/>
              <w:rPr>
                <w:rFonts w:ascii="Arial" w:hAnsi="Arial" w:cs="Arial"/>
              </w:rPr>
            </w:pPr>
            <w:r w:rsidRPr="00F7228F">
              <w:rPr>
                <w:rFonts w:ascii="Arial" w:hAnsi="Arial" w:cs="Arial"/>
              </w:rPr>
              <w:t>0.007</w:t>
            </w:r>
          </w:p>
          <w:p w14:paraId="62951AA9" w14:textId="77777777" w:rsidR="00236A5B" w:rsidRPr="00F7228F" w:rsidRDefault="00236A5B" w:rsidP="000B242D">
            <w:pPr>
              <w:spacing w:line="276" w:lineRule="auto"/>
              <w:rPr>
                <w:rFonts w:ascii="Arial" w:hAnsi="Arial" w:cs="Arial"/>
              </w:rPr>
            </w:pPr>
            <w:r w:rsidRPr="00F7228F">
              <w:rPr>
                <w:rFonts w:ascii="Arial" w:hAnsi="Arial" w:cs="Arial"/>
              </w:rPr>
              <w:t>(-0.010 – 0.024)</w:t>
            </w:r>
          </w:p>
        </w:tc>
      </w:tr>
      <w:tr w:rsidR="00236A5B" w:rsidRPr="00F7228F" w14:paraId="53FB45E3" w14:textId="77777777" w:rsidTr="00CB0BB6">
        <w:tc>
          <w:tcPr>
            <w:tcW w:w="1099" w:type="pct"/>
            <w:vAlign w:val="center"/>
          </w:tcPr>
          <w:p w14:paraId="082FA112" w14:textId="77777777" w:rsidR="00236A5B" w:rsidRPr="00F7228F" w:rsidRDefault="00236A5B" w:rsidP="000B242D">
            <w:pPr>
              <w:spacing w:line="276" w:lineRule="auto"/>
              <w:rPr>
                <w:rFonts w:ascii="Arial" w:hAnsi="Arial" w:cs="Arial"/>
              </w:rPr>
            </w:pPr>
          </w:p>
        </w:tc>
        <w:tc>
          <w:tcPr>
            <w:tcW w:w="1258" w:type="pct"/>
          </w:tcPr>
          <w:p w14:paraId="2642E138"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6EC6E53A" w14:textId="77777777" w:rsidR="00236A5B" w:rsidRPr="00F7228F" w:rsidRDefault="00236A5B" w:rsidP="000B242D">
            <w:pPr>
              <w:spacing w:line="276" w:lineRule="auto"/>
              <w:rPr>
                <w:rFonts w:ascii="Arial" w:hAnsi="Arial" w:cs="Arial"/>
              </w:rPr>
            </w:pPr>
            <w:r w:rsidRPr="00F7228F">
              <w:rPr>
                <w:rFonts w:ascii="Arial" w:hAnsi="Arial" w:cs="Arial"/>
              </w:rPr>
              <w:t>0.318</w:t>
            </w:r>
          </w:p>
        </w:tc>
        <w:tc>
          <w:tcPr>
            <w:tcW w:w="1307" w:type="pct"/>
          </w:tcPr>
          <w:p w14:paraId="5F54D1A3" w14:textId="77777777" w:rsidR="00236A5B" w:rsidRPr="00F7228F" w:rsidRDefault="00236A5B" w:rsidP="000B242D">
            <w:pPr>
              <w:spacing w:line="276" w:lineRule="auto"/>
              <w:rPr>
                <w:rFonts w:ascii="Arial" w:hAnsi="Arial" w:cs="Arial"/>
              </w:rPr>
            </w:pPr>
            <w:r w:rsidRPr="00F7228F">
              <w:rPr>
                <w:rFonts w:ascii="Arial" w:hAnsi="Arial" w:cs="Arial"/>
              </w:rPr>
              <w:t>0.439</w:t>
            </w:r>
          </w:p>
        </w:tc>
      </w:tr>
      <w:tr w:rsidR="00236A5B" w:rsidRPr="00F7228F" w14:paraId="502E8841" w14:textId="77777777" w:rsidTr="00CB0BB6">
        <w:tc>
          <w:tcPr>
            <w:tcW w:w="1099" w:type="pct"/>
            <w:vAlign w:val="center"/>
          </w:tcPr>
          <w:p w14:paraId="69B4EFFA" w14:textId="77777777" w:rsidR="00236A5B" w:rsidRPr="00F7228F" w:rsidRDefault="00236A5B" w:rsidP="000B242D">
            <w:pPr>
              <w:spacing w:line="276" w:lineRule="auto"/>
              <w:rPr>
                <w:rFonts w:ascii="Arial" w:hAnsi="Arial" w:cs="Arial"/>
              </w:rPr>
            </w:pPr>
          </w:p>
        </w:tc>
        <w:tc>
          <w:tcPr>
            <w:tcW w:w="1258" w:type="pct"/>
          </w:tcPr>
          <w:p w14:paraId="5D6733D8"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5B3CC021" w14:textId="77777777" w:rsidR="00236A5B" w:rsidRPr="00F7228F" w:rsidRDefault="00236A5B" w:rsidP="000B242D">
            <w:pPr>
              <w:spacing w:line="276" w:lineRule="auto"/>
              <w:rPr>
                <w:rFonts w:ascii="Arial" w:hAnsi="Arial" w:cs="Arial"/>
              </w:rPr>
            </w:pPr>
            <w:r w:rsidRPr="00F7228F">
              <w:rPr>
                <w:rFonts w:ascii="Arial" w:hAnsi="Arial" w:cs="Arial"/>
              </w:rPr>
              <w:t>0.416</w:t>
            </w:r>
          </w:p>
          <w:p w14:paraId="44A3A9F3" w14:textId="77777777" w:rsidR="00236A5B" w:rsidRPr="00F7228F" w:rsidRDefault="00236A5B" w:rsidP="000B242D">
            <w:pPr>
              <w:spacing w:line="276" w:lineRule="auto"/>
              <w:rPr>
                <w:rFonts w:ascii="Arial" w:hAnsi="Arial" w:cs="Arial"/>
              </w:rPr>
            </w:pPr>
            <w:r w:rsidRPr="00F7228F">
              <w:rPr>
                <w:rFonts w:ascii="Arial" w:hAnsi="Arial" w:cs="Arial"/>
              </w:rPr>
              <w:t>(-0.554 – 1.386)</w:t>
            </w:r>
          </w:p>
        </w:tc>
        <w:tc>
          <w:tcPr>
            <w:tcW w:w="1307" w:type="pct"/>
          </w:tcPr>
          <w:p w14:paraId="55BBA1B3" w14:textId="77777777" w:rsidR="00236A5B" w:rsidRPr="00F7228F" w:rsidRDefault="00236A5B" w:rsidP="000B242D">
            <w:pPr>
              <w:spacing w:line="276" w:lineRule="auto"/>
              <w:rPr>
                <w:rFonts w:ascii="Arial" w:hAnsi="Arial" w:cs="Arial"/>
              </w:rPr>
            </w:pPr>
            <w:r w:rsidRPr="00F7228F">
              <w:rPr>
                <w:rFonts w:ascii="Arial" w:hAnsi="Arial" w:cs="Arial"/>
              </w:rPr>
              <w:t>0.636</w:t>
            </w:r>
          </w:p>
          <w:p w14:paraId="1A372260" w14:textId="77777777" w:rsidR="00236A5B" w:rsidRPr="00F7228F" w:rsidRDefault="00236A5B" w:rsidP="000B242D">
            <w:pPr>
              <w:spacing w:line="276" w:lineRule="auto"/>
              <w:rPr>
                <w:rFonts w:ascii="Arial" w:hAnsi="Arial" w:cs="Arial"/>
              </w:rPr>
            </w:pPr>
            <w:r w:rsidRPr="00F7228F">
              <w:rPr>
                <w:rFonts w:ascii="Arial" w:hAnsi="Arial" w:cs="Arial"/>
              </w:rPr>
              <w:t>(-6.248 – 7.520)</w:t>
            </w:r>
          </w:p>
        </w:tc>
      </w:tr>
      <w:tr w:rsidR="00236A5B" w:rsidRPr="00F7228F" w14:paraId="21756F7B" w14:textId="77777777" w:rsidTr="00CB0BB6">
        <w:tc>
          <w:tcPr>
            <w:tcW w:w="1099" w:type="pct"/>
            <w:vAlign w:val="center"/>
          </w:tcPr>
          <w:p w14:paraId="242DF51D" w14:textId="77777777" w:rsidR="00236A5B" w:rsidRPr="00F7228F" w:rsidRDefault="00236A5B" w:rsidP="000B242D">
            <w:pPr>
              <w:spacing w:line="276" w:lineRule="auto"/>
              <w:rPr>
                <w:rFonts w:ascii="Arial" w:hAnsi="Arial" w:cs="Arial"/>
              </w:rPr>
            </w:pPr>
          </w:p>
        </w:tc>
        <w:tc>
          <w:tcPr>
            <w:tcW w:w="1258" w:type="pct"/>
          </w:tcPr>
          <w:p w14:paraId="122128AA"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1D21AE0B" w14:textId="77777777" w:rsidR="00236A5B" w:rsidRPr="00F7228F" w:rsidRDefault="00236A5B" w:rsidP="000B242D">
            <w:pPr>
              <w:spacing w:line="276" w:lineRule="auto"/>
              <w:rPr>
                <w:rFonts w:ascii="Arial" w:hAnsi="Arial" w:cs="Arial"/>
              </w:rPr>
            </w:pPr>
            <w:r w:rsidRPr="00F7228F">
              <w:rPr>
                <w:rFonts w:ascii="Arial" w:hAnsi="Arial" w:cs="Arial"/>
              </w:rPr>
              <w:t>0.396</w:t>
            </w:r>
          </w:p>
        </w:tc>
        <w:tc>
          <w:tcPr>
            <w:tcW w:w="1307" w:type="pct"/>
          </w:tcPr>
          <w:p w14:paraId="301E9CE3" w14:textId="77777777" w:rsidR="00236A5B" w:rsidRPr="00F7228F" w:rsidRDefault="00236A5B" w:rsidP="000B242D">
            <w:pPr>
              <w:spacing w:line="276" w:lineRule="auto"/>
              <w:rPr>
                <w:rFonts w:ascii="Arial" w:hAnsi="Arial" w:cs="Arial"/>
              </w:rPr>
            </w:pPr>
            <w:r w:rsidRPr="00F7228F">
              <w:rPr>
                <w:rFonts w:ascii="Arial" w:hAnsi="Arial" w:cs="Arial"/>
              </w:rPr>
              <w:t>0.855</w:t>
            </w:r>
          </w:p>
        </w:tc>
      </w:tr>
      <w:tr w:rsidR="00236A5B" w:rsidRPr="00F7228F" w14:paraId="542E3291" w14:textId="77777777" w:rsidTr="00CB0BB6">
        <w:tc>
          <w:tcPr>
            <w:tcW w:w="1099" w:type="pct"/>
            <w:vAlign w:val="center"/>
          </w:tcPr>
          <w:p w14:paraId="3142924F" w14:textId="77777777" w:rsidR="00236A5B" w:rsidRPr="00F7228F" w:rsidRDefault="00236A5B" w:rsidP="000B242D">
            <w:pPr>
              <w:spacing w:line="276" w:lineRule="auto"/>
              <w:rPr>
                <w:rFonts w:ascii="Arial" w:hAnsi="Arial" w:cs="Arial"/>
              </w:rPr>
            </w:pPr>
          </w:p>
        </w:tc>
        <w:tc>
          <w:tcPr>
            <w:tcW w:w="1258" w:type="pct"/>
          </w:tcPr>
          <w:p w14:paraId="61F3A542"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5B17B688"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7C26C47" w14:textId="77777777" w:rsidR="00236A5B" w:rsidRPr="00F7228F" w:rsidRDefault="00236A5B" w:rsidP="000B242D">
            <w:pPr>
              <w:spacing w:line="276" w:lineRule="auto"/>
              <w:rPr>
                <w:rFonts w:ascii="Arial" w:hAnsi="Arial" w:cs="Arial"/>
              </w:rPr>
            </w:pPr>
            <w:r w:rsidRPr="00F7228F">
              <w:rPr>
                <w:rFonts w:ascii="Arial" w:hAnsi="Arial" w:cs="Arial"/>
              </w:rPr>
              <w:t>-0.043</w:t>
            </w:r>
          </w:p>
          <w:p w14:paraId="38C0B6B6" w14:textId="77777777" w:rsidR="00236A5B" w:rsidRPr="00F7228F" w:rsidRDefault="00236A5B" w:rsidP="000B242D">
            <w:pPr>
              <w:spacing w:line="276" w:lineRule="auto"/>
              <w:rPr>
                <w:rFonts w:ascii="Arial" w:hAnsi="Arial" w:cs="Arial"/>
              </w:rPr>
            </w:pPr>
            <w:r w:rsidRPr="00F7228F">
              <w:rPr>
                <w:rFonts w:ascii="Arial" w:hAnsi="Arial" w:cs="Arial"/>
              </w:rPr>
              <w:t>(-1.364 – 1.279)</w:t>
            </w:r>
          </w:p>
        </w:tc>
      </w:tr>
      <w:tr w:rsidR="00236A5B" w:rsidRPr="00F7228F" w14:paraId="1679830B" w14:textId="77777777" w:rsidTr="00CB0BB6">
        <w:tc>
          <w:tcPr>
            <w:tcW w:w="1099" w:type="pct"/>
            <w:vAlign w:val="center"/>
          </w:tcPr>
          <w:p w14:paraId="0B56C556" w14:textId="77777777" w:rsidR="00236A5B" w:rsidRPr="00F7228F" w:rsidRDefault="00236A5B" w:rsidP="000B242D">
            <w:pPr>
              <w:spacing w:line="276" w:lineRule="auto"/>
              <w:rPr>
                <w:rFonts w:ascii="Arial" w:hAnsi="Arial" w:cs="Arial"/>
              </w:rPr>
            </w:pPr>
          </w:p>
        </w:tc>
        <w:tc>
          <w:tcPr>
            <w:tcW w:w="1258" w:type="pct"/>
          </w:tcPr>
          <w:p w14:paraId="1ADD33DC"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331B3A91"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6A296A2" w14:textId="77777777" w:rsidR="00236A5B" w:rsidRPr="00F7228F" w:rsidRDefault="00236A5B" w:rsidP="000B242D">
            <w:pPr>
              <w:spacing w:line="276" w:lineRule="auto"/>
              <w:rPr>
                <w:rFonts w:ascii="Arial" w:hAnsi="Arial" w:cs="Arial"/>
              </w:rPr>
            </w:pPr>
            <w:r w:rsidRPr="00F7228F">
              <w:rPr>
                <w:rFonts w:ascii="Arial" w:hAnsi="Arial" w:cs="Arial"/>
              </w:rPr>
              <w:t>0.949</w:t>
            </w:r>
          </w:p>
        </w:tc>
      </w:tr>
      <w:tr w:rsidR="00236A5B" w:rsidRPr="00F7228F" w14:paraId="6E656A64" w14:textId="77777777" w:rsidTr="00CB0BB6">
        <w:tc>
          <w:tcPr>
            <w:tcW w:w="1099" w:type="pct"/>
            <w:vAlign w:val="center"/>
          </w:tcPr>
          <w:p w14:paraId="4EA50DB1" w14:textId="77777777" w:rsidR="00236A5B" w:rsidRPr="00F7228F" w:rsidRDefault="00236A5B" w:rsidP="000B242D">
            <w:pPr>
              <w:spacing w:line="276" w:lineRule="auto"/>
              <w:rPr>
                <w:rFonts w:ascii="Arial" w:hAnsi="Arial" w:cs="Arial"/>
              </w:rPr>
            </w:pPr>
          </w:p>
        </w:tc>
        <w:tc>
          <w:tcPr>
            <w:tcW w:w="1258" w:type="pct"/>
          </w:tcPr>
          <w:p w14:paraId="2D0B3131"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216B023D" w14:textId="77777777" w:rsidR="00236A5B" w:rsidRPr="00F7228F" w:rsidRDefault="00236A5B" w:rsidP="000B242D">
            <w:pPr>
              <w:spacing w:line="276" w:lineRule="auto"/>
              <w:rPr>
                <w:rFonts w:ascii="Arial" w:hAnsi="Arial" w:cs="Arial"/>
              </w:rPr>
            </w:pPr>
            <w:r w:rsidRPr="00F7228F">
              <w:rPr>
                <w:rFonts w:ascii="Arial" w:hAnsi="Arial" w:cs="Arial"/>
              </w:rPr>
              <w:t>0.0275</w:t>
            </w:r>
          </w:p>
        </w:tc>
        <w:tc>
          <w:tcPr>
            <w:tcW w:w="1307" w:type="pct"/>
          </w:tcPr>
          <w:p w14:paraId="2141A50B" w14:textId="77777777" w:rsidR="00236A5B" w:rsidRPr="00F7228F" w:rsidRDefault="00236A5B" w:rsidP="000B242D">
            <w:pPr>
              <w:spacing w:line="276" w:lineRule="auto"/>
              <w:rPr>
                <w:rFonts w:ascii="Arial" w:hAnsi="Arial" w:cs="Arial"/>
              </w:rPr>
            </w:pPr>
            <w:r w:rsidRPr="00F7228F">
              <w:rPr>
                <w:rFonts w:ascii="Arial" w:hAnsi="Arial" w:cs="Arial"/>
              </w:rPr>
              <w:t>0.0275</w:t>
            </w:r>
          </w:p>
        </w:tc>
      </w:tr>
      <w:tr w:rsidR="00236A5B" w:rsidRPr="00F7228F" w14:paraId="2FD06193" w14:textId="77777777" w:rsidTr="00CB0BB6">
        <w:tc>
          <w:tcPr>
            <w:tcW w:w="1099" w:type="pct"/>
            <w:vAlign w:val="center"/>
          </w:tcPr>
          <w:p w14:paraId="43AF5E89" w14:textId="77777777" w:rsidR="00236A5B" w:rsidRPr="00F7228F" w:rsidRDefault="00236A5B" w:rsidP="000B242D">
            <w:pPr>
              <w:spacing w:line="276" w:lineRule="auto"/>
              <w:rPr>
                <w:rFonts w:ascii="Arial" w:hAnsi="Arial" w:cs="Arial"/>
              </w:rPr>
            </w:pPr>
            <w:r w:rsidRPr="00F7228F">
              <w:rPr>
                <w:rFonts w:ascii="Arial" w:hAnsi="Arial" w:cs="Arial"/>
              </w:rPr>
              <w:t>IL-2</w:t>
            </w:r>
          </w:p>
        </w:tc>
        <w:tc>
          <w:tcPr>
            <w:tcW w:w="1258" w:type="pct"/>
          </w:tcPr>
          <w:p w14:paraId="39CA904D"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2B0EAE58" w14:textId="77777777" w:rsidR="00236A5B" w:rsidRPr="00F7228F" w:rsidRDefault="00236A5B" w:rsidP="000B242D">
            <w:pPr>
              <w:spacing w:line="276" w:lineRule="auto"/>
              <w:rPr>
                <w:rFonts w:ascii="Arial" w:hAnsi="Arial" w:cs="Arial"/>
              </w:rPr>
            </w:pPr>
            <w:r w:rsidRPr="00F7228F">
              <w:rPr>
                <w:rFonts w:ascii="Arial" w:hAnsi="Arial" w:cs="Arial"/>
              </w:rPr>
              <w:t>0.163</w:t>
            </w:r>
          </w:p>
          <w:p w14:paraId="6D432DAC" w14:textId="77777777" w:rsidR="00236A5B" w:rsidRPr="00F7228F" w:rsidRDefault="00236A5B" w:rsidP="000B242D">
            <w:pPr>
              <w:spacing w:line="276" w:lineRule="auto"/>
              <w:rPr>
                <w:rFonts w:ascii="Arial" w:hAnsi="Arial" w:cs="Arial"/>
              </w:rPr>
            </w:pPr>
            <w:r w:rsidRPr="00F7228F">
              <w:rPr>
                <w:rFonts w:ascii="Arial" w:hAnsi="Arial" w:cs="Arial"/>
              </w:rPr>
              <w:t>(0.074 – 0.251)</w:t>
            </w:r>
          </w:p>
        </w:tc>
        <w:tc>
          <w:tcPr>
            <w:tcW w:w="1307" w:type="pct"/>
          </w:tcPr>
          <w:p w14:paraId="453C192B" w14:textId="77777777" w:rsidR="00236A5B" w:rsidRPr="00F7228F" w:rsidRDefault="00236A5B" w:rsidP="000B242D">
            <w:pPr>
              <w:spacing w:line="276" w:lineRule="auto"/>
              <w:rPr>
                <w:rFonts w:ascii="Arial" w:hAnsi="Arial" w:cs="Arial"/>
              </w:rPr>
            </w:pPr>
            <w:r w:rsidRPr="00F7228F">
              <w:rPr>
                <w:rFonts w:ascii="Arial" w:hAnsi="Arial" w:cs="Arial"/>
              </w:rPr>
              <w:t>0.148</w:t>
            </w:r>
          </w:p>
          <w:p w14:paraId="2D9E5FDD" w14:textId="77777777" w:rsidR="00236A5B" w:rsidRPr="00F7228F" w:rsidRDefault="00236A5B" w:rsidP="000B242D">
            <w:pPr>
              <w:spacing w:line="276" w:lineRule="auto"/>
              <w:rPr>
                <w:rFonts w:ascii="Arial" w:hAnsi="Arial" w:cs="Arial"/>
              </w:rPr>
            </w:pPr>
            <w:r w:rsidRPr="00F7228F">
              <w:rPr>
                <w:rFonts w:ascii="Arial" w:hAnsi="Arial" w:cs="Arial"/>
              </w:rPr>
              <w:t>(0.046 – 0.250)</w:t>
            </w:r>
          </w:p>
        </w:tc>
      </w:tr>
      <w:tr w:rsidR="00236A5B" w:rsidRPr="00F7228F" w14:paraId="1B525289" w14:textId="77777777" w:rsidTr="00CB0BB6">
        <w:tc>
          <w:tcPr>
            <w:tcW w:w="1099" w:type="pct"/>
            <w:vAlign w:val="center"/>
          </w:tcPr>
          <w:p w14:paraId="683C1865" w14:textId="77777777" w:rsidR="00236A5B" w:rsidRPr="00F7228F" w:rsidRDefault="00236A5B" w:rsidP="000B242D">
            <w:pPr>
              <w:spacing w:line="276" w:lineRule="auto"/>
              <w:rPr>
                <w:rFonts w:ascii="Arial" w:hAnsi="Arial" w:cs="Arial"/>
              </w:rPr>
            </w:pPr>
          </w:p>
        </w:tc>
        <w:tc>
          <w:tcPr>
            <w:tcW w:w="1258" w:type="pct"/>
          </w:tcPr>
          <w:p w14:paraId="6480CC48"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3C29CE15" w14:textId="77777777" w:rsidR="00236A5B" w:rsidRPr="00F7228F" w:rsidRDefault="00236A5B" w:rsidP="000B242D">
            <w:pPr>
              <w:spacing w:line="276" w:lineRule="auto"/>
              <w:rPr>
                <w:rFonts w:ascii="Arial" w:hAnsi="Arial" w:cs="Arial"/>
              </w:rPr>
            </w:pPr>
            <w:r w:rsidRPr="00F7228F">
              <w:rPr>
                <w:rFonts w:ascii="Arial" w:hAnsi="Arial" w:cs="Arial"/>
              </w:rPr>
              <w:t>&lt; 0.001</w:t>
            </w:r>
          </w:p>
        </w:tc>
        <w:tc>
          <w:tcPr>
            <w:tcW w:w="1307" w:type="pct"/>
          </w:tcPr>
          <w:p w14:paraId="2AD3D2FF" w14:textId="77777777" w:rsidR="00236A5B" w:rsidRPr="00F7228F" w:rsidRDefault="00236A5B" w:rsidP="000B242D">
            <w:pPr>
              <w:spacing w:line="276" w:lineRule="auto"/>
              <w:rPr>
                <w:rFonts w:ascii="Arial" w:hAnsi="Arial" w:cs="Arial"/>
              </w:rPr>
            </w:pPr>
            <w:r w:rsidRPr="00F7228F">
              <w:rPr>
                <w:rFonts w:ascii="Arial" w:hAnsi="Arial" w:cs="Arial"/>
              </w:rPr>
              <w:t>0.005</w:t>
            </w:r>
          </w:p>
        </w:tc>
      </w:tr>
      <w:tr w:rsidR="00236A5B" w:rsidRPr="00F7228F" w14:paraId="341FA591" w14:textId="77777777" w:rsidTr="00CB0BB6">
        <w:tc>
          <w:tcPr>
            <w:tcW w:w="1099" w:type="pct"/>
            <w:vAlign w:val="center"/>
          </w:tcPr>
          <w:p w14:paraId="403519B3" w14:textId="77777777" w:rsidR="00236A5B" w:rsidRPr="00F7228F" w:rsidRDefault="00236A5B" w:rsidP="000B242D">
            <w:pPr>
              <w:spacing w:line="276" w:lineRule="auto"/>
              <w:rPr>
                <w:rFonts w:ascii="Arial" w:hAnsi="Arial" w:cs="Arial"/>
              </w:rPr>
            </w:pPr>
          </w:p>
        </w:tc>
        <w:tc>
          <w:tcPr>
            <w:tcW w:w="1258" w:type="pct"/>
          </w:tcPr>
          <w:p w14:paraId="5027D040"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226D1A7E" w14:textId="77777777" w:rsidR="00236A5B" w:rsidRPr="00F7228F" w:rsidRDefault="00236A5B" w:rsidP="000B242D">
            <w:pPr>
              <w:spacing w:line="276" w:lineRule="auto"/>
              <w:rPr>
                <w:rFonts w:ascii="Arial" w:hAnsi="Arial" w:cs="Arial"/>
              </w:rPr>
            </w:pPr>
            <w:r w:rsidRPr="00F7228F">
              <w:rPr>
                <w:rFonts w:ascii="Arial" w:hAnsi="Arial" w:cs="Arial"/>
              </w:rPr>
              <w:t>-4.430</w:t>
            </w:r>
          </w:p>
          <w:p w14:paraId="4E9E152F" w14:textId="77777777" w:rsidR="00236A5B" w:rsidRPr="00F7228F" w:rsidRDefault="00236A5B" w:rsidP="000B242D">
            <w:pPr>
              <w:spacing w:line="276" w:lineRule="auto"/>
              <w:rPr>
                <w:rFonts w:ascii="Arial" w:hAnsi="Arial" w:cs="Arial"/>
              </w:rPr>
            </w:pPr>
            <w:r w:rsidRPr="00F7228F">
              <w:rPr>
                <w:rFonts w:ascii="Arial" w:hAnsi="Arial" w:cs="Arial"/>
              </w:rPr>
              <w:t>(-10.625 – 1.765)</w:t>
            </w:r>
          </w:p>
        </w:tc>
        <w:tc>
          <w:tcPr>
            <w:tcW w:w="1307" w:type="pct"/>
          </w:tcPr>
          <w:p w14:paraId="219F9BDF" w14:textId="77777777" w:rsidR="00236A5B" w:rsidRPr="00F7228F" w:rsidRDefault="00236A5B" w:rsidP="000B242D">
            <w:pPr>
              <w:spacing w:line="276" w:lineRule="auto"/>
              <w:rPr>
                <w:rFonts w:ascii="Arial" w:hAnsi="Arial" w:cs="Arial"/>
              </w:rPr>
            </w:pPr>
            <w:r w:rsidRPr="00F7228F">
              <w:rPr>
                <w:rFonts w:ascii="Arial" w:hAnsi="Arial" w:cs="Arial"/>
              </w:rPr>
              <w:t>-13.569</w:t>
            </w:r>
          </w:p>
          <w:p w14:paraId="032B6DCB" w14:textId="77777777" w:rsidR="00236A5B" w:rsidRPr="00F7228F" w:rsidRDefault="00236A5B" w:rsidP="000B242D">
            <w:pPr>
              <w:spacing w:line="276" w:lineRule="auto"/>
              <w:rPr>
                <w:rFonts w:ascii="Arial" w:hAnsi="Arial" w:cs="Arial"/>
              </w:rPr>
            </w:pPr>
            <w:r w:rsidRPr="00F7228F">
              <w:rPr>
                <w:rFonts w:ascii="Arial" w:hAnsi="Arial" w:cs="Arial"/>
              </w:rPr>
              <w:t>(-45.955 – 18.816)</w:t>
            </w:r>
          </w:p>
        </w:tc>
      </w:tr>
      <w:tr w:rsidR="00236A5B" w:rsidRPr="00F7228F" w14:paraId="22D43823" w14:textId="77777777" w:rsidTr="00CB0BB6">
        <w:tc>
          <w:tcPr>
            <w:tcW w:w="1099" w:type="pct"/>
            <w:vAlign w:val="center"/>
          </w:tcPr>
          <w:p w14:paraId="3D1F7495" w14:textId="77777777" w:rsidR="00236A5B" w:rsidRPr="00F7228F" w:rsidRDefault="00236A5B" w:rsidP="000B242D">
            <w:pPr>
              <w:spacing w:line="276" w:lineRule="auto"/>
              <w:rPr>
                <w:rFonts w:ascii="Arial" w:hAnsi="Arial" w:cs="Arial"/>
              </w:rPr>
            </w:pPr>
          </w:p>
        </w:tc>
        <w:tc>
          <w:tcPr>
            <w:tcW w:w="1258" w:type="pct"/>
          </w:tcPr>
          <w:p w14:paraId="7AC85EDA"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73EBD285" w14:textId="77777777" w:rsidR="00236A5B" w:rsidRPr="00F7228F" w:rsidRDefault="00236A5B" w:rsidP="000B242D">
            <w:pPr>
              <w:spacing w:line="276" w:lineRule="auto"/>
              <w:rPr>
                <w:rFonts w:ascii="Arial" w:hAnsi="Arial" w:cs="Arial"/>
              </w:rPr>
            </w:pPr>
            <w:r w:rsidRPr="00F7228F">
              <w:rPr>
                <w:rFonts w:ascii="Arial" w:hAnsi="Arial" w:cs="Arial"/>
              </w:rPr>
              <w:t>0.158</w:t>
            </w:r>
          </w:p>
        </w:tc>
        <w:tc>
          <w:tcPr>
            <w:tcW w:w="1307" w:type="pct"/>
          </w:tcPr>
          <w:p w14:paraId="38F825F0" w14:textId="77777777" w:rsidR="00236A5B" w:rsidRPr="00F7228F" w:rsidRDefault="00236A5B" w:rsidP="000B242D">
            <w:pPr>
              <w:spacing w:line="276" w:lineRule="auto"/>
              <w:rPr>
                <w:rFonts w:ascii="Arial" w:hAnsi="Arial" w:cs="Arial"/>
              </w:rPr>
            </w:pPr>
            <w:r w:rsidRPr="00F7228F">
              <w:rPr>
                <w:rFonts w:ascii="Arial" w:hAnsi="Arial" w:cs="Arial"/>
              </w:rPr>
              <w:t>0.406</w:t>
            </w:r>
          </w:p>
        </w:tc>
      </w:tr>
      <w:tr w:rsidR="00236A5B" w:rsidRPr="00F7228F" w14:paraId="732316B0" w14:textId="77777777" w:rsidTr="00CB0BB6">
        <w:tc>
          <w:tcPr>
            <w:tcW w:w="1099" w:type="pct"/>
            <w:vAlign w:val="center"/>
          </w:tcPr>
          <w:p w14:paraId="427A6949" w14:textId="77777777" w:rsidR="00236A5B" w:rsidRPr="00F7228F" w:rsidRDefault="00236A5B" w:rsidP="000B242D">
            <w:pPr>
              <w:spacing w:line="276" w:lineRule="auto"/>
              <w:rPr>
                <w:rFonts w:ascii="Arial" w:hAnsi="Arial" w:cs="Arial"/>
              </w:rPr>
            </w:pPr>
          </w:p>
        </w:tc>
        <w:tc>
          <w:tcPr>
            <w:tcW w:w="1258" w:type="pct"/>
          </w:tcPr>
          <w:p w14:paraId="6D25F5CD"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6453A2F8"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779FFAB4" w14:textId="77777777" w:rsidR="00236A5B" w:rsidRPr="00F7228F" w:rsidRDefault="00236A5B" w:rsidP="000B242D">
            <w:pPr>
              <w:spacing w:line="276" w:lineRule="auto"/>
              <w:rPr>
                <w:rFonts w:ascii="Arial" w:hAnsi="Arial" w:cs="Arial"/>
              </w:rPr>
            </w:pPr>
            <w:r w:rsidRPr="00F7228F">
              <w:rPr>
                <w:rFonts w:ascii="Arial" w:hAnsi="Arial" w:cs="Arial"/>
              </w:rPr>
              <w:t>1.573</w:t>
            </w:r>
          </w:p>
          <w:p w14:paraId="4F61B9D6" w14:textId="77777777" w:rsidR="00236A5B" w:rsidRPr="00F7228F" w:rsidRDefault="00236A5B" w:rsidP="000B242D">
            <w:pPr>
              <w:spacing w:line="276" w:lineRule="auto"/>
              <w:rPr>
                <w:rFonts w:ascii="Arial" w:hAnsi="Arial" w:cs="Arial"/>
              </w:rPr>
            </w:pPr>
            <w:r w:rsidRPr="00F7228F">
              <w:rPr>
                <w:rFonts w:ascii="Arial" w:hAnsi="Arial" w:cs="Arial"/>
              </w:rPr>
              <w:t>(-3.897 – 7.042)</w:t>
            </w:r>
          </w:p>
        </w:tc>
      </w:tr>
      <w:tr w:rsidR="00236A5B" w:rsidRPr="00F7228F" w14:paraId="6CF2ABB3" w14:textId="77777777" w:rsidTr="00CB0BB6">
        <w:tc>
          <w:tcPr>
            <w:tcW w:w="1099" w:type="pct"/>
          </w:tcPr>
          <w:p w14:paraId="242A56E0" w14:textId="77777777" w:rsidR="00236A5B" w:rsidRPr="00F7228F" w:rsidRDefault="00236A5B" w:rsidP="000B242D">
            <w:pPr>
              <w:spacing w:line="276" w:lineRule="auto"/>
              <w:rPr>
                <w:rFonts w:ascii="Arial" w:hAnsi="Arial" w:cs="Arial"/>
              </w:rPr>
            </w:pPr>
          </w:p>
        </w:tc>
        <w:tc>
          <w:tcPr>
            <w:tcW w:w="1258" w:type="pct"/>
          </w:tcPr>
          <w:p w14:paraId="07538973"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2ACCAB7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08DBA26C" w14:textId="77777777" w:rsidR="00236A5B" w:rsidRPr="00F7228F" w:rsidRDefault="00236A5B" w:rsidP="000B242D">
            <w:pPr>
              <w:spacing w:line="276" w:lineRule="auto"/>
              <w:rPr>
                <w:rFonts w:ascii="Arial" w:hAnsi="Arial" w:cs="Arial"/>
              </w:rPr>
            </w:pPr>
            <w:r w:rsidRPr="00F7228F">
              <w:rPr>
                <w:rFonts w:ascii="Arial" w:hAnsi="Arial" w:cs="Arial"/>
              </w:rPr>
              <w:t>0.568</w:t>
            </w:r>
          </w:p>
        </w:tc>
      </w:tr>
      <w:tr w:rsidR="00236A5B" w:rsidRPr="00F7228F" w14:paraId="46FD4DF0" w14:textId="77777777" w:rsidTr="00CB0BB6">
        <w:tc>
          <w:tcPr>
            <w:tcW w:w="1099" w:type="pct"/>
          </w:tcPr>
          <w:p w14:paraId="34B1E126" w14:textId="77777777" w:rsidR="00236A5B" w:rsidRPr="00F7228F" w:rsidRDefault="00236A5B" w:rsidP="000B242D">
            <w:pPr>
              <w:spacing w:line="276" w:lineRule="auto"/>
              <w:rPr>
                <w:rFonts w:ascii="Arial" w:hAnsi="Arial" w:cs="Arial"/>
              </w:rPr>
            </w:pPr>
          </w:p>
        </w:tc>
        <w:tc>
          <w:tcPr>
            <w:tcW w:w="1258" w:type="pct"/>
          </w:tcPr>
          <w:p w14:paraId="271730AB"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3FB2DCFF" w14:textId="77777777" w:rsidR="00236A5B" w:rsidRPr="00F7228F" w:rsidRDefault="00236A5B" w:rsidP="000B242D">
            <w:pPr>
              <w:spacing w:line="276" w:lineRule="auto"/>
              <w:rPr>
                <w:rFonts w:ascii="Arial" w:hAnsi="Arial" w:cs="Arial"/>
              </w:rPr>
            </w:pPr>
            <w:r w:rsidRPr="00F7228F">
              <w:rPr>
                <w:rFonts w:ascii="Arial" w:hAnsi="Arial" w:cs="Arial"/>
              </w:rPr>
              <w:t>0.1526</w:t>
            </w:r>
          </w:p>
        </w:tc>
        <w:tc>
          <w:tcPr>
            <w:tcW w:w="1307" w:type="pct"/>
          </w:tcPr>
          <w:p w14:paraId="4BD50A69" w14:textId="77777777" w:rsidR="00236A5B" w:rsidRPr="00F7228F" w:rsidRDefault="00236A5B" w:rsidP="000B242D">
            <w:pPr>
              <w:spacing w:line="276" w:lineRule="auto"/>
              <w:rPr>
                <w:rFonts w:ascii="Arial" w:hAnsi="Arial" w:cs="Arial"/>
              </w:rPr>
            </w:pPr>
            <w:r w:rsidRPr="00F7228F">
              <w:rPr>
                <w:rFonts w:ascii="Arial" w:hAnsi="Arial" w:cs="Arial"/>
              </w:rPr>
              <w:t>0.1563</w:t>
            </w:r>
          </w:p>
        </w:tc>
      </w:tr>
      <w:tr w:rsidR="00236A5B" w:rsidRPr="00F7228F" w14:paraId="247B727D" w14:textId="77777777" w:rsidTr="00CB0BB6">
        <w:tc>
          <w:tcPr>
            <w:tcW w:w="1099" w:type="pct"/>
            <w:vAlign w:val="center"/>
          </w:tcPr>
          <w:p w14:paraId="7EA3CA53" w14:textId="77777777" w:rsidR="00236A5B" w:rsidRPr="00F7228F" w:rsidRDefault="00236A5B" w:rsidP="000B242D">
            <w:pPr>
              <w:spacing w:line="276" w:lineRule="auto"/>
              <w:rPr>
                <w:rFonts w:ascii="Arial" w:hAnsi="Arial" w:cs="Arial"/>
              </w:rPr>
            </w:pPr>
            <w:r w:rsidRPr="00F7228F">
              <w:rPr>
                <w:rFonts w:ascii="Arial" w:hAnsi="Arial" w:cs="Arial"/>
              </w:rPr>
              <w:t>IL-4</w:t>
            </w:r>
          </w:p>
        </w:tc>
        <w:tc>
          <w:tcPr>
            <w:tcW w:w="1258" w:type="pct"/>
          </w:tcPr>
          <w:p w14:paraId="6C95BFB2"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47E7FF15" w14:textId="77777777" w:rsidR="00236A5B" w:rsidRPr="00F7228F" w:rsidRDefault="00236A5B" w:rsidP="000B242D">
            <w:pPr>
              <w:spacing w:line="276" w:lineRule="auto"/>
              <w:rPr>
                <w:rFonts w:ascii="Arial" w:hAnsi="Arial" w:cs="Arial"/>
              </w:rPr>
            </w:pPr>
            <w:r w:rsidRPr="00F7228F">
              <w:rPr>
                <w:rFonts w:ascii="Arial" w:hAnsi="Arial" w:cs="Arial"/>
              </w:rPr>
              <w:t xml:space="preserve">-0.000 </w:t>
            </w:r>
          </w:p>
          <w:p w14:paraId="2A31A65E" w14:textId="77777777" w:rsidR="00236A5B" w:rsidRPr="00F7228F" w:rsidRDefault="00236A5B" w:rsidP="000B242D">
            <w:pPr>
              <w:spacing w:line="276" w:lineRule="auto"/>
              <w:rPr>
                <w:rFonts w:ascii="Arial" w:hAnsi="Arial" w:cs="Arial"/>
              </w:rPr>
            </w:pPr>
            <w:r w:rsidRPr="00F7228F">
              <w:rPr>
                <w:rFonts w:ascii="Arial" w:hAnsi="Arial" w:cs="Arial"/>
              </w:rPr>
              <w:t>(-0.001 – 0.001)</w:t>
            </w:r>
          </w:p>
        </w:tc>
        <w:tc>
          <w:tcPr>
            <w:tcW w:w="1307" w:type="pct"/>
          </w:tcPr>
          <w:p w14:paraId="4DC8208A" w14:textId="77777777" w:rsidR="00236A5B" w:rsidRPr="00F7228F" w:rsidRDefault="00236A5B" w:rsidP="000B242D">
            <w:pPr>
              <w:spacing w:line="276" w:lineRule="auto"/>
              <w:rPr>
                <w:rFonts w:ascii="Arial" w:hAnsi="Arial" w:cs="Arial"/>
              </w:rPr>
            </w:pPr>
            <w:r w:rsidRPr="00F7228F">
              <w:rPr>
                <w:rFonts w:ascii="Arial" w:hAnsi="Arial" w:cs="Arial"/>
              </w:rPr>
              <w:t xml:space="preserve">-0.000 </w:t>
            </w:r>
          </w:p>
          <w:p w14:paraId="11953769" w14:textId="77777777" w:rsidR="00236A5B" w:rsidRPr="00F7228F" w:rsidRDefault="00236A5B" w:rsidP="000B242D">
            <w:pPr>
              <w:spacing w:line="276" w:lineRule="auto"/>
              <w:rPr>
                <w:rFonts w:ascii="Arial" w:hAnsi="Arial" w:cs="Arial"/>
              </w:rPr>
            </w:pPr>
            <w:r w:rsidRPr="00F7228F">
              <w:rPr>
                <w:rFonts w:ascii="Arial" w:hAnsi="Arial" w:cs="Arial"/>
              </w:rPr>
              <w:t>(-0.002 – 0.002)</w:t>
            </w:r>
          </w:p>
        </w:tc>
      </w:tr>
      <w:tr w:rsidR="00236A5B" w:rsidRPr="00F7228F" w14:paraId="4EF0BF40" w14:textId="77777777" w:rsidTr="00CB0BB6">
        <w:tc>
          <w:tcPr>
            <w:tcW w:w="1099" w:type="pct"/>
            <w:vAlign w:val="center"/>
          </w:tcPr>
          <w:p w14:paraId="2EE3F9DB" w14:textId="77777777" w:rsidR="00236A5B" w:rsidRPr="00F7228F" w:rsidRDefault="00236A5B" w:rsidP="000B242D">
            <w:pPr>
              <w:spacing w:line="276" w:lineRule="auto"/>
              <w:rPr>
                <w:rFonts w:ascii="Arial" w:hAnsi="Arial" w:cs="Arial"/>
              </w:rPr>
            </w:pPr>
          </w:p>
        </w:tc>
        <w:tc>
          <w:tcPr>
            <w:tcW w:w="1258" w:type="pct"/>
          </w:tcPr>
          <w:p w14:paraId="7AF5153B"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273C6DFF" w14:textId="77777777" w:rsidR="00236A5B" w:rsidRPr="00F7228F" w:rsidRDefault="00236A5B" w:rsidP="000B242D">
            <w:pPr>
              <w:spacing w:line="276" w:lineRule="auto"/>
              <w:rPr>
                <w:rFonts w:ascii="Arial" w:hAnsi="Arial" w:cs="Arial"/>
              </w:rPr>
            </w:pPr>
            <w:r w:rsidRPr="00F7228F">
              <w:rPr>
                <w:rFonts w:ascii="Arial" w:hAnsi="Arial" w:cs="Arial"/>
              </w:rPr>
              <w:t>0.512</w:t>
            </w:r>
          </w:p>
        </w:tc>
        <w:tc>
          <w:tcPr>
            <w:tcW w:w="1307" w:type="pct"/>
          </w:tcPr>
          <w:p w14:paraId="5454A953" w14:textId="77777777" w:rsidR="00236A5B" w:rsidRPr="00F7228F" w:rsidRDefault="00236A5B" w:rsidP="000B242D">
            <w:pPr>
              <w:spacing w:line="276" w:lineRule="auto"/>
              <w:rPr>
                <w:rFonts w:ascii="Arial" w:hAnsi="Arial" w:cs="Arial"/>
              </w:rPr>
            </w:pPr>
            <w:r w:rsidRPr="00F7228F">
              <w:rPr>
                <w:rFonts w:ascii="Arial" w:hAnsi="Arial" w:cs="Arial"/>
              </w:rPr>
              <w:t>0.871</w:t>
            </w:r>
          </w:p>
        </w:tc>
      </w:tr>
      <w:tr w:rsidR="00236A5B" w:rsidRPr="00F7228F" w14:paraId="4F0DC7D4" w14:textId="77777777" w:rsidTr="00CB0BB6">
        <w:tc>
          <w:tcPr>
            <w:tcW w:w="1099" w:type="pct"/>
            <w:vAlign w:val="center"/>
          </w:tcPr>
          <w:p w14:paraId="04E5DBE3" w14:textId="77777777" w:rsidR="00236A5B" w:rsidRPr="00F7228F" w:rsidRDefault="00236A5B" w:rsidP="000B242D">
            <w:pPr>
              <w:spacing w:line="276" w:lineRule="auto"/>
              <w:rPr>
                <w:rFonts w:ascii="Arial" w:hAnsi="Arial" w:cs="Arial"/>
              </w:rPr>
            </w:pPr>
          </w:p>
        </w:tc>
        <w:tc>
          <w:tcPr>
            <w:tcW w:w="1258" w:type="pct"/>
          </w:tcPr>
          <w:p w14:paraId="01313A95"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58A1128F" w14:textId="77777777" w:rsidR="00236A5B" w:rsidRPr="00F7228F" w:rsidRDefault="00236A5B" w:rsidP="000B242D">
            <w:pPr>
              <w:spacing w:line="276" w:lineRule="auto"/>
              <w:rPr>
                <w:rFonts w:ascii="Arial" w:hAnsi="Arial" w:cs="Arial"/>
              </w:rPr>
            </w:pPr>
            <w:r w:rsidRPr="00F7228F">
              <w:rPr>
                <w:rFonts w:ascii="Arial" w:hAnsi="Arial" w:cs="Arial"/>
              </w:rPr>
              <w:t>-0.040</w:t>
            </w:r>
          </w:p>
          <w:p w14:paraId="3651ED24" w14:textId="77777777" w:rsidR="00236A5B" w:rsidRPr="00F7228F" w:rsidRDefault="00236A5B" w:rsidP="000B242D">
            <w:pPr>
              <w:spacing w:line="276" w:lineRule="auto"/>
              <w:rPr>
                <w:rFonts w:ascii="Arial" w:hAnsi="Arial" w:cs="Arial"/>
              </w:rPr>
            </w:pPr>
            <w:r w:rsidRPr="00F7228F">
              <w:rPr>
                <w:rFonts w:ascii="Arial" w:hAnsi="Arial" w:cs="Arial"/>
              </w:rPr>
              <w:t>(-0.313 – 0.233)</w:t>
            </w:r>
          </w:p>
        </w:tc>
        <w:tc>
          <w:tcPr>
            <w:tcW w:w="1307" w:type="pct"/>
          </w:tcPr>
          <w:p w14:paraId="00034052" w14:textId="77777777" w:rsidR="00236A5B" w:rsidRPr="00F7228F" w:rsidRDefault="00236A5B" w:rsidP="000B242D">
            <w:pPr>
              <w:spacing w:line="276" w:lineRule="auto"/>
              <w:rPr>
                <w:rFonts w:ascii="Arial" w:hAnsi="Arial" w:cs="Arial"/>
              </w:rPr>
            </w:pPr>
            <w:r w:rsidRPr="00F7228F">
              <w:rPr>
                <w:rFonts w:ascii="Arial" w:hAnsi="Arial" w:cs="Arial"/>
              </w:rPr>
              <w:t>-0.018</w:t>
            </w:r>
          </w:p>
          <w:p w14:paraId="17C72CC9" w14:textId="77777777" w:rsidR="00236A5B" w:rsidRPr="00F7228F" w:rsidRDefault="00236A5B" w:rsidP="000B242D">
            <w:pPr>
              <w:spacing w:line="276" w:lineRule="auto"/>
              <w:rPr>
                <w:rFonts w:ascii="Arial" w:hAnsi="Arial" w:cs="Arial"/>
              </w:rPr>
            </w:pPr>
            <w:r w:rsidRPr="00F7228F">
              <w:rPr>
                <w:rFonts w:ascii="Arial" w:hAnsi="Arial" w:cs="Arial"/>
              </w:rPr>
              <w:t>(-0.408 – 0.371)</w:t>
            </w:r>
          </w:p>
        </w:tc>
      </w:tr>
      <w:tr w:rsidR="00236A5B" w:rsidRPr="00F7228F" w14:paraId="23D33163" w14:textId="77777777" w:rsidTr="00CB0BB6">
        <w:tc>
          <w:tcPr>
            <w:tcW w:w="1099" w:type="pct"/>
            <w:vAlign w:val="center"/>
          </w:tcPr>
          <w:p w14:paraId="5EB7E924" w14:textId="77777777" w:rsidR="00236A5B" w:rsidRPr="00F7228F" w:rsidRDefault="00236A5B" w:rsidP="000B242D">
            <w:pPr>
              <w:spacing w:line="276" w:lineRule="auto"/>
              <w:rPr>
                <w:rFonts w:ascii="Arial" w:hAnsi="Arial" w:cs="Arial"/>
              </w:rPr>
            </w:pPr>
          </w:p>
        </w:tc>
        <w:tc>
          <w:tcPr>
            <w:tcW w:w="1258" w:type="pct"/>
          </w:tcPr>
          <w:p w14:paraId="5077F96C"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25A87AEE" w14:textId="77777777" w:rsidR="00236A5B" w:rsidRPr="00F7228F" w:rsidRDefault="00236A5B" w:rsidP="000B242D">
            <w:pPr>
              <w:spacing w:line="276" w:lineRule="auto"/>
              <w:rPr>
                <w:rFonts w:ascii="Arial" w:hAnsi="Arial" w:cs="Arial"/>
              </w:rPr>
            </w:pPr>
            <w:r w:rsidRPr="00F7228F">
              <w:rPr>
                <w:rFonts w:ascii="Arial" w:hAnsi="Arial" w:cs="Arial"/>
              </w:rPr>
              <w:t>0.771</w:t>
            </w:r>
          </w:p>
        </w:tc>
        <w:tc>
          <w:tcPr>
            <w:tcW w:w="1307" w:type="pct"/>
          </w:tcPr>
          <w:p w14:paraId="4B80B601" w14:textId="77777777" w:rsidR="00236A5B" w:rsidRPr="00F7228F" w:rsidRDefault="00236A5B" w:rsidP="000B242D">
            <w:pPr>
              <w:spacing w:line="276" w:lineRule="auto"/>
              <w:rPr>
                <w:rFonts w:ascii="Arial" w:hAnsi="Arial" w:cs="Arial"/>
              </w:rPr>
            </w:pPr>
            <w:r w:rsidRPr="00F7228F">
              <w:rPr>
                <w:rFonts w:ascii="Arial" w:hAnsi="Arial" w:cs="Arial"/>
              </w:rPr>
              <w:t>0.926</w:t>
            </w:r>
          </w:p>
        </w:tc>
      </w:tr>
      <w:tr w:rsidR="00236A5B" w:rsidRPr="00F7228F" w14:paraId="6D0BB311" w14:textId="77777777" w:rsidTr="00CB0BB6">
        <w:tc>
          <w:tcPr>
            <w:tcW w:w="1099" w:type="pct"/>
          </w:tcPr>
          <w:p w14:paraId="781A6174" w14:textId="77777777" w:rsidR="00236A5B" w:rsidRPr="00F7228F" w:rsidRDefault="00236A5B" w:rsidP="000B242D">
            <w:pPr>
              <w:spacing w:line="276" w:lineRule="auto"/>
              <w:rPr>
                <w:rFonts w:ascii="Arial" w:hAnsi="Arial" w:cs="Arial"/>
              </w:rPr>
            </w:pPr>
          </w:p>
        </w:tc>
        <w:tc>
          <w:tcPr>
            <w:tcW w:w="1258" w:type="pct"/>
          </w:tcPr>
          <w:p w14:paraId="27198BB7"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1A11A69A"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231217C" w14:textId="77777777" w:rsidR="00236A5B" w:rsidRPr="00F7228F" w:rsidRDefault="00236A5B" w:rsidP="000B242D">
            <w:pPr>
              <w:spacing w:line="276" w:lineRule="auto"/>
              <w:rPr>
                <w:rFonts w:ascii="Arial" w:hAnsi="Arial" w:cs="Arial"/>
              </w:rPr>
            </w:pPr>
            <w:r w:rsidRPr="00F7228F">
              <w:rPr>
                <w:rFonts w:ascii="Arial" w:hAnsi="Arial" w:cs="Arial"/>
              </w:rPr>
              <w:t>-0.008</w:t>
            </w:r>
          </w:p>
          <w:p w14:paraId="21DE6D16" w14:textId="77777777" w:rsidR="00236A5B" w:rsidRPr="00F7228F" w:rsidRDefault="00236A5B" w:rsidP="000B242D">
            <w:pPr>
              <w:spacing w:line="276" w:lineRule="auto"/>
              <w:rPr>
                <w:rFonts w:ascii="Arial" w:hAnsi="Arial" w:cs="Arial"/>
              </w:rPr>
            </w:pPr>
            <w:r w:rsidRPr="00F7228F">
              <w:rPr>
                <w:rFonts w:ascii="Arial" w:hAnsi="Arial" w:cs="Arial"/>
              </w:rPr>
              <w:t>(-0.109 – 0.093)</w:t>
            </w:r>
          </w:p>
        </w:tc>
      </w:tr>
      <w:tr w:rsidR="00236A5B" w:rsidRPr="00F7228F" w14:paraId="4601BDFA" w14:textId="77777777" w:rsidTr="00CB0BB6">
        <w:tc>
          <w:tcPr>
            <w:tcW w:w="1099" w:type="pct"/>
          </w:tcPr>
          <w:p w14:paraId="74E1775A" w14:textId="77777777" w:rsidR="00236A5B" w:rsidRPr="00F7228F" w:rsidRDefault="00236A5B" w:rsidP="000B242D">
            <w:pPr>
              <w:spacing w:line="276" w:lineRule="auto"/>
              <w:rPr>
                <w:rFonts w:ascii="Arial" w:hAnsi="Arial" w:cs="Arial"/>
              </w:rPr>
            </w:pPr>
          </w:p>
        </w:tc>
        <w:tc>
          <w:tcPr>
            <w:tcW w:w="1258" w:type="pct"/>
          </w:tcPr>
          <w:p w14:paraId="08ACB25B"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64430DD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7B78026B" w14:textId="77777777" w:rsidR="00236A5B" w:rsidRPr="00F7228F" w:rsidRDefault="00236A5B" w:rsidP="000B242D">
            <w:pPr>
              <w:spacing w:line="276" w:lineRule="auto"/>
              <w:rPr>
                <w:rFonts w:ascii="Arial" w:hAnsi="Arial" w:cs="Arial"/>
              </w:rPr>
            </w:pPr>
            <w:r w:rsidRPr="00F7228F">
              <w:rPr>
                <w:rFonts w:ascii="Arial" w:hAnsi="Arial" w:cs="Arial"/>
              </w:rPr>
              <w:t>0.876</w:t>
            </w:r>
          </w:p>
        </w:tc>
      </w:tr>
      <w:tr w:rsidR="00236A5B" w:rsidRPr="00F7228F" w14:paraId="2DA09354" w14:textId="77777777" w:rsidTr="00CB0BB6">
        <w:tc>
          <w:tcPr>
            <w:tcW w:w="1099" w:type="pct"/>
          </w:tcPr>
          <w:p w14:paraId="4BE20A71" w14:textId="77777777" w:rsidR="00236A5B" w:rsidRPr="00F7228F" w:rsidRDefault="00236A5B" w:rsidP="000B242D">
            <w:pPr>
              <w:spacing w:line="276" w:lineRule="auto"/>
              <w:rPr>
                <w:rFonts w:ascii="Arial" w:hAnsi="Arial" w:cs="Arial"/>
              </w:rPr>
            </w:pPr>
          </w:p>
        </w:tc>
        <w:tc>
          <w:tcPr>
            <w:tcW w:w="1258" w:type="pct"/>
          </w:tcPr>
          <w:p w14:paraId="39B77D19"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4F46FF13" w14:textId="77777777" w:rsidR="00236A5B" w:rsidRPr="00F7228F" w:rsidRDefault="00236A5B" w:rsidP="000B242D">
            <w:pPr>
              <w:spacing w:line="276" w:lineRule="auto"/>
              <w:rPr>
                <w:rFonts w:ascii="Arial" w:hAnsi="Arial" w:cs="Arial"/>
              </w:rPr>
            </w:pPr>
            <w:r w:rsidRPr="00F7228F">
              <w:rPr>
                <w:rFonts w:ascii="Arial" w:hAnsi="Arial" w:cs="Arial"/>
              </w:rPr>
              <w:t>0.0070</w:t>
            </w:r>
          </w:p>
        </w:tc>
        <w:tc>
          <w:tcPr>
            <w:tcW w:w="1307" w:type="pct"/>
          </w:tcPr>
          <w:p w14:paraId="71B45151" w14:textId="77777777" w:rsidR="00236A5B" w:rsidRPr="00F7228F" w:rsidRDefault="00236A5B" w:rsidP="000B242D">
            <w:pPr>
              <w:spacing w:line="276" w:lineRule="auto"/>
              <w:rPr>
                <w:rFonts w:ascii="Arial" w:hAnsi="Arial" w:cs="Arial"/>
              </w:rPr>
            </w:pPr>
            <w:r w:rsidRPr="00F7228F">
              <w:rPr>
                <w:rFonts w:ascii="Arial" w:hAnsi="Arial" w:cs="Arial"/>
              </w:rPr>
              <w:t>0.0074</w:t>
            </w:r>
          </w:p>
        </w:tc>
      </w:tr>
      <w:tr w:rsidR="00236A5B" w:rsidRPr="00F7228F" w14:paraId="4786CB00" w14:textId="77777777" w:rsidTr="00CB0BB6">
        <w:tc>
          <w:tcPr>
            <w:tcW w:w="1099" w:type="pct"/>
            <w:vAlign w:val="center"/>
          </w:tcPr>
          <w:p w14:paraId="0440BD95" w14:textId="77777777" w:rsidR="00236A5B" w:rsidRPr="00F7228F" w:rsidRDefault="00236A5B" w:rsidP="000B242D">
            <w:pPr>
              <w:spacing w:line="276" w:lineRule="auto"/>
              <w:rPr>
                <w:rFonts w:ascii="Arial" w:hAnsi="Arial" w:cs="Arial"/>
              </w:rPr>
            </w:pPr>
            <w:r w:rsidRPr="00F7228F">
              <w:rPr>
                <w:rFonts w:ascii="Arial" w:hAnsi="Arial" w:cs="Arial"/>
              </w:rPr>
              <w:t>IL-6</w:t>
            </w:r>
          </w:p>
        </w:tc>
        <w:tc>
          <w:tcPr>
            <w:tcW w:w="1258" w:type="pct"/>
          </w:tcPr>
          <w:p w14:paraId="42B5BC38"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510287EF" w14:textId="77777777" w:rsidR="00236A5B" w:rsidRPr="00F7228F" w:rsidRDefault="00236A5B" w:rsidP="000B242D">
            <w:pPr>
              <w:spacing w:line="276" w:lineRule="auto"/>
              <w:rPr>
                <w:rFonts w:ascii="Arial" w:hAnsi="Arial" w:cs="Arial"/>
              </w:rPr>
            </w:pPr>
            <w:r w:rsidRPr="00F7228F">
              <w:rPr>
                <w:rFonts w:ascii="Arial" w:hAnsi="Arial" w:cs="Arial"/>
              </w:rPr>
              <w:t>0.001</w:t>
            </w:r>
          </w:p>
          <w:p w14:paraId="6925C2A0" w14:textId="77777777" w:rsidR="00236A5B" w:rsidRPr="00F7228F" w:rsidRDefault="00236A5B" w:rsidP="000B242D">
            <w:pPr>
              <w:spacing w:line="276" w:lineRule="auto"/>
              <w:rPr>
                <w:rFonts w:ascii="Arial" w:hAnsi="Arial" w:cs="Arial"/>
              </w:rPr>
            </w:pPr>
            <w:r w:rsidRPr="00F7228F">
              <w:rPr>
                <w:rFonts w:ascii="Arial" w:hAnsi="Arial" w:cs="Arial"/>
              </w:rPr>
              <w:t>(0.000 – 0.001)</w:t>
            </w:r>
          </w:p>
        </w:tc>
        <w:tc>
          <w:tcPr>
            <w:tcW w:w="1307" w:type="pct"/>
          </w:tcPr>
          <w:p w14:paraId="68A8560E" w14:textId="77777777" w:rsidR="00236A5B" w:rsidRPr="00F7228F" w:rsidRDefault="00236A5B" w:rsidP="000B242D">
            <w:pPr>
              <w:spacing w:line="276" w:lineRule="auto"/>
              <w:rPr>
                <w:rFonts w:ascii="Arial" w:hAnsi="Arial" w:cs="Arial"/>
              </w:rPr>
            </w:pPr>
            <w:r w:rsidRPr="00F7228F">
              <w:rPr>
                <w:rFonts w:ascii="Arial" w:hAnsi="Arial" w:cs="Arial"/>
              </w:rPr>
              <w:t>0.000</w:t>
            </w:r>
          </w:p>
          <w:p w14:paraId="1CFA4070" w14:textId="77777777" w:rsidR="00236A5B" w:rsidRPr="00F7228F" w:rsidRDefault="00236A5B" w:rsidP="000B242D">
            <w:pPr>
              <w:spacing w:line="276" w:lineRule="auto"/>
              <w:rPr>
                <w:rFonts w:ascii="Arial" w:hAnsi="Arial" w:cs="Arial"/>
              </w:rPr>
            </w:pPr>
            <w:r w:rsidRPr="00F7228F">
              <w:rPr>
                <w:rFonts w:ascii="Arial" w:hAnsi="Arial" w:cs="Arial"/>
              </w:rPr>
              <w:t>(-0.000 – 0.001)</w:t>
            </w:r>
          </w:p>
        </w:tc>
      </w:tr>
      <w:tr w:rsidR="00236A5B" w:rsidRPr="00F7228F" w14:paraId="14F07F1B" w14:textId="77777777" w:rsidTr="00CB0BB6">
        <w:tc>
          <w:tcPr>
            <w:tcW w:w="1099" w:type="pct"/>
            <w:vAlign w:val="center"/>
          </w:tcPr>
          <w:p w14:paraId="19268F53" w14:textId="77777777" w:rsidR="00236A5B" w:rsidRPr="00F7228F" w:rsidRDefault="00236A5B" w:rsidP="000B242D">
            <w:pPr>
              <w:spacing w:line="276" w:lineRule="auto"/>
              <w:rPr>
                <w:rFonts w:ascii="Arial" w:hAnsi="Arial" w:cs="Arial"/>
              </w:rPr>
            </w:pPr>
          </w:p>
        </w:tc>
        <w:tc>
          <w:tcPr>
            <w:tcW w:w="1258" w:type="pct"/>
          </w:tcPr>
          <w:p w14:paraId="77553233"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1A73C092" w14:textId="77777777" w:rsidR="00236A5B" w:rsidRPr="00F7228F" w:rsidRDefault="00236A5B" w:rsidP="000B242D">
            <w:pPr>
              <w:spacing w:line="276" w:lineRule="auto"/>
              <w:rPr>
                <w:rFonts w:ascii="Arial" w:hAnsi="Arial" w:cs="Arial"/>
              </w:rPr>
            </w:pPr>
            <w:r w:rsidRPr="00F7228F">
              <w:rPr>
                <w:rFonts w:ascii="Arial" w:hAnsi="Arial" w:cs="Arial"/>
              </w:rPr>
              <w:t>0.014</w:t>
            </w:r>
          </w:p>
        </w:tc>
        <w:tc>
          <w:tcPr>
            <w:tcW w:w="1307" w:type="pct"/>
          </w:tcPr>
          <w:p w14:paraId="65AF6632" w14:textId="77777777" w:rsidR="00236A5B" w:rsidRPr="00F7228F" w:rsidRDefault="00236A5B" w:rsidP="000B242D">
            <w:pPr>
              <w:spacing w:line="276" w:lineRule="auto"/>
              <w:rPr>
                <w:rFonts w:ascii="Arial" w:hAnsi="Arial" w:cs="Arial"/>
              </w:rPr>
            </w:pPr>
            <w:r w:rsidRPr="00F7228F">
              <w:rPr>
                <w:rFonts w:ascii="Arial" w:hAnsi="Arial" w:cs="Arial"/>
              </w:rPr>
              <w:t>0.333</w:t>
            </w:r>
          </w:p>
        </w:tc>
      </w:tr>
      <w:tr w:rsidR="00236A5B" w:rsidRPr="00F7228F" w14:paraId="00B5D762" w14:textId="77777777" w:rsidTr="00CB0BB6">
        <w:tc>
          <w:tcPr>
            <w:tcW w:w="1099" w:type="pct"/>
            <w:vAlign w:val="center"/>
          </w:tcPr>
          <w:p w14:paraId="6948FAB5" w14:textId="77777777" w:rsidR="00236A5B" w:rsidRPr="00F7228F" w:rsidRDefault="00236A5B" w:rsidP="000B242D">
            <w:pPr>
              <w:spacing w:line="276" w:lineRule="auto"/>
              <w:rPr>
                <w:rFonts w:ascii="Arial" w:hAnsi="Arial" w:cs="Arial"/>
              </w:rPr>
            </w:pPr>
          </w:p>
        </w:tc>
        <w:tc>
          <w:tcPr>
            <w:tcW w:w="1258" w:type="pct"/>
          </w:tcPr>
          <w:p w14:paraId="2FC6F208"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7E3FF58B" w14:textId="77777777" w:rsidR="00236A5B" w:rsidRPr="00F7228F" w:rsidRDefault="00236A5B" w:rsidP="000B242D">
            <w:pPr>
              <w:spacing w:line="276" w:lineRule="auto"/>
              <w:rPr>
                <w:rFonts w:ascii="Arial" w:hAnsi="Arial" w:cs="Arial"/>
              </w:rPr>
            </w:pPr>
            <w:r w:rsidRPr="00F7228F">
              <w:rPr>
                <w:rFonts w:ascii="Arial" w:hAnsi="Arial" w:cs="Arial"/>
              </w:rPr>
              <w:t>0.762</w:t>
            </w:r>
          </w:p>
          <w:p w14:paraId="76BBD120" w14:textId="77777777" w:rsidR="00236A5B" w:rsidRPr="00F7228F" w:rsidRDefault="00236A5B" w:rsidP="000B242D">
            <w:pPr>
              <w:spacing w:line="276" w:lineRule="auto"/>
              <w:rPr>
                <w:rFonts w:ascii="Arial" w:hAnsi="Arial" w:cs="Arial"/>
              </w:rPr>
            </w:pPr>
            <w:r w:rsidRPr="00F7228F">
              <w:rPr>
                <w:rFonts w:ascii="Arial" w:hAnsi="Arial" w:cs="Arial"/>
              </w:rPr>
              <w:t>(-49.450 – 50.973)</w:t>
            </w:r>
          </w:p>
        </w:tc>
        <w:tc>
          <w:tcPr>
            <w:tcW w:w="1307" w:type="pct"/>
          </w:tcPr>
          <w:p w14:paraId="1E52ADBE" w14:textId="77777777" w:rsidR="00236A5B" w:rsidRPr="00F7228F" w:rsidRDefault="00236A5B" w:rsidP="000B242D">
            <w:pPr>
              <w:spacing w:line="276" w:lineRule="auto"/>
              <w:rPr>
                <w:rFonts w:ascii="Arial" w:hAnsi="Arial" w:cs="Arial"/>
              </w:rPr>
            </w:pPr>
            <w:r w:rsidRPr="00F7228F">
              <w:rPr>
                <w:rFonts w:ascii="Arial" w:hAnsi="Arial" w:cs="Arial"/>
              </w:rPr>
              <w:t>-8.067</w:t>
            </w:r>
          </w:p>
          <w:p w14:paraId="64E001E7" w14:textId="77777777" w:rsidR="00236A5B" w:rsidRPr="00F7228F" w:rsidRDefault="00236A5B" w:rsidP="000B242D">
            <w:pPr>
              <w:spacing w:line="276" w:lineRule="auto"/>
              <w:rPr>
                <w:rFonts w:ascii="Arial" w:hAnsi="Arial" w:cs="Arial"/>
              </w:rPr>
            </w:pPr>
            <w:r w:rsidRPr="00F7228F">
              <w:rPr>
                <w:rFonts w:ascii="Arial" w:hAnsi="Arial" w:cs="Arial"/>
              </w:rPr>
              <w:t>(-89.296 – 73.163)</w:t>
            </w:r>
          </w:p>
        </w:tc>
      </w:tr>
      <w:tr w:rsidR="00236A5B" w:rsidRPr="00F7228F" w14:paraId="39DCD39B" w14:textId="77777777" w:rsidTr="00CB0BB6">
        <w:tc>
          <w:tcPr>
            <w:tcW w:w="1099" w:type="pct"/>
          </w:tcPr>
          <w:p w14:paraId="5B14839F" w14:textId="77777777" w:rsidR="00236A5B" w:rsidRPr="00F7228F" w:rsidRDefault="00236A5B" w:rsidP="000B242D">
            <w:pPr>
              <w:spacing w:line="276" w:lineRule="auto"/>
              <w:rPr>
                <w:rFonts w:ascii="Arial" w:hAnsi="Arial" w:cs="Arial"/>
              </w:rPr>
            </w:pPr>
          </w:p>
        </w:tc>
        <w:tc>
          <w:tcPr>
            <w:tcW w:w="1258" w:type="pct"/>
          </w:tcPr>
          <w:p w14:paraId="3D0A4D5E"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4F46F5F3" w14:textId="77777777" w:rsidR="00236A5B" w:rsidRPr="00F7228F" w:rsidRDefault="00236A5B" w:rsidP="000B242D">
            <w:pPr>
              <w:spacing w:line="276" w:lineRule="auto"/>
              <w:rPr>
                <w:rFonts w:ascii="Arial" w:hAnsi="Arial" w:cs="Arial"/>
              </w:rPr>
            </w:pPr>
            <w:r w:rsidRPr="00F7228F">
              <w:rPr>
                <w:rFonts w:ascii="Arial" w:hAnsi="Arial" w:cs="Arial"/>
              </w:rPr>
              <w:t>0.976</w:t>
            </w:r>
          </w:p>
        </w:tc>
        <w:tc>
          <w:tcPr>
            <w:tcW w:w="1307" w:type="pct"/>
          </w:tcPr>
          <w:p w14:paraId="70564D35" w14:textId="77777777" w:rsidR="00236A5B" w:rsidRPr="00F7228F" w:rsidRDefault="00236A5B" w:rsidP="000B242D">
            <w:pPr>
              <w:spacing w:line="276" w:lineRule="auto"/>
              <w:rPr>
                <w:rFonts w:ascii="Arial" w:hAnsi="Arial" w:cs="Arial"/>
              </w:rPr>
            </w:pPr>
            <w:r w:rsidRPr="00F7228F">
              <w:rPr>
                <w:rFonts w:ascii="Arial" w:hAnsi="Arial" w:cs="Arial"/>
              </w:rPr>
              <w:t>0.844</w:t>
            </w:r>
          </w:p>
        </w:tc>
      </w:tr>
      <w:tr w:rsidR="00236A5B" w:rsidRPr="00F7228F" w14:paraId="48C19460" w14:textId="77777777" w:rsidTr="00CB0BB6">
        <w:tc>
          <w:tcPr>
            <w:tcW w:w="1099" w:type="pct"/>
          </w:tcPr>
          <w:p w14:paraId="67AEA3C5" w14:textId="77777777" w:rsidR="00236A5B" w:rsidRPr="00F7228F" w:rsidRDefault="00236A5B" w:rsidP="000B242D">
            <w:pPr>
              <w:spacing w:line="276" w:lineRule="auto"/>
              <w:rPr>
                <w:rFonts w:ascii="Arial" w:hAnsi="Arial" w:cs="Arial"/>
              </w:rPr>
            </w:pPr>
          </w:p>
        </w:tc>
        <w:tc>
          <w:tcPr>
            <w:tcW w:w="1258" w:type="pct"/>
          </w:tcPr>
          <w:p w14:paraId="31CD9AD4"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37B97DD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621CD414" w14:textId="77777777" w:rsidR="00236A5B" w:rsidRPr="00F7228F" w:rsidRDefault="00236A5B" w:rsidP="000B242D">
            <w:pPr>
              <w:spacing w:line="276" w:lineRule="auto"/>
              <w:rPr>
                <w:rFonts w:ascii="Arial" w:hAnsi="Arial" w:cs="Arial"/>
              </w:rPr>
            </w:pPr>
            <w:r w:rsidRPr="00F7228F">
              <w:rPr>
                <w:rFonts w:ascii="Arial" w:hAnsi="Arial" w:cs="Arial"/>
              </w:rPr>
              <w:t>0.006</w:t>
            </w:r>
          </w:p>
          <w:p w14:paraId="0700E799" w14:textId="77777777" w:rsidR="00236A5B" w:rsidRPr="00F7228F" w:rsidRDefault="00236A5B" w:rsidP="000B242D">
            <w:pPr>
              <w:spacing w:line="276" w:lineRule="auto"/>
              <w:rPr>
                <w:rFonts w:ascii="Arial" w:hAnsi="Arial" w:cs="Arial"/>
              </w:rPr>
            </w:pPr>
            <w:r w:rsidRPr="00F7228F">
              <w:rPr>
                <w:rFonts w:ascii="Arial" w:hAnsi="Arial" w:cs="Arial"/>
              </w:rPr>
              <w:t>(-0.039 – 0.051)</w:t>
            </w:r>
          </w:p>
        </w:tc>
      </w:tr>
      <w:tr w:rsidR="00236A5B" w:rsidRPr="00F7228F" w14:paraId="40F18561" w14:textId="77777777" w:rsidTr="00CB0BB6">
        <w:tc>
          <w:tcPr>
            <w:tcW w:w="1099" w:type="pct"/>
          </w:tcPr>
          <w:p w14:paraId="4565FEC4" w14:textId="77777777" w:rsidR="00236A5B" w:rsidRPr="00F7228F" w:rsidRDefault="00236A5B" w:rsidP="000B242D">
            <w:pPr>
              <w:spacing w:line="276" w:lineRule="auto"/>
              <w:rPr>
                <w:rFonts w:ascii="Arial" w:hAnsi="Arial" w:cs="Arial"/>
              </w:rPr>
            </w:pPr>
          </w:p>
        </w:tc>
        <w:tc>
          <w:tcPr>
            <w:tcW w:w="1258" w:type="pct"/>
          </w:tcPr>
          <w:p w14:paraId="74EB8183"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09D47667"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6CF11FA" w14:textId="77777777" w:rsidR="00236A5B" w:rsidRPr="00F7228F" w:rsidRDefault="00236A5B" w:rsidP="000B242D">
            <w:pPr>
              <w:spacing w:line="276" w:lineRule="auto"/>
              <w:rPr>
                <w:rFonts w:ascii="Arial" w:hAnsi="Arial" w:cs="Arial"/>
              </w:rPr>
            </w:pPr>
            <w:r w:rsidRPr="00F7228F">
              <w:rPr>
                <w:rFonts w:ascii="Arial" w:hAnsi="Arial" w:cs="Arial"/>
              </w:rPr>
              <w:t>0.783</w:t>
            </w:r>
          </w:p>
        </w:tc>
      </w:tr>
      <w:tr w:rsidR="00236A5B" w:rsidRPr="00F7228F" w14:paraId="483851D3" w14:textId="77777777" w:rsidTr="00CB0BB6">
        <w:tc>
          <w:tcPr>
            <w:tcW w:w="1099" w:type="pct"/>
          </w:tcPr>
          <w:p w14:paraId="0C96A0C0" w14:textId="77777777" w:rsidR="00236A5B" w:rsidRPr="00F7228F" w:rsidRDefault="00236A5B" w:rsidP="000B242D">
            <w:pPr>
              <w:spacing w:line="276" w:lineRule="auto"/>
              <w:rPr>
                <w:rFonts w:ascii="Arial" w:hAnsi="Arial" w:cs="Arial"/>
              </w:rPr>
            </w:pPr>
          </w:p>
        </w:tc>
        <w:tc>
          <w:tcPr>
            <w:tcW w:w="1258" w:type="pct"/>
          </w:tcPr>
          <w:p w14:paraId="09A1964F"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170FFCCA" w14:textId="77777777" w:rsidR="00236A5B" w:rsidRPr="00F7228F" w:rsidRDefault="00236A5B" w:rsidP="000B242D">
            <w:pPr>
              <w:spacing w:line="276" w:lineRule="auto"/>
              <w:rPr>
                <w:rFonts w:ascii="Arial" w:hAnsi="Arial" w:cs="Arial"/>
              </w:rPr>
            </w:pPr>
            <w:r w:rsidRPr="00F7228F">
              <w:rPr>
                <w:rFonts w:ascii="Arial" w:hAnsi="Arial" w:cs="Arial"/>
              </w:rPr>
              <w:t>0.0785</w:t>
            </w:r>
          </w:p>
        </w:tc>
        <w:tc>
          <w:tcPr>
            <w:tcW w:w="1307" w:type="pct"/>
          </w:tcPr>
          <w:p w14:paraId="5B618BAD" w14:textId="77777777" w:rsidR="00236A5B" w:rsidRPr="00F7228F" w:rsidRDefault="00236A5B" w:rsidP="000B242D">
            <w:pPr>
              <w:spacing w:line="276" w:lineRule="auto"/>
              <w:rPr>
                <w:rFonts w:ascii="Arial" w:hAnsi="Arial" w:cs="Arial"/>
              </w:rPr>
            </w:pPr>
            <w:r w:rsidRPr="00F7228F">
              <w:rPr>
                <w:rFonts w:ascii="Arial" w:hAnsi="Arial" w:cs="Arial"/>
              </w:rPr>
              <w:t>0.0795</w:t>
            </w:r>
          </w:p>
        </w:tc>
      </w:tr>
      <w:tr w:rsidR="00236A5B" w:rsidRPr="00F7228F" w14:paraId="1A43EC3A" w14:textId="77777777" w:rsidTr="00CB0BB6">
        <w:tc>
          <w:tcPr>
            <w:tcW w:w="1099" w:type="pct"/>
            <w:vAlign w:val="center"/>
          </w:tcPr>
          <w:p w14:paraId="33A7EDA9" w14:textId="77777777" w:rsidR="00236A5B" w:rsidRPr="00F7228F" w:rsidRDefault="00236A5B" w:rsidP="000B242D">
            <w:pPr>
              <w:spacing w:line="276" w:lineRule="auto"/>
              <w:rPr>
                <w:rFonts w:ascii="Arial" w:hAnsi="Arial" w:cs="Arial"/>
              </w:rPr>
            </w:pPr>
            <w:r w:rsidRPr="00F7228F">
              <w:rPr>
                <w:rFonts w:ascii="Arial" w:hAnsi="Arial" w:cs="Arial"/>
              </w:rPr>
              <w:lastRenderedPageBreak/>
              <w:t>IL-8</w:t>
            </w:r>
          </w:p>
        </w:tc>
        <w:tc>
          <w:tcPr>
            <w:tcW w:w="1258" w:type="pct"/>
          </w:tcPr>
          <w:p w14:paraId="4C553659"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7C12D8E2" w14:textId="77777777" w:rsidR="00236A5B" w:rsidRPr="00F7228F" w:rsidRDefault="00236A5B" w:rsidP="000B242D">
            <w:pPr>
              <w:spacing w:line="276" w:lineRule="auto"/>
              <w:rPr>
                <w:rFonts w:ascii="Arial" w:hAnsi="Arial" w:cs="Arial"/>
              </w:rPr>
            </w:pPr>
            <w:r w:rsidRPr="00F7228F">
              <w:rPr>
                <w:rFonts w:ascii="Arial" w:hAnsi="Arial" w:cs="Arial"/>
              </w:rPr>
              <w:t>0.002</w:t>
            </w:r>
          </w:p>
          <w:p w14:paraId="7A174D29" w14:textId="77777777" w:rsidR="00236A5B" w:rsidRPr="00F7228F" w:rsidRDefault="00236A5B" w:rsidP="000B242D">
            <w:pPr>
              <w:spacing w:line="276" w:lineRule="auto"/>
              <w:rPr>
                <w:rFonts w:ascii="Arial" w:hAnsi="Arial" w:cs="Arial"/>
              </w:rPr>
            </w:pPr>
            <w:r w:rsidRPr="00F7228F">
              <w:rPr>
                <w:rFonts w:ascii="Arial" w:hAnsi="Arial" w:cs="Arial"/>
              </w:rPr>
              <w:t>(0.000 – 0.004)</w:t>
            </w:r>
          </w:p>
        </w:tc>
        <w:tc>
          <w:tcPr>
            <w:tcW w:w="1307" w:type="pct"/>
          </w:tcPr>
          <w:p w14:paraId="6AF80FDC" w14:textId="77777777" w:rsidR="00236A5B" w:rsidRPr="00F7228F" w:rsidRDefault="00236A5B" w:rsidP="000B242D">
            <w:pPr>
              <w:spacing w:line="276" w:lineRule="auto"/>
              <w:rPr>
                <w:rFonts w:ascii="Arial" w:hAnsi="Arial" w:cs="Arial"/>
              </w:rPr>
            </w:pPr>
            <w:r w:rsidRPr="00F7228F">
              <w:rPr>
                <w:rFonts w:ascii="Arial" w:hAnsi="Arial" w:cs="Arial"/>
              </w:rPr>
              <w:t>0.002</w:t>
            </w:r>
          </w:p>
          <w:p w14:paraId="49854F67" w14:textId="77777777" w:rsidR="00236A5B" w:rsidRPr="00F7228F" w:rsidRDefault="00236A5B" w:rsidP="000B242D">
            <w:pPr>
              <w:spacing w:line="276" w:lineRule="auto"/>
              <w:rPr>
                <w:rFonts w:ascii="Arial" w:hAnsi="Arial" w:cs="Arial"/>
              </w:rPr>
            </w:pPr>
            <w:r w:rsidRPr="00F7228F">
              <w:rPr>
                <w:rFonts w:ascii="Arial" w:hAnsi="Arial" w:cs="Arial"/>
              </w:rPr>
              <w:t>(0.000 – 0.005)</w:t>
            </w:r>
          </w:p>
        </w:tc>
      </w:tr>
      <w:tr w:rsidR="00236A5B" w:rsidRPr="00F7228F" w14:paraId="4CF2C7DE" w14:textId="77777777" w:rsidTr="00CB0BB6">
        <w:tc>
          <w:tcPr>
            <w:tcW w:w="1099" w:type="pct"/>
            <w:vAlign w:val="center"/>
          </w:tcPr>
          <w:p w14:paraId="3ACA1D53" w14:textId="77777777" w:rsidR="00236A5B" w:rsidRPr="00F7228F" w:rsidRDefault="00236A5B" w:rsidP="000B242D">
            <w:pPr>
              <w:spacing w:line="276" w:lineRule="auto"/>
              <w:rPr>
                <w:rFonts w:ascii="Arial" w:hAnsi="Arial" w:cs="Arial"/>
              </w:rPr>
            </w:pPr>
          </w:p>
        </w:tc>
        <w:tc>
          <w:tcPr>
            <w:tcW w:w="1258" w:type="pct"/>
          </w:tcPr>
          <w:p w14:paraId="76D3D217"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372FAD80" w14:textId="77777777" w:rsidR="00236A5B" w:rsidRPr="00F7228F" w:rsidRDefault="00236A5B" w:rsidP="000B242D">
            <w:pPr>
              <w:spacing w:line="276" w:lineRule="auto"/>
              <w:rPr>
                <w:rFonts w:ascii="Arial" w:hAnsi="Arial" w:cs="Arial"/>
              </w:rPr>
            </w:pPr>
            <w:r w:rsidRPr="00F7228F">
              <w:rPr>
                <w:rFonts w:ascii="Arial" w:hAnsi="Arial" w:cs="Arial"/>
              </w:rPr>
              <w:t>0.030</w:t>
            </w:r>
          </w:p>
        </w:tc>
        <w:tc>
          <w:tcPr>
            <w:tcW w:w="1307" w:type="pct"/>
          </w:tcPr>
          <w:p w14:paraId="3B1FC5C4" w14:textId="77777777" w:rsidR="00236A5B" w:rsidRPr="00F7228F" w:rsidRDefault="00236A5B" w:rsidP="000B242D">
            <w:pPr>
              <w:spacing w:line="276" w:lineRule="auto"/>
              <w:rPr>
                <w:rFonts w:ascii="Arial" w:hAnsi="Arial" w:cs="Arial"/>
              </w:rPr>
            </w:pPr>
            <w:r w:rsidRPr="00F7228F">
              <w:rPr>
                <w:rFonts w:ascii="Arial" w:hAnsi="Arial" w:cs="Arial"/>
              </w:rPr>
              <w:t>0.040</w:t>
            </w:r>
          </w:p>
        </w:tc>
      </w:tr>
      <w:tr w:rsidR="00236A5B" w:rsidRPr="00F7228F" w14:paraId="6139DEBD" w14:textId="77777777" w:rsidTr="00CB0BB6">
        <w:tc>
          <w:tcPr>
            <w:tcW w:w="1099" w:type="pct"/>
          </w:tcPr>
          <w:p w14:paraId="18EA7D6C" w14:textId="77777777" w:rsidR="00236A5B" w:rsidRPr="00F7228F" w:rsidRDefault="00236A5B" w:rsidP="000B242D">
            <w:pPr>
              <w:spacing w:line="276" w:lineRule="auto"/>
              <w:rPr>
                <w:rFonts w:ascii="Arial" w:hAnsi="Arial" w:cs="Arial"/>
              </w:rPr>
            </w:pPr>
          </w:p>
        </w:tc>
        <w:tc>
          <w:tcPr>
            <w:tcW w:w="1258" w:type="pct"/>
          </w:tcPr>
          <w:p w14:paraId="76DA4FAE"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302FAFF0" w14:textId="77777777" w:rsidR="00236A5B" w:rsidRPr="00F7228F" w:rsidRDefault="00236A5B" w:rsidP="000B242D">
            <w:pPr>
              <w:spacing w:line="276" w:lineRule="auto"/>
              <w:rPr>
                <w:rFonts w:ascii="Arial" w:hAnsi="Arial" w:cs="Arial"/>
              </w:rPr>
            </w:pPr>
            <w:r w:rsidRPr="00F7228F">
              <w:rPr>
                <w:rFonts w:ascii="Arial" w:hAnsi="Arial" w:cs="Arial"/>
              </w:rPr>
              <w:t>17.274</w:t>
            </w:r>
          </w:p>
          <w:p w14:paraId="307D490E" w14:textId="77777777" w:rsidR="00236A5B" w:rsidRPr="00F7228F" w:rsidRDefault="00236A5B" w:rsidP="000B242D">
            <w:pPr>
              <w:spacing w:line="276" w:lineRule="auto"/>
              <w:rPr>
                <w:rFonts w:ascii="Arial" w:hAnsi="Arial" w:cs="Arial"/>
              </w:rPr>
            </w:pPr>
            <w:r w:rsidRPr="00F7228F">
              <w:rPr>
                <w:rFonts w:ascii="Arial" w:hAnsi="Arial" w:cs="Arial"/>
              </w:rPr>
              <w:t>(-107.071 – 141.619)</w:t>
            </w:r>
          </w:p>
        </w:tc>
        <w:tc>
          <w:tcPr>
            <w:tcW w:w="1307" w:type="pct"/>
          </w:tcPr>
          <w:p w14:paraId="516860C5" w14:textId="77777777" w:rsidR="00236A5B" w:rsidRPr="00F7228F" w:rsidRDefault="00236A5B" w:rsidP="000B242D">
            <w:pPr>
              <w:spacing w:line="276" w:lineRule="auto"/>
              <w:rPr>
                <w:rFonts w:ascii="Arial" w:hAnsi="Arial" w:cs="Arial"/>
              </w:rPr>
            </w:pPr>
            <w:r w:rsidRPr="00F7228F">
              <w:rPr>
                <w:rFonts w:ascii="Arial" w:hAnsi="Arial" w:cs="Arial"/>
              </w:rPr>
              <w:t>78.625</w:t>
            </w:r>
          </w:p>
          <w:p w14:paraId="2C5558BC" w14:textId="77777777" w:rsidR="00236A5B" w:rsidRPr="00F7228F" w:rsidRDefault="00236A5B" w:rsidP="000B242D">
            <w:pPr>
              <w:spacing w:line="276" w:lineRule="auto"/>
              <w:rPr>
                <w:rFonts w:ascii="Arial" w:hAnsi="Arial" w:cs="Arial"/>
              </w:rPr>
            </w:pPr>
            <w:r w:rsidRPr="00F7228F">
              <w:rPr>
                <w:rFonts w:ascii="Arial" w:hAnsi="Arial" w:cs="Arial"/>
              </w:rPr>
              <w:t>(-477.870 – 635.121)</w:t>
            </w:r>
          </w:p>
        </w:tc>
      </w:tr>
      <w:tr w:rsidR="00236A5B" w:rsidRPr="00F7228F" w14:paraId="16186D9C" w14:textId="77777777" w:rsidTr="00CB0BB6">
        <w:tc>
          <w:tcPr>
            <w:tcW w:w="1099" w:type="pct"/>
          </w:tcPr>
          <w:p w14:paraId="0422EC94" w14:textId="77777777" w:rsidR="00236A5B" w:rsidRPr="00F7228F" w:rsidRDefault="00236A5B" w:rsidP="000B242D">
            <w:pPr>
              <w:spacing w:line="276" w:lineRule="auto"/>
              <w:rPr>
                <w:rFonts w:ascii="Arial" w:hAnsi="Arial" w:cs="Arial"/>
              </w:rPr>
            </w:pPr>
          </w:p>
        </w:tc>
        <w:tc>
          <w:tcPr>
            <w:tcW w:w="1258" w:type="pct"/>
          </w:tcPr>
          <w:p w14:paraId="4ADA9D2B"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3FCC4553" w14:textId="77777777" w:rsidR="00236A5B" w:rsidRPr="00F7228F" w:rsidRDefault="00236A5B" w:rsidP="000B242D">
            <w:pPr>
              <w:spacing w:line="276" w:lineRule="auto"/>
              <w:rPr>
                <w:rFonts w:ascii="Arial" w:hAnsi="Arial" w:cs="Arial"/>
              </w:rPr>
            </w:pPr>
            <w:r w:rsidRPr="00F7228F">
              <w:rPr>
                <w:rFonts w:ascii="Arial" w:hAnsi="Arial" w:cs="Arial"/>
              </w:rPr>
              <w:t>0.783</w:t>
            </w:r>
          </w:p>
        </w:tc>
        <w:tc>
          <w:tcPr>
            <w:tcW w:w="1307" w:type="pct"/>
          </w:tcPr>
          <w:p w14:paraId="1A8C5EAA" w14:textId="77777777" w:rsidR="00236A5B" w:rsidRPr="00F7228F" w:rsidRDefault="00236A5B" w:rsidP="000B242D">
            <w:pPr>
              <w:spacing w:line="276" w:lineRule="auto"/>
              <w:rPr>
                <w:rFonts w:ascii="Arial" w:hAnsi="Arial" w:cs="Arial"/>
              </w:rPr>
            </w:pPr>
            <w:r w:rsidRPr="00F7228F">
              <w:rPr>
                <w:rFonts w:ascii="Arial" w:hAnsi="Arial" w:cs="Arial"/>
              </w:rPr>
              <w:t>0.779</w:t>
            </w:r>
          </w:p>
        </w:tc>
      </w:tr>
      <w:tr w:rsidR="00236A5B" w:rsidRPr="00F7228F" w14:paraId="62881F79" w14:textId="77777777" w:rsidTr="00CB0BB6">
        <w:tc>
          <w:tcPr>
            <w:tcW w:w="1099" w:type="pct"/>
          </w:tcPr>
          <w:p w14:paraId="4231C8F2" w14:textId="77777777" w:rsidR="00236A5B" w:rsidRPr="00F7228F" w:rsidRDefault="00236A5B" w:rsidP="000B242D">
            <w:pPr>
              <w:spacing w:line="276" w:lineRule="auto"/>
              <w:rPr>
                <w:rFonts w:ascii="Arial" w:hAnsi="Arial" w:cs="Arial"/>
              </w:rPr>
            </w:pPr>
          </w:p>
        </w:tc>
        <w:tc>
          <w:tcPr>
            <w:tcW w:w="1258" w:type="pct"/>
          </w:tcPr>
          <w:p w14:paraId="0AF6CC80"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39100326"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6558892" w14:textId="77777777" w:rsidR="00236A5B" w:rsidRPr="00F7228F" w:rsidRDefault="00236A5B" w:rsidP="000B242D">
            <w:pPr>
              <w:spacing w:line="276" w:lineRule="auto"/>
              <w:rPr>
                <w:rFonts w:ascii="Arial" w:hAnsi="Arial" w:cs="Arial"/>
              </w:rPr>
            </w:pPr>
            <w:r w:rsidRPr="00F7228F">
              <w:rPr>
                <w:rFonts w:ascii="Arial" w:hAnsi="Arial" w:cs="Arial"/>
              </w:rPr>
              <w:t xml:space="preserve">-0.010 </w:t>
            </w:r>
          </w:p>
          <w:p w14:paraId="0A65129F" w14:textId="77777777" w:rsidR="00236A5B" w:rsidRPr="00F7228F" w:rsidRDefault="00236A5B" w:rsidP="000B242D">
            <w:pPr>
              <w:spacing w:line="276" w:lineRule="auto"/>
              <w:rPr>
                <w:rFonts w:ascii="Arial" w:hAnsi="Arial" w:cs="Arial"/>
              </w:rPr>
            </w:pPr>
            <w:r w:rsidRPr="00F7228F">
              <w:rPr>
                <w:rFonts w:ascii="Arial" w:hAnsi="Arial" w:cs="Arial"/>
              </w:rPr>
              <w:t>(-0.099 – 0.079)</w:t>
            </w:r>
          </w:p>
        </w:tc>
      </w:tr>
      <w:tr w:rsidR="00236A5B" w:rsidRPr="00F7228F" w14:paraId="72585EB3" w14:textId="77777777" w:rsidTr="00CB0BB6">
        <w:tc>
          <w:tcPr>
            <w:tcW w:w="1099" w:type="pct"/>
          </w:tcPr>
          <w:p w14:paraId="1B2C4A43" w14:textId="77777777" w:rsidR="00236A5B" w:rsidRPr="00F7228F" w:rsidRDefault="00236A5B" w:rsidP="000B242D">
            <w:pPr>
              <w:spacing w:line="276" w:lineRule="auto"/>
              <w:rPr>
                <w:rFonts w:ascii="Arial" w:hAnsi="Arial" w:cs="Arial"/>
              </w:rPr>
            </w:pPr>
          </w:p>
        </w:tc>
        <w:tc>
          <w:tcPr>
            <w:tcW w:w="1258" w:type="pct"/>
          </w:tcPr>
          <w:p w14:paraId="0D29B5FF"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1437C052"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9D9C49C" w14:textId="77777777" w:rsidR="00236A5B" w:rsidRPr="00F7228F" w:rsidRDefault="00236A5B" w:rsidP="000B242D">
            <w:pPr>
              <w:spacing w:line="276" w:lineRule="auto"/>
              <w:rPr>
                <w:rFonts w:ascii="Arial" w:hAnsi="Arial" w:cs="Arial"/>
              </w:rPr>
            </w:pPr>
            <w:r w:rsidRPr="00F7228F">
              <w:rPr>
                <w:rFonts w:ascii="Arial" w:hAnsi="Arial" w:cs="Arial"/>
              </w:rPr>
              <w:t>0.822</w:t>
            </w:r>
          </w:p>
        </w:tc>
      </w:tr>
      <w:tr w:rsidR="00236A5B" w:rsidRPr="00F7228F" w14:paraId="616FA339" w14:textId="77777777" w:rsidTr="00CB0BB6">
        <w:tc>
          <w:tcPr>
            <w:tcW w:w="1099" w:type="pct"/>
          </w:tcPr>
          <w:p w14:paraId="4335E48D" w14:textId="77777777" w:rsidR="00236A5B" w:rsidRPr="00F7228F" w:rsidRDefault="00236A5B" w:rsidP="000B242D">
            <w:pPr>
              <w:spacing w:line="276" w:lineRule="auto"/>
              <w:rPr>
                <w:rFonts w:ascii="Arial" w:hAnsi="Arial" w:cs="Arial"/>
              </w:rPr>
            </w:pPr>
          </w:p>
        </w:tc>
        <w:tc>
          <w:tcPr>
            <w:tcW w:w="1258" w:type="pct"/>
          </w:tcPr>
          <w:p w14:paraId="058DC1E1"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2A53813F" w14:textId="77777777" w:rsidR="00236A5B" w:rsidRPr="00F7228F" w:rsidRDefault="00236A5B" w:rsidP="000B242D">
            <w:pPr>
              <w:spacing w:line="276" w:lineRule="auto"/>
              <w:rPr>
                <w:rFonts w:ascii="Arial" w:hAnsi="Arial" w:cs="Arial"/>
              </w:rPr>
            </w:pPr>
            <w:r w:rsidRPr="00F7228F">
              <w:rPr>
                <w:rFonts w:ascii="Arial" w:hAnsi="Arial" w:cs="Arial"/>
              </w:rPr>
              <w:t>0.0740</w:t>
            </w:r>
          </w:p>
        </w:tc>
        <w:tc>
          <w:tcPr>
            <w:tcW w:w="1307" w:type="pct"/>
          </w:tcPr>
          <w:p w14:paraId="609223AE" w14:textId="77777777" w:rsidR="00236A5B" w:rsidRPr="00F7228F" w:rsidRDefault="00236A5B" w:rsidP="000B242D">
            <w:pPr>
              <w:spacing w:line="276" w:lineRule="auto"/>
              <w:rPr>
                <w:rFonts w:ascii="Arial" w:hAnsi="Arial" w:cs="Arial"/>
              </w:rPr>
            </w:pPr>
            <w:r w:rsidRPr="00F7228F">
              <w:rPr>
                <w:rFonts w:ascii="Arial" w:hAnsi="Arial" w:cs="Arial"/>
              </w:rPr>
              <w:t>0.0746</w:t>
            </w:r>
          </w:p>
        </w:tc>
      </w:tr>
      <w:tr w:rsidR="00236A5B" w:rsidRPr="00F7228F" w14:paraId="2D8C3752" w14:textId="77777777" w:rsidTr="00CB0BB6">
        <w:tc>
          <w:tcPr>
            <w:tcW w:w="1099" w:type="pct"/>
            <w:vAlign w:val="center"/>
          </w:tcPr>
          <w:p w14:paraId="12D5B9D2" w14:textId="77777777" w:rsidR="00236A5B" w:rsidRPr="00F7228F" w:rsidRDefault="00236A5B" w:rsidP="000B242D">
            <w:pPr>
              <w:spacing w:line="276" w:lineRule="auto"/>
              <w:rPr>
                <w:rFonts w:ascii="Arial" w:hAnsi="Arial" w:cs="Arial"/>
              </w:rPr>
            </w:pPr>
            <w:r w:rsidRPr="00F7228F">
              <w:rPr>
                <w:rFonts w:ascii="Arial" w:hAnsi="Arial" w:cs="Arial"/>
              </w:rPr>
              <w:t>IL-10</w:t>
            </w:r>
          </w:p>
        </w:tc>
        <w:tc>
          <w:tcPr>
            <w:tcW w:w="1258" w:type="pct"/>
          </w:tcPr>
          <w:p w14:paraId="2C466749"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23F525A0" w14:textId="77777777" w:rsidR="00236A5B" w:rsidRPr="00F7228F" w:rsidRDefault="00236A5B" w:rsidP="000B242D">
            <w:pPr>
              <w:spacing w:line="276" w:lineRule="auto"/>
              <w:rPr>
                <w:rFonts w:ascii="Arial" w:hAnsi="Arial" w:cs="Arial"/>
              </w:rPr>
            </w:pPr>
            <w:r w:rsidRPr="00F7228F">
              <w:rPr>
                <w:rFonts w:ascii="Arial" w:hAnsi="Arial" w:cs="Arial"/>
              </w:rPr>
              <w:t>-0.002</w:t>
            </w:r>
          </w:p>
          <w:p w14:paraId="0EB13741" w14:textId="77777777" w:rsidR="00236A5B" w:rsidRPr="00F7228F" w:rsidRDefault="00236A5B" w:rsidP="000B242D">
            <w:pPr>
              <w:spacing w:line="276" w:lineRule="auto"/>
              <w:rPr>
                <w:rFonts w:ascii="Arial" w:hAnsi="Arial" w:cs="Arial"/>
              </w:rPr>
            </w:pPr>
            <w:r w:rsidRPr="00F7228F">
              <w:rPr>
                <w:rFonts w:ascii="Arial" w:hAnsi="Arial" w:cs="Arial"/>
              </w:rPr>
              <w:t>(-0.056 – 0.052)</w:t>
            </w:r>
          </w:p>
        </w:tc>
        <w:tc>
          <w:tcPr>
            <w:tcW w:w="1307" w:type="pct"/>
          </w:tcPr>
          <w:p w14:paraId="3FA18112" w14:textId="77777777" w:rsidR="00236A5B" w:rsidRPr="00F7228F" w:rsidRDefault="00236A5B" w:rsidP="000B242D">
            <w:pPr>
              <w:spacing w:line="276" w:lineRule="auto"/>
              <w:rPr>
                <w:rFonts w:ascii="Arial" w:hAnsi="Arial" w:cs="Arial"/>
              </w:rPr>
            </w:pPr>
            <w:r w:rsidRPr="00F7228F">
              <w:rPr>
                <w:rFonts w:ascii="Arial" w:hAnsi="Arial" w:cs="Arial"/>
              </w:rPr>
              <w:t>0.052</w:t>
            </w:r>
          </w:p>
          <w:p w14:paraId="31E15BD1" w14:textId="77777777" w:rsidR="00236A5B" w:rsidRPr="00F7228F" w:rsidRDefault="00236A5B" w:rsidP="000B242D">
            <w:pPr>
              <w:spacing w:line="276" w:lineRule="auto"/>
              <w:rPr>
                <w:rFonts w:ascii="Arial" w:hAnsi="Arial" w:cs="Arial"/>
              </w:rPr>
            </w:pPr>
            <w:r w:rsidRPr="00F7228F">
              <w:rPr>
                <w:rFonts w:ascii="Arial" w:hAnsi="Arial" w:cs="Arial"/>
              </w:rPr>
              <w:t>(-0.326 – 0.431)</w:t>
            </w:r>
          </w:p>
        </w:tc>
      </w:tr>
      <w:tr w:rsidR="00236A5B" w:rsidRPr="00F7228F" w14:paraId="24779086" w14:textId="77777777" w:rsidTr="00CB0BB6">
        <w:tc>
          <w:tcPr>
            <w:tcW w:w="1099" w:type="pct"/>
            <w:vAlign w:val="center"/>
          </w:tcPr>
          <w:p w14:paraId="773308D2" w14:textId="77777777" w:rsidR="00236A5B" w:rsidRPr="00F7228F" w:rsidRDefault="00236A5B" w:rsidP="000B242D">
            <w:pPr>
              <w:spacing w:line="276" w:lineRule="auto"/>
              <w:rPr>
                <w:rFonts w:ascii="Arial" w:hAnsi="Arial" w:cs="Arial"/>
              </w:rPr>
            </w:pPr>
          </w:p>
        </w:tc>
        <w:tc>
          <w:tcPr>
            <w:tcW w:w="1258" w:type="pct"/>
          </w:tcPr>
          <w:p w14:paraId="7BE65DCA"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4FA9182D" w14:textId="77777777" w:rsidR="00236A5B" w:rsidRPr="00F7228F" w:rsidRDefault="00236A5B" w:rsidP="000B242D">
            <w:pPr>
              <w:spacing w:line="276" w:lineRule="auto"/>
              <w:rPr>
                <w:rFonts w:ascii="Arial" w:hAnsi="Arial" w:cs="Arial"/>
              </w:rPr>
            </w:pPr>
            <w:r w:rsidRPr="00F7228F">
              <w:rPr>
                <w:rFonts w:ascii="Arial" w:hAnsi="Arial" w:cs="Arial"/>
              </w:rPr>
              <w:t>0.944</w:t>
            </w:r>
          </w:p>
        </w:tc>
        <w:tc>
          <w:tcPr>
            <w:tcW w:w="1307" w:type="pct"/>
          </w:tcPr>
          <w:p w14:paraId="251151B0" w14:textId="77777777" w:rsidR="00236A5B" w:rsidRPr="00F7228F" w:rsidRDefault="00236A5B" w:rsidP="000B242D">
            <w:pPr>
              <w:spacing w:line="276" w:lineRule="auto"/>
              <w:rPr>
                <w:rFonts w:ascii="Arial" w:hAnsi="Arial" w:cs="Arial"/>
              </w:rPr>
            </w:pPr>
            <w:r w:rsidRPr="00F7228F">
              <w:rPr>
                <w:rFonts w:ascii="Arial" w:hAnsi="Arial" w:cs="Arial"/>
              </w:rPr>
              <w:t>0.785</w:t>
            </w:r>
          </w:p>
        </w:tc>
      </w:tr>
      <w:tr w:rsidR="00236A5B" w:rsidRPr="00F7228F" w14:paraId="4E157A59" w14:textId="77777777" w:rsidTr="00CB0BB6">
        <w:tc>
          <w:tcPr>
            <w:tcW w:w="1099" w:type="pct"/>
            <w:vAlign w:val="center"/>
          </w:tcPr>
          <w:p w14:paraId="19F03861" w14:textId="77777777" w:rsidR="00236A5B" w:rsidRPr="00F7228F" w:rsidRDefault="00236A5B" w:rsidP="000B242D">
            <w:pPr>
              <w:spacing w:line="276" w:lineRule="auto"/>
              <w:rPr>
                <w:rFonts w:ascii="Arial" w:hAnsi="Arial" w:cs="Arial"/>
              </w:rPr>
            </w:pPr>
          </w:p>
        </w:tc>
        <w:tc>
          <w:tcPr>
            <w:tcW w:w="1258" w:type="pct"/>
          </w:tcPr>
          <w:p w14:paraId="2FAF9098"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7D4AE943" w14:textId="77777777" w:rsidR="00236A5B" w:rsidRPr="00F7228F" w:rsidRDefault="00236A5B" w:rsidP="000B242D">
            <w:pPr>
              <w:spacing w:line="276" w:lineRule="auto"/>
              <w:rPr>
                <w:rFonts w:ascii="Arial" w:hAnsi="Arial" w:cs="Arial"/>
              </w:rPr>
            </w:pPr>
            <w:r w:rsidRPr="00F7228F">
              <w:rPr>
                <w:rFonts w:ascii="Arial" w:hAnsi="Arial" w:cs="Arial"/>
              </w:rPr>
              <w:t>-1.334</w:t>
            </w:r>
          </w:p>
          <w:p w14:paraId="3DE3AB92" w14:textId="77777777" w:rsidR="00236A5B" w:rsidRPr="00F7228F" w:rsidRDefault="00236A5B" w:rsidP="000B242D">
            <w:pPr>
              <w:spacing w:line="276" w:lineRule="auto"/>
              <w:rPr>
                <w:rFonts w:ascii="Arial" w:hAnsi="Arial" w:cs="Arial"/>
              </w:rPr>
            </w:pPr>
            <w:r w:rsidRPr="00F7228F">
              <w:rPr>
                <w:rFonts w:ascii="Arial" w:hAnsi="Arial" w:cs="Arial"/>
              </w:rPr>
              <w:t>(-17.599 – 14.931)</w:t>
            </w:r>
          </w:p>
        </w:tc>
        <w:tc>
          <w:tcPr>
            <w:tcW w:w="1307" w:type="pct"/>
          </w:tcPr>
          <w:p w14:paraId="6239E02C" w14:textId="77777777" w:rsidR="00236A5B" w:rsidRPr="00F7228F" w:rsidRDefault="00236A5B" w:rsidP="000B242D">
            <w:pPr>
              <w:spacing w:line="276" w:lineRule="auto"/>
              <w:rPr>
                <w:rFonts w:ascii="Arial" w:hAnsi="Arial" w:cs="Arial"/>
              </w:rPr>
            </w:pPr>
            <w:r w:rsidRPr="00F7228F">
              <w:rPr>
                <w:rFonts w:ascii="Arial" w:hAnsi="Arial" w:cs="Arial"/>
              </w:rPr>
              <w:t>13.719</w:t>
            </w:r>
          </w:p>
          <w:p w14:paraId="6159D38C" w14:textId="77777777" w:rsidR="00236A5B" w:rsidRPr="00F7228F" w:rsidRDefault="00236A5B" w:rsidP="000B242D">
            <w:pPr>
              <w:spacing w:line="276" w:lineRule="auto"/>
              <w:rPr>
                <w:rFonts w:ascii="Arial" w:hAnsi="Arial" w:cs="Arial"/>
              </w:rPr>
            </w:pPr>
            <w:r w:rsidRPr="00F7228F">
              <w:rPr>
                <w:rFonts w:ascii="Arial" w:hAnsi="Arial" w:cs="Arial"/>
              </w:rPr>
              <w:t>(-92.185 – 119.623)</w:t>
            </w:r>
          </w:p>
        </w:tc>
      </w:tr>
      <w:tr w:rsidR="00236A5B" w:rsidRPr="00F7228F" w14:paraId="5D903967" w14:textId="77777777" w:rsidTr="00CB0BB6">
        <w:tc>
          <w:tcPr>
            <w:tcW w:w="1099" w:type="pct"/>
            <w:vAlign w:val="center"/>
          </w:tcPr>
          <w:p w14:paraId="29039607" w14:textId="77777777" w:rsidR="00236A5B" w:rsidRPr="00F7228F" w:rsidRDefault="00236A5B" w:rsidP="000B242D">
            <w:pPr>
              <w:spacing w:line="276" w:lineRule="auto"/>
              <w:rPr>
                <w:rFonts w:ascii="Arial" w:hAnsi="Arial" w:cs="Arial"/>
              </w:rPr>
            </w:pPr>
          </w:p>
        </w:tc>
        <w:tc>
          <w:tcPr>
            <w:tcW w:w="1258" w:type="pct"/>
          </w:tcPr>
          <w:p w14:paraId="099F6163"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4267DA72" w14:textId="77777777" w:rsidR="00236A5B" w:rsidRPr="00F7228F" w:rsidRDefault="00236A5B" w:rsidP="000B242D">
            <w:pPr>
              <w:spacing w:line="276" w:lineRule="auto"/>
              <w:rPr>
                <w:rFonts w:ascii="Arial" w:hAnsi="Arial" w:cs="Arial"/>
              </w:rPr>
            </w:pPr>
            <w:r w:rsidRPr="00F7228F">
              <w:rPr>
                <w:rFonts w:ascii="Arial" w:hAnsi="Arial" w:cs="Arial"/>
              </w:rPr>
              <w:t>0.871</w:t>
            </w:r>
          </w:p>
        </w:tc>
        <w:tc>
          <w:tcPr>
            <w:tcW w:w="1307" w:type="pct"/>
          </w:tcPr>
          <w:p w14:paraId="25342C32" w14:textId="77777777" w:rsidR="00236A5B" w:rsidRPr="00F7228F" w:rsidRDefault="00236A5B" w:rsidP="000B242D">
            <w:pPr>
              <w:spacing w:line="276" w:lineRule="auto"/>
              <w:rPr>
                <w:rFonts w:ascii="Arial" w:hAnsi="Arial" w:cs="Arial"/>
              </w:rPr>
            </w:pPr>
            <w:r w:rsidRPr="00F7228F">
              <w:rPr>
                <w:rFonts w:ascii="Arial" w:hAnsi="Arial" w:cs="Arial"/>
              </w:rPr>
              <w:t>0.797</w:t>
            </w:r>
          </w:p>
        </w:tc>
      </w:tr>
      <w:tr w:rsidR="00236A5B" w:rsidRPr="00F7228F" w14:paraId="752313D6" w14:textId="77777777" w:rsidTr="00CB0BB6">
        <w:tc>
          <w:tcPr>
            <w:tcW w:w="1099" w:type="pct"/>
            <w:vAlign w:val="center"/>
          </w:tcPr>
          <w:p w14:paraId="00F709F3" w14:textId="77777777" w:rsidR="00236A5B" w:rsidRPr="00F7228F" w:rsidRDefault="00236A5B" w:rsidP="000B242D">
            <w:pPr>
              <w:spacing w:line="276" w:lineRule="auto"/>
              <w:rPr>
                <w:rFonts w:ascii="Arial" w:hAnsi="Arial" w:cs="Arial"/>
              </w:rPr>
            </w:pPr>
          </w:p>
        </w:tc>
        <w:tc>
          <w:tcPr>
            <w:tcW w:w="1258" w:type="pct"/>
          </w:tcPr>
          <w:p w14:paraId="2045677A"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219F6FA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7C8AAE05" w14:textId="77777777" w:rsidR="00236A5B" w:rsidRPr="00F7228F" w:rsidRDefault="00236A5B" w:rsidP="000B242D">
            <w:pPr>
              <w:spacing w:line="276" w:lineRule="auto"/>
              <w:rPr>
                <w:rFonts w:ascii="Arial" w:hAnsi="Arial" w:cs="Arial"/>
              </w:rPr>
            </w:pPr>
            <w:r w:rsidRPr="00F7228F">
              <w:rPr>
                <w:rFonts w:ascii="Arial" w:hAnsi="Arial" w:cs="Arial"/>
              </w:rPr>
              <w:t>-3.929</w:t>
            </w:r>
          </w:p>
          <w:p w14:paraId="6F42EA4A" w14:textId="77777777" w:rsidR="00236A5B" w:rsidRPr="00F7228F" w:rsidRDefault="00236A5B" w:rsidP="000B242D">
            <w:pPr>
              <w:spacing w:line="276" w:lineRule="auto"/>
              <w:rPr>
                <w:rFonts w:ascii="Arial" w:hAnsi="Arial" w:cs="Arial"/>
              </w:rPr>
            </w:pPr>
            <w:r w:rsidRPr="00F7228F">
              <w:rPr>
                <w:rFonts w:ascii="Arial" w:hAnsi="Arial" w:cs="Arial"/>
              </w:rPr>
              <w:t>(-31.239 – 23.381)</w:t>
            </w:r>
          </w:p>
        </w:tc>
      </w:tr>
      <w:tr w:rsidR="00236A5B" w:rsidRPr="00F7228F" w14:paraId="7631327D" w14:textId="77777777" w:rsidTr="00CB0BB6">
        <w:tc>
          <w:tcPr>
            <w:tcW w:w="1099" w:type="pct"/>
            <w:vAlign w:val="center"/>
          </w:tcPr>
          <w:p w14:paraId="5DBCFBCA" w14:textId="77777777" w:rsidR="00236A5B" w:rsidRPr="00F7228F" w:rsidRDefault="00236A5B" w:rsidP="000B242D">
            <w:pPr>
              <w:spacing w:line="276" w:lineRule="auto"/>
              <w:rPr>
                <w:rFonts w:ascii="Arial" w:hAnsi="Arial" w:cs="Arial"/>
              </w:rPr>
            </w:pPr>
          </w:p>
        </w:tc>
        <w:tc>
          <w:tcPr>
            <w:tcW w:w="1258" w:type="pct"/>
          </w:tcPr>
          <w:p w14:paraId="361468BF"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48034499"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406B79EC" w14:textId="77777777" w:rsidR="00236A5B" w:rsidRPr="00F7228F" w:rsidRDefault="00236A5B" w:rsidP="000B242D">
            <w:pPr>
              <w:spacing w:line="276" w:lineRule="auto"/>
              <w:rPr>
                <w:rFonts w:ascii="Arial" w:hAnsi="Arial" w:cs="Arial"/>
              </w:rPr>
            </w:pPr>
            <w:r w:rsidRPr="00F7228F">
              <w:rPr>
                <w:rFonts w:ascii="Arial" w:hAnsi="Arial" w:cs="Arial"/>
              </w:rPr>
              <w:t>0.775</w:t>
            </w:r>
          </w:p>
        </w:tc>
      </w:tr>
      <w:tr w:rsidR="00236A5B" w:rsidRPr="00F7228F" w14:paraId="793EF62B" w14:textId="77777777" w:rsidTr="00CB0BB6">
        <w:tc>
          <w:tcPr>
            <w:tcW w:w="1099" w:type="pct"/>
            <w:vAlign w:val="center"/>
          </w:tcPr>
          <w:p w14:paraId="586AEADB" w14:textId="77777777" w:rsidR="00236A5B" w:rsidRPr="00F7228F" w:rsidRDefault="00236A5B" w:rsidP="000B242D">
            <w:pPr>
              <w:spacing w:line="276" w:lineRule="auto"/>
              <w:rPr>
                <w:rFonts w:ascii="Arial" w:hAnsi="Arial" w:cs="Arial"/>
              </w:rPr>
            </w:pPr>
          </w:p>
        </w:tc>
        <w:tc>
          <w:tcPr>
            <w:tcW w:w="1258" w:type="pct"/>
          </w:tcPr>
          <w:p w14:paraId="18C0C0BB"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35AE925D" w14:textId="77777777" w:rsidR="00236A5B" w:rsidRPr="00F7228F" w:rsidRDefault="00236A5B" w:rsidP="000B242D">
            <w:pPr>
              <w:spacing w:line="276" w:lineRule="auto"/>
              <w:rPr>
                <w:rFonts w:ascii="Arial" w:hAnsi="Arial" w:cs="Arial"/>
              </w:rPr>
            </w:pPr>
            <w:r w:rsidRPr="00F7228F">
              <w:rPr>
                <w:rFonts w:ascii="Arial" w:hAnsi="Arial" w:cs="Arial"/>
              </w:rPr>
              <w:t>0.0004</w:t>
            </w:r>
          </w:p>
        </w:tc>
        <w:tc>
          <w:tcPr>
            <w:tcW w:w="1307" w:type="pct"/>
          </w:tcPr>
          <w:p w14:paraId="0531B7C1" w14:textId="77777777" w:rsidR="00236A5B" w:rsidRPr="00F7228F" w:rsidRDefault="00236A5B" w:rsidP="000B242D">
            <w:pPr>
              <w:spacing w:line="276" w:lineRule="auto"/>
              <w:rPr>
                <w:rFonts w:ascii="Arial" w:hAnsi="Arial" w:cs="Arial"/>
              </w:rPr>
            </w:pPr>
            <w:r w:rsidRPr="00F7228F">
              <w:rPr>
                <w:rFonts w:ascii="Arial" w:hAnsi="Arial" w:cs="Arial"/>
              </w:rPr>
              <w:t>0.0015</w:t>
            </w:r>
          </w:p>
          <w:p w14:paraId="5F6322E8" w14:textId="77777777" w:rsidR="00236A5B" w:rsidRPr="00F7228F" w:rsidRDefault="00236A5B" w:rsidP="000B242D">
            <w:pPr>
              <w:spacing w:line="276" w:lineRule="auto"/>
              <w:rPr>
                <w:rFonts w:ascii="Arial" w:hAnsi="Arial" w:cs="Arial"/>
              </w:rPr>
            </w:pPr>
          </w:p>
        </w:tc>
      </w:tr>
      <w:tr w:rsidR="00236A5B" w:rsidRPr="00F7228F" w14:paraId="28356052" w14:textId="77777777" w:rsidTr="00CB0BB6">
        <w:tc>
          <w:tcPr>
            <w:tcW w:w="1099" w:type="pct"/>
            <w:vAlign w:val="center"/>
          </w:tcPr>
          <w:p w14:paraId="7F76D24B" w14:textId="77777777" w:rsidR="00236A5B" w:rsidRPr="00F7228F" w:rsidRDefault="00236A5B" w:rsidP="000B242D">
            <w:pPr>
              <w:spacing w:line="276" w:lineRule="auto"/>
              <w:rPr>
                <w:rFonts w:ascii="Arial" w:hAnsi="Arial" w:cs="Arial"/>
              </w:rPr>
            </w:pPr>
            <w:r w:rsidRPr="00F7228F">
              <w:rPr>
                <w:rFonts w:ascii="Arial" w:hAnsi="Arial" w:cs="Arial"/>
              </w:rPr>
              <w:t>IL-12</w:t>
            </w:r>
          </w:p>
        </w:tc>
        <w:tc>
          <w:tcPr>
            <w:tcW w:w="1258" w:type="pct"/>
          </w:tcPr>
          <w:p w14:paraId="0C6E7F0F"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060D2703" w14:textId="77777777" w:rsidR="00236A5B" w:rsidRPr="00F7228F" w:rsidRDefault="00236A5B" w:rsidP="000B242D">
            <w:pPr>
              <w:spacing w:line="276" w:lineRule="auto"/>
              <w:rPr>
                <w:rFonts w:ascii="Arial" w:hAnsi="Arial" w:cs="Arial"/>
              </w:rPr>
            </w:pPr>
            <w:r w:rsidRPr="00F7228F">
              <w:rPr>
                <w:rFonts w:ascii="Arial" w:hAnsi="Arial" w:cs="Arial"/>
              </w:rPr>
              <w:t>0.001</w:t>
            </w:r>
          </w:p>
          <w:p w14:paraId="419E5949" w14:textId="77777777" w:rsidR="00236A5B" w:rsidRPr="00F7228F" w:rsidRDefault="00236A5B" w:rsidP="000B242D">
            <w:pPr>
              <w:spacing w:line="276" w:lineRule="auto"/>
              <w:rPr>
                <w:rFonts w:ascii="Arial" w:hAnsi="Arial" w:cs="Arial"/>
              </w:rPr>
            </w:pPr>
            <w:r w:rsidRPr="00F7228F">
              <w:rPr>
                <w:rFonts w:ascii="Arial" w:hAnsi="Arial" w:cs="Arial"/>
              </w:rPr>
              <w:t>(-0.002 – 0.004)</w:t>
            </w:r>
          </w:p>
        </w:tc>
        <w:tc>
          <w:tcPr>
            <w:tcW w:w="1307" w:type="pct"/>
          </w:tcPr>
          <w:p w14:paraId="72D40C06" w14:textId="77777777" w:rsidR="00236A5B" w:rsidRPr="00F7228F" w:rsidRDefault="00236A5B" w:rsidP="000B242D">
            <w:pPr>
              <w:spacing w:line="276" w:lineRule="auto"/>
              <w:rPr>
                <w:rFonts w:ascii="Arial" w:hAnsi="Arial" w:cs="Arial"/>
              </w:rPr>
            </w:pPr>
            <w:r w:rsidRPr="00F7228F">
              <w:rPr>
                <w:rFonts w:ascii="Arial" w:hAnsi="Arial" w:cs="Arial"/>
              </w:rPr>
              <w:t>0.004</w:t>
            </w:r>
          </w:p>
          <w:p w14:paraId="4BDE3F76" w14:textId="77777777" w:rsidR="00236A5B" w:rsidRPr="00F7228F" w:rsidRDefault="00236A5B" w:rsidP="000B242D">
            <w:pPr>
              <w:spacing w:line="276" w:lineRule="auto"/>
              <w:rPr>
                <w:rFonts w:ascii="Arial" w:hAnsi="Arial" w:cs="Arial"/>
              </w:rPr>
            </w:pPr>
            <w:r w:rsidRPr="00F7228F">
              <w:rPr>
                <w:rFonts w:ascii="Arial" w:hAnsi="Arial" w:cs="Arial"/>
              </w:rPr>
              <w:t>(-0.003 – 0.010)</w:t>
            </w:r>
          </w:p>
        </w:tc>
      </w:tr>
      <w:tr w:rsidR="00236A5B" w:rsidRPr="00F7228F" w14:paraId="7F37DDCA" w14:textId="77777777" w:rsidTr="00CB0BB6">
        <w:tc>
          <w:tcPr>
            <w:tcW w:w="1099" w:type="pct"/>
            <w:vAlign w:val="center"/>
          </w:tcPr>
          <w:p w14:paraId="22BCE416" w14:textId="77777777" w:rsidR="00236A5B" w:rsidRPr="00F7228F" w:rsidRDefault="00236A5B" w:rsidP="000B242D">
            <w:pPr>
              <w:spacing w:line="276" w:lineRule="auto"/>
              <w:rPr>
                <w:rFonts w:ascii="Arial" w:hAnsi="Arial" w:cs="Arial"/>
              </w:rPr>
            </w:pPr>
          </w:p>
        </w:tc>
        <w:tc>
          <w:tcPr>
            <w:tcW w:w="1258" w:type="pct"/>
          </w:tcPr>
          <w:p w14:paraId="4386DF9B"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283D1F51" w14:textId="77777777" w:rsidR="00236A5B" w:rsidRPr="00F7228F" w:rsidRDefault="00236A5B" w:rsidP="000B242D">
            <w:pPr>
              <w:spacing w:line="276" w:lineRule="auto"/>
              <w:rPr>
                <w:rFonts w:ascii="Arial" w:hAnsi="Arial" w:cs="Arial"/>
              </w:rPr>
            </w:pPr>
            <w:r w:rsidRPr="00F7228F">
              <w:rPr>
                <w:rFonts w:ascii="Arial" w:hAnsi="Arial" w:cs="Arial"/>
              </w:rPr>
              <w:t>0.487</w:t>
            </w:r>
          </w:p>
        </w:tc>
        <w:tc>
          <w:tcPr>
            <w:tcW w:w="1307" w:type="pct"/>
          </w:tcPr>
          <w:p w14:paraId="4BE73061" w14:textId="77777777" w:rsidR="00236A5B" w:rsidRPr="00F7228F" w:rsidRDefault="00236A5B" w:rsidP="000B242D">
            <w:pPr>
              <w:spacing w:line="276" w:lineRule="auto"/>
              <w:rPr>
                <w:rFonts w:ascii="Arial" w:hAnsi="Arial" w:cs="Arial"/>
              </w:rPr>
            </w:pPr>
            <w:r w:rsidRPr="00F7228F">
              <w:rPr>
                <w:rFonts w:ascii="Arial" w:hAnsi="Arial" w:cs="Arial"/>
              </w:rPr>
              <w:t>0.274</w:t>
            </w:r>
          </w:p>
        </w:tc>
      </w:tr>
      <w:tr w:rsidR="00236A5B" w:rsidRPr="00F7228F" w14:paraId="77CF84F4" w14:textId="77777777" w:rsidTr="00CB0BB6">
        <w:tc>
          <w:tcPr>
            <w:tcW w:w="1099" w:type="pct"/>
            <w:vAlign w:val="center"/>
          </w:tcPr>
          <w:p w14:paraId="1D448572" w14:textId="77777777" w:rsidR="00236A5B" w:rsidRPr="00F7228F" w:rsidRDefault="00236A5B" w:rsidP="000B242D">
            <w:pPr>
              <w:spacing w:line="276" w:lineRule="auto"/>
              <w:rPr>
                <w:rFonts w:ascii="Arial" w:hAnsi="Arial" w:cs="Arial"/>
              </w:rPr>
            </w:pPr>
          </w:p>
        </w:tc>
        <w:tc>
          <w:tcPr>
            <w:tcW w:w="1258" w:type="pct"/>
          </w:tcPr>
          <w:p w14:paraId="68C03204"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304BA7DC" w14:textId="77777777" w:rsidR="00236A5B" w:rsidRPr="00F7228F" w:rsidRDefault="00236A5B" w:rsidP="000B242D">
            <w:pPr>
              <w:spacing w:line="276" w:lineRule="auto"/>
              <w:rPr>
                <w:rFonts w:ascii="Arial" w:hAnsi="Arial" w:cs="Arial"/>
              </w:rPr>
            </w:pPr>
            <w:r w:rsidRPr="00F7228F">
              <w:rPr>
                <w:rFonts w:ascii="Arial" w:hAnsi="Arial" w:cs="Arial"/>
              </w:rPr>
              <w:t>-0.486</w:t>
            </w:r>
          </w:p>
          <w:p w14:paraId="617365AE" w14:textId="77777777" w:rsidR="00236A5B" w:rsidRPr="00F7228F" w:rsidRDefault="00236A5B" w:rsidP="000B242D">
            <w:pPr>
              <w:spacing w:line="276" w:lineRule="auto"/>
              <w:rPr>
                <w:rFonts w:ascii="Arial" w:hAnsi="Arial" w:cs="Arial"/>
              </w:rPr>
            </w:pPr>
            <w:r w:rsidRPr="00F7228F">
              <w:rPr>
                <w:rFonts w:ascii="Arial" w:hAnsi="Arial" w:cs="Arial"/>
              </w:rPr>
              <w:t>(-1.816 – 0.844)</w:t>
            </w:r>
          </w:p>
        </w:tc>
        <w:tc>
          <w:tcPr>
            <w:tcW w:w="1307" w:type="pct"/>
          </w:tcPr>
          <w:p w14:paraId="2310BE59" w14:textId="77777777" w:rsidR="00236A5B" w:rsidRPr="00F7228F" w:rsidRDefault="00236A5B" w:rsidP="000B242D">
            <w:pPr>
              <w:spacing w:line="276" w:lineRule="auto"/>
              <w:rPr>
                <w:rFonts w:ascii="Arial" w:hAnsi="Arial" w:cs="Arial"/>
              </w:rPr>
            </w:pPr>
            <w:r w:rsidRPr="00F7228F">
              <w:rPr>
                <w:rFonts w:ascii="Arial" w:hAnsi="Arial" w:cs="Arial"/>
              </w:rPr>
              <w:t>0.029</w:t>
            </w:r>
          </w:p>
          <w:p w14:paraId="546312A7" w14:textId="77777777" w:rsidR="00236A5B" w:rsidRPr="00F7228F" w:rsidRDefault="00236A5B" w:rsidP="000B242D">
            <w:pPr>
              <w:spacing w:line="276" w:lineRule="auto"/>
              <w:rPr>
                <w:rFonts w:ascii="Arial" w:hAnsi="Arial" w:cs="Arial"/>
              </w:rPr>
            </w:pPr>
            <w:r w:rsidRPr="00F7228F">
              <w:rPr>
                <w:rFonts w:ascii="Arial" w:hAnsi="Arial" w:cs="Arial"/>
              </w:rPr>
              <w:t>(-1.752 – 1.809)</w:t>
            </w:r>
          </w:p>
        </w:tc>
      </w:tr>
      <w:tr w:rsidR="00236A5B" w:rsidRPr="00F7228F" w14:paraId="478A036C" w14:textId="77777777" w:rsidTr="00CB0BB6">
        <w:tc>
          <w:tcPr>
            <w:tcW w:w="1099" w:type="pct"/>
            <w:vAlign w:val="center"/>
          </w:tcPr>
          <w:p w14:paraId="6F2C813E" w14:textId="77777777" w:rsidR="00236A5B" w:rsidRPr="00F7228F" w:rsidRDefault="00236A5B" w:rsidP="000B242D">
            <w:pPr>
              <w:spacing w:line="276" w:lineRule="auto"/>
              <w:rPr>
                <w:rFonts w:ascii="Arial" w:hAnsi="Arial" w:cs="Arial"/>
              </w:rPr>
            </w:pPr>
          </w:p>
        </w:tc>
        <w:tc>
          <w:tcPr>
            <w:tcW w:w="1258" w:type="pct"/>
          </w:tcPr>
          <w:p w14:paraId="19672A6D"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25D357AA" w14:textId="77777777" w:rsidR="00236A5B" w:rsidRPr="00F7228F" w:rsidRDefault="00236A5B" w:rsidP="000B242D">
            <w:pPr>
              <w:spacing w:line="276" w:lineRule="auto"/>
              <w:rPr>
                <w:rFonts w:ascii="Arial" w:hAnsi="Arial" w:cs="Arial"/>
              </w:rPr>
            </w:pPr>
            <w:r w:rsidRPr="00F7228F">
              <w:rPr>
                <w:rFonts w:ascii="Arial" w:hAnsi="Arial" w:cs="Arial"/>
              </w:rPr>
              <w:t>0.469</w:t>
            </w:r>
          </w:p>
        </w:tc>
        <w:tc>
          <w:tcPr>
            <w:tcW w:w="1307" w:type="pct"/>
          </w:tcPr>
          <w:p w14:paraId="37D6D3D9" w14:textId="77777777" w:rsidR="00236A5B" w:rsidRPr="00F7228F" w:rsidRDefault="00236A5B" w:rsidP="000B242D">
            <w:pPr>
              <w:spacing w:line="276" w:lineRule="auto"/>
              <w:rPr>
                <w:rFonts w:ascii="Arial" w:hAnsi="Arial" w:cs="Arial"/>
              </w:rPr>
            </w:pPr>
            <w:r w:rsidRPr="00F7228F">
              <w:rPr>
                <w:rFonts w:ascii="Arial" w:hAnsi="Arial" w:cs="Arial"/>
              </w:rPr>
              <w:t>0.975</w:t>
            </w:r>
          </w:p>
        </w:tc>
      </w:tr>
      <w:tr w:rsidR="00236A5B" w:rsidRPr="00F7228F" w14:paraId="62D6D168" w14:textId="77777777" w:rsidTr="00CB0BB6">
        <w:tc>
          <w:tcPr>
            <w:tcW w:w="1099" w:type="pct"/>
            <w:vAlign w:val="center"/>
          </w:tcPr>
          <w:p w14:paraId="14B22D0A" w14:textId="77777777" w:rsidR="00236A5B" w:rsidRPr="00F7228F" w:rsidRDefault="00236A5B" w:rsidP="000B242D">
            <w:pPr>
              <w:spacing w:line="276" w:lineRule="auto"/>
              <w:rPr>
                <w:rFonts w:ascii="Arial" w:hAnsi="Arial" w:cs="Arial"/>
              </w:rPr>
            </w:pPr>
          </w:p>
        </w:tc>
        <w:tc>
          <w:tcPr>
            <w:tcW w:w="1258" w:type="pct"/>
          </w:tcPr>
          <w:p w14:paraId="12769434"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6A2051E0"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74F1E70C" w14:textId="77777777" w:rsidR="00236A5B" w:rsidRPr="00F7228F" w:rsidRDefault="00236A5B" w:rsidP="000B242D">
            <w:pPr>
              <w:spacing w:line="276" w:lineRule="auto"/>
              <w:rPr>
                <w:rFonts w:ascii="Arial" w:hAnsi="Arial" w:cs="Arial"/>
              </w:rPr>
            </w:pPr>
            <w:r w:rsidRPr="00F7228F">
              <w:rPr>
                <w:rFonts w:ascii="Arial" w:hAnsi="Arial" w:cs="Arial"/>
              </w:rPr>
              <w:t>-0.150</w:t>
            </w:r>
          </w:p>
          <w:p w14:paraId="7F39AE0B" w14:textId="77777777" w:rsidR="00236A5B" w:rsidRPr="00F7228F" w:rsidRDefault="00236A5B" w:rsidP="000B242D">
            <w:pPr>
              <w:spacing w:line="276" w:lineRule="auto"/>
              <w:rPr>
                <w:rFonts w:ascii="Arial" w:hAnsi="Arial" w:cs="Arial"/>
              </w:rPr>
            </w:pPr>
            <w:r w:rsidRPr="00F7228F">
              <w:rPr>
                <w:rFonts w:ascii="Arial" w:hAnsi="Arial" w:cs="Arial"/>
              </w:rPr>
              <w:t>(-0.495 – 0.194)</w:t>
            </w:r>
          </w:p>
        </w:tc>
      </w:tr>
      <w:tr w:rsidR="00236A5B" w:rsidRPr="00F7228F" w14:paraId="12C07910" w14:textId="77777777" w:rsidTr="00CB0BB6">
        <w:tc>
          <w:tcPr>
            <w:tcW w:w="1099" w:type="pct"/>
            <w:vAlign w:val="center"/>
          </w:tcPr>
          <w:p w14:paraId="662C74E5" w14:textId="77777777" w:rsidR="00236A5B" w:rsidRPr="00F7228F" w:rsidRDefault="00236A5B" w:rsidP="000B242D">
            <w:pPr>
              <w:spacing w:line="276" w:lineRule="auto"/>
              <w:rPr>
                <w:rFonts w:ascii="Arial" w:hAnsi="Arial" w:cs="Arial"/>
              </w:rPr>
            </w:pPr>
          </w:p>
        </w:tc>
        <w:tc>
          <w:tcPr>
            <w:tcW w:w="1258" w:type="pct"/>
          </w:tcPr>
          <w:p w14:paraId="528D6788"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15C9AD4B"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7509C466" w14:textId="77777777" w:rsidR="00236A5B" w:rsidRPr="00F7228F" w:rsidRDefault="00236A5B" w:rsidP="000B242D">
            <w:pPr>
              <w:spacing w:line="276" w:lineRule="auto"/>
              <w:rPr>
                <w:rFonts w:ascii="Arial" w:hAnsi="Arial" w:cs="Arial"/>
              </w:rPr>
            </w:pPr>
            <w:r w:rsidRPr="00F7228F">
              <w:rPr>
                <w:rFonts w:ascii="Arial" w:hAnsi="Arial" w:cs="Arial"/>
              </w:rPr>
              <w:t>0.388</w:t>
            </w:r>
          </w:p>
        </w:tc>
      </w:tr>
      <w:tr w:rsidR="00236A5B" w:rsidRPr="00F7228F" w14:paraId="07376B80" w14:textId="77777777" w:rsidTr="00CB0BB6">
        <w:tc>
          <w:tcPr>
            <w:tcW w:w="1099" w:type="pct"/>
            <w:vAlign w:val="center"/>
          </w:tcPr>
          <w:p w14:paraId="7CF125F6" w14:textId="77777777" w:rsidR="00236A5B" w:rsidRPr="00F7228F" w:rsidRDefault="00236A5B" w:rsidP="000B242D">
            <w:pPr>
              <w:spacing w:line="276" w:lineRule="auto"/>
              <w:rPr>
                <w:rFonts w:ascii="Arial" w:hAnsi="Arial" w:cs="Arial"/>
              </w:rPr>
            </w:pPr>
          </w:p>
        </w:tc>
        <w:tc>
          <w:tcPr>
            <w:tcW w:w="1258" w:type="pct"/>
          </w:tcPr>
          <w:p w14:paraId="4A4A55B0"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20C61C94" w14:textId="77777777" w:rsidR="00236A5B" w:rsidRPr="00F7228F" w:rsidRDefault="00236A5B" w:rsidP="000B242D">
            <w:pPr>
              <w:spacing w:line="276" w:lineRule="auto"/>
              <w:rPr>
                <w:rFonts w:ascii="Arial" w:hAnsi="Arial" w:cs="Arial"/>
              </w:rPr>
            </w:pPr>
            <w:r w:rsidRPr="00F7228F">
              <w:rPr>
                <w:rFonts w:ascii="Arial" w:hAnsi="Arial" w:cs="Arial"/>
              </w:rPr>
              <w:t>0.0129</w:t>
            </w:r>
          </w:p>
        </w:tc>
        <w:tc>
          <w:tcPr>
            <w:tcW w:w="1307" w:type="pct"/>
          </w:tcPr>
          <w:p w14:paraId="6B4312DC" w14:textId="77777777" w:rsidR="00236A5B" w:rsidRPr="00F7228F" w:rsidRDefault="00236A5B" w:rsidP="000B242D">
            <w:pPr>
              <w:spacing w:line="276" w:lineRule="auto"/>
              <w:rPr>
                <w:rFonts w:ascii="Arial" w:hAnsi="Arial" w:cs="Arial"/>
              </w:rPr>
            </w:pPr>
            <w:r w:rsidRPr="00F7228F">
              <w:rPr>
                <w:rFonts w:ascii="Arial" w:hAnsi="Arial" w:cs="Arial"/>
              </w:rPr>
              <w:t>0.0229</w:t>
            </w:r>
          </w:p>
        </w:tc>
      </w:tr>
      <w:tr w:rsidR="00236A5B" w:rsidRPr="00F7228F" w14:paraId="313C7B69" w14:textId="77777777" w:rsidTr="00CB0BB6">
        <w:tc>
          <w:tcPr>
            <w:tcW w:w="1099" w:type="pct"/>
            <w:vAlign w:val="center"/>
          </w:tcPr>
          <w:p w14:paraId="7423BE6D" w14:textId="77777777" w:rsidR="00236A5B" w:rsidRPr="00F7228F" w:rsidRDefault="00236A5B" w:rsidP="000B242D">
            <w:pPr>
              <w:spacing w:line="276" w:lineRule="auto"/>
              <w:rPr>
                <w:rFonts w:ascii="Arial" w:hAnsi="Arial" w:cs="Arial"/>
              </w:rPr>
            </w:pPr>
            <w:r w:rsidRPr="00F7228F">
              <w:rPr>
                <w:rFonts w:ascii="Arial" w:hAnsi="Arial" w:cs="Arial"/>
              </w:rPr>
              <w:t>IL-13</w:t>
            </w:r>
          </w:p>
        </w:tc>
        <w:tc>
          <w:tcPr>
            <w:tcW w:w="1258" w:type="pct"/>
          </w:tcPr>
          <w:p w14:paraId="1A4D4CE4"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228B92E2" w14:textId="77777777" w:rsidR="00236A5B" w:rsidRPr="00F7228F" w:rsidRDefault="00236A5B" w:rsidP="000B242D">
            <w:pPr>
              <w:spacing w:line="276" w:lineRule="auto"/>
              <w:rPr>
                <w:rFonts w:ascii="Arial" w:hAnsi="Arial" w:cs="Arial"/>
              </w:rPr>
            </w:pPr>
            <w:r w:rsidRPr="00F7228F">
              <w:rPr>
                <w:rFonts w:ascii="Arial" w:hAnsi="Arial" w:cs="Arial"/>
              </w:rPr>
              <w:t>0.017</w:t>
            </w:r>
          </w:p>
          <w:p w14:paraId="5F8EA996" w14:textId="77777777" w:rsidR="00236A5B" w:rsidRPr="00F7228F" w:rsidRDefault="00236A5B" w:rsidP="000B242D">
            <w:pPr>
              <w:spacing w:line="276" w:lineRule="auto"/>
              <w:rPr>
                <w:rFonts w:ascii="Arial" w:hAnsi="Arial" w:cs="Arial"/>
              </w:rPr>
            </w:pPr>
            <w:r w:rsidRPr="00F7228F">
              <w:rPr>
                <w:rFonts w:ascii="Arial" w:hAnsi="Arial" w:cs="Arial"/>
              </w:rPr>
              <w:t>(-0.004 – 0.038)</w:t>
            </w:r>
          </w:p>
        </w:tc>
        <w:tc>
          <w:tcPr>
            <w:tcW w:w="1307" w:type="pct"/>
          </w:tcPr>
          <w:p w14:paraId="7F0CD640" w14:textId="77777777" w:rsidR="00236A5B" w:rsidRPr="00F7228F" w:rsidRDefault="00236A5B" w:rsidP="000B242D">
            <w:pPr>
              <w:spacing w:line="276" w:lineRule="auto"/>
              <w:rPr>
                <w:rFonts w:ascii="Arial" w:hAnsi="Arial" w:cs="Arial"/>
              </w:rPr>
            </w:pPr>
            <w:r w:rsidRPr="00F7228F">
              <w:rPr>
                <w:rFonts w:ascii="Arial" w:hAnsi="Arial" w:cs="Arial"/>
              </w:rPr>
              <w:t>-0.008</w:t>
            </w:r>
          </w:p>
          <w:p w14:paraId="2A8451A2" w14:textId="77777777" w:rsidR="00236A5B" w:rsidRPr="00F7228F" w:rsidRDefault="00236A5B" w:rsidP="000B242D">
            <w:pPr>
              <w:spacing w:line="276" w:lineRule="auto"/>
              <w:rPr>
                <w:rFonts w:ascii="Arial" w:hAnsi="Arial" w:cs="Arial"/>
              </w:rPr>
            </w:pPr>
            <w:r w:rsidRPr="00F7228F">
              <w:rPr>
                <w:rFonts w:ascii="Arial" w:hAnsi="Arial" w:cs="Arial"/>
              </w:rPr>
              <w:t>(-0.047 – 0.031)</w:t>
            </w:r>
          </w:p>
        </w:tc>
      </w:tr>
      <w:tr w:rsidR="00236A5B" w:rsidRPr="00F7228F" w14:paraId="1695C297" w14:textId="77777777" w:rsidTr="00CB0BB6">
        <w:tc>
          <w:tcPr>
            <w:tcW w:w="1099" w:type="pct"/>
            <w:vAlign w:val="center"/>
          </w:tcPr>
          <w:p w14:paraId="78573086" w14:textId="77777777" w:rsidR="00236A5B" w:rsidRPr="00F7228F" w:rsidRDefault="00236A5B" w:rsidP="000B242D">
            <w:pPr>
              <w:spacing w:line="276" w:lineRule="auto"/>
              <w:rPr>
                <w:rFonts w:ascii="Arial" w:hAnsi="Arial" w:cs="Arial"/>
              </w:rPr>
            </w:pPr>
          </w:p>
        </w:tc>
        <w:tc>
          <w:tcPr>
            <w:tcW w:w="1258" w:type="pct"/>
          </w:tcPr>
          <w:p w14:paraId="43ED8C86"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0B34D6A9" w14:textId="77777777" w:rsidR="00236A5B" w:rsidRPr="00F7228F" w:rsidRDefault="00236A5B" w:rsidP="000B242D">
            <w:pPr>
              <w:spacing w:line="276" w:lineRule="auto"/>
              <w:rPr>
                <w:rFonts w:ascii="Arial" w:hAnsi="Arial" w:cs="Arial"/>
              </w:rPr>
            </w:pPr>
            <w:r w:rsidRPr="00F7228F">
              <w:rPr>
                <w:rFonts w:ascii="Arial" w:hAnsi="Arial" w:cs="Arial"/>
              </w:rPr>
              <w:t>0.114</w:t>
            </w:r>
          </w:p>
        </w:tc>
        <w:tc>
          <w:tcPr>
            <w:tcW w:w="1307" w:type="pct"/>
          </w:tcPr>
          <w:p w14:paraId="051BCD0B" w14:textId="77777777" w:rsidR="00236A5B" w:rsidRPr="00F7228F" w:rsidRDefault="00236A5B" w:rsidP="000B242D">
            <w:pPr>
              <w:spacing w:line="276" w:lineRule="auto"/>
              <w:rPr>
                <w:rFonts w:ascii="Arial" w:hAnsi="Arial" w:cs="Arial"/>
              </w:rPr>
            </w:pPr>
            <w:r w:rsidRPr="00F7228F">
              <w:rPr>
                <w:rFonts w:ascii="Arial" w:hAnsi="Arial" w:cs="Arial"/>
              </w:rPr>
              <w:t>0.684</w:t>
            </w:r>
          </w:p>
        </w:tc>
      </w:tr>
      <w:tr w:rsidR="00236A5B" w:rsidRPr="00F7228F" w14:paraId="64B294A2" w14:textId="77777777" w:rsidTr="00CB0BB6">
        <w:tc>
          <w:tcPr>
            <w:tcW w:w="1099" w:type="pct"/>
            <w:vAlign w:val="center"/>
          </w:tcPr>
          <w:p w14:paraId="0A56D90D" w14:textId="77777777" w:rsidR="00236A5B" w:rsidRPr="00F7228F" w:rsidRDefault="00236A5B" w:rsidP="000B242D">
            <w:pPr>
              <w:spacing w:line="276" w:lineRule="auto"/>
              <w:rPr>
                <w:rFonts w:ascii="Arial" w:hAnsi="Arial" w:cs="Arial"/>
              </w:rPr>
            </w:pPr>
          </w:p>
        </w:tc>
        <w:tc>
          <w:tcPr>
            <w:tcW w:w="1258" w:type="pct"/>
          </w:tcPr>
          <w:p w14:paraId="40D1720F"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3E1174FA" w14:textId="77777777" w:rsidR="00236A5B" w:rsidRPr="00F7228F" w:rsidRDefault="00236A5B" w:rsidP="000B242D">
            <w:pPr>
              <w:spacing w:line="276" w:lineRule="auto"/>
              <w:rPr>
                <w:rFonts w:ascii="Arial" w:hAnsi="Arial" w:cs="Arial"/>
              </w:rPr>
            </w:pPr>
            <w:r w:rsidRPr="00F7228F">
              <w:rPr>
                <w:rFonts w:ascii="Arial" w:hAnsi="Arial" w:cs="Arial"/>
              </w:rPr>
              <w:t>-9.755</w:t>
            </w:r>
          </w:p>
          <w:p w14:paraId="3EC17842" w14:textId="77777777" w:rsidR="00236A5B" w:rsidRPr="00F7228F" w:rsidRDefault="00236A5B" w:rsidP="000B242D">
            <w:pPr>
              <w:spacing w:line="276" w:lineRule="auto"/>
              <w:rPr>
                <w:rFonts w:ascii="Arial" w:hAnsi="Arial" w:cs="Arial"/>
              </w:rPr>
            </w:pPr>
            <w:r w:rsidRPr="00F7228F">
              <w:rPr>
                <w:rFonts w:ascii="Arial" w:hAnsi="Arial" w:cs="Arial"/>
              </w:rPr>
              <w:t>(-25.813 – 6.303)</w:t>
            </w:r>
          </w:p>
        </w:tc>
        <w:tc>
          <w:tcPr>
            <w:tcW w:w="1307" w:type="pct"/>
          </w:tcPr>
          <w:p w14:paraId="1F2F42DC" w14:textId="77777777" w:rsidR="00236A5B" w:rsidRPr="00F7228F" w:rsidRDefault="00236A5B" w:rsidP="000B242D">
            <w:pPr>
              <w:spacing w:line="276" w:lineRule="auto"/>
              <w:rPr>
                <w:rFonts w:ascii="Arial" w:hAnsi="Arial" w:cs="Arial"/>
              </w:rPr>
            </w:pPr>
            <w:r w:rsidRPr="00F7228F">
              <w:rPr>
                <w:rFonts w:ascii="Arial" w:hAnsi="Arial" w:cs="Arial"/>
              </w:rPr>
              <w:t>-101.029</w:t>
            </w:r>
          </w:p>
          <w:p w14:paraId="7324C550" w14:textId="77777777" w:rsidR="00236A5B" w:rsidRPr="00F7228F" w:rsidRDefault="00236A5B" w:rsidP="000B242D">
            <w:pPr>
              <w:spacing w:line="276" w:lineRule="auto"/>
              <w:rPr>
                <w:rFonts w:ascii="Arial" w:hAnsi="Arial" w:cs="Arial"/>
              </w:rPr>
            </w:pPr>
            <w:r w:rsidRPr="00F7228F">
              <w:rPr>
                <w:rFonts w:ascii="Arial" w:hAnsi="Arial" w:cs="Arial"/>
              </w:rPr>
              <w:t>(-222.954 – 20.897)</w:t>
            </w:r>
          </w:p>
        </w:tc>
      </w:tr>
      <w:tr w:rsidR="00236A5B" w:rsidRPr="00F7228F" w14:paraId="374FD102" w14:textId="77777777" w:rsidTr="00CB0BB6">
        <w:tc>
          <w:tcPr>
            <w:tcW w:w="1099" w:type="pct"/>
            <w:vAlign w:val="center"/>
          </w:tcPr>
          <w:p w14:paraId="31FCED62" w14:textId="77777777" w:rsidR="00236A5B" w:rsidRPr="00F7228F" w:rsidRDefault="00236A5B" w:rsidP="000B242D">
            <w:pPr>
              <w:spacing w:line="276" w:lineRule="auto"/>
              <w:rPr>
                <w:rFonts w:ascii="Arial" w:hAnsi="Arial" w:cs="Arial"/>
              </w:rPr>
            </w:pPr>
          </w:p>
        </w:tc>
        <w:tc>
          <w:tcPr>
            <w:tcW w:w="1258" w:type="pct"/>
          </w:tcPr>
          <w:p w14:paraId="4F2B9CF8"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5731C42A" w14:textId="77777777" w:rsidR="00236A5B" w:rsidRPr="00F7228F" w:rsidRDefault="00236A5B" w:rsidP="000B242D">
            <w:pPr>
              <w:spacing w:line="276" w:lineRule="auto"/>
              <w:rPr>
                <w:rFonts w:ascii="Arial" w:hAnsi="Arial" w:cs="Arial"/>
              </w:rPr>
            </w:pPr>
            <w:r w:rsidRPr="00F7228F">
              <w:rPr>
                <w:rFonts w:ascii="Arial" w:hAnsi="Arial" w:cs="Arial"/>
              </w:rPr>
              <w:t>0.230</w:t>
            </w:r>
          </w:p>
        </w:tc>
        <w:tc>
          <w:tcPr>
            <w:tcW w:w="1307" w:type="pct"/>
          </w:tcPr>
          <w:p w14:paraId="2B3F5294" w14:textId="77777777" w:rsidR="00236A5B" w:rsidRPr="00F7228F" w:rsidRDefault="00236A5B" w:rsidP="000B242D">
            <w:pPr>
              <w:spacing w:line="276" w:lineRule="auto"/>
              <w:rPr>
                <w:rFonts w:ascii="Arial" w:hAnsi="Arial" w:cs="Arial"/>
              </w:rPr>
            </w:pPr>
            <w:r w:rsidRPr="00F7228F">
              <w:rPr>
                <w:rFonts w:ascii="Arial" w:hAnsi="Arial" w:cs="Arial"/>
              </w:rPr>
              <w:t>0.103</w:t>
            </w:r>
          </w:p>
        </w:tc>
      </w:tr>
      <w:tr w:rsidR="00236A5B" w:rsidRPr="00F7228F" w14:paraId="7DCD6F25" w14:textId="77777777" w:rsidTr="00CB0BB6">
        <w:tc>
          <w:tcPr>
            <w:tcW w:w="1099" w:type="pct"/>
            <w:vAlign w:val="center"/>
          </w:tcPr>
          <w:p w14:paraId="0C11FA05" w14:textId="77777777" w:rsidR="00236A5B" w:rsidRPr="00F7228F" w:rsidRDefault="00236A5B" w:rsidP="000B242D">
            <w:pPr>
              <w:spacing w:line="276" w:lineRule="auto"/>
              <w:rPr>
                <w:rFonts w:ascii="Arial" w:hAnsi="Arial" w:cs="Arial"/>
              </w:rPr>
            </w:pPr>
          </w:p>
        </w:tc>
        <w:tc>
          <w:tcPr>
            <w:tcW w:w="1258" w:type="pct"/>
          </w:tcPr>
          <w:p w14:paraId="28B13F73"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32DBEA02"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39AD104A" w14:textId="77777777" w:rsidR="00236A5B" w:rsidRPr="00F7228F" w:rsidRDefault="00236A5B" w:rsidP="000B242D">
            <w:pPr>
              <w:spacing w:line="276" w:lineRule="auto"/>
              <w:rPr>
                <w:rFonts w:ascii="Arial" w:hAnsi="Arial" w:cs="Arial"/>
              </w:rPr>
            </w:pPr>
            <w:r w:rsidRPr="00F7228F">
              <w:rPr>
                <w:rFonts w:ascii="Arial" w:hAnsi="Arial" w:cs="Arial"/>
              </w:rPr>
              <w:t>2.372</w:t>
            </w:r>
          </w:p>
          <w:p w14:paraId="3F56BE40" w14:textId="77777777" w:rsidR="00236A5B" w:rsidRPr="00F7228F" w:rsidRDefault="00236A5B" w:rsidP="000B242D">
            <w:pPr>
              <w:spacing w:line="276" w:lineRule="auto"/>
              <w:rPr>
                <w:rFonts w:ascii="Arial" w:hAnsi="Arial" w:cs="Arial"/>
              </w:rPr>
            </w:pPr>
            <w:r w:rsidRPr="00F7228F">
              <w:rPr>
                <w:rFonts w:ascii="Arial" w:hAnsi="Arial" w:cs="Arial"/>
              </w:rPr>
              <w:t>(-0.769 – 5.512)</w:t>
            </w:r>
          </w:p>
        </w:tc>
      </w:tr>
      <w:tr w:rsidR="00236A5B" w:rsidRPr="00F7228F" w14:paraId="065824F6" w14:textId="77777777" w:rsidTr="00CB0BB6">
        <w:tc>
          <w:tcPr>
            <w:tcW w:w="1099" w:type="pct"/>
            <w:vAlign w:val="center"/>
          </w:tcPr>
          <w:p w14:paraId="4D2DCCBC" w14:textId="77777777" w:rsidR="00236A5B" w:rsidRPr="00F7228F" w:rsidRDefault="00236A5B" w:rsidP="000B242D">
            <w:pPr>
              <w:spacing w:line="276" w:lineRule="auto"/>
              <w:rPr>
                <w:rFonts w:ascii="Arial" w:hAnsi="Arial" w:cs="Arial"/>
              </w:rPr>
            </w:pPr>
          </w:p>
        </w:tc>
        <w:tc>
          <w:tcPr>
            <w:tcW w:w="1258" w:type="pct"/>
          </w:tcPr>
          <w:p w14:paraId="71143085"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2E96518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57C39C83" w14:textId="77777777" w:rsidR="00236A5B" w:rsidRPr="00F7228F" w:rsidRDefault="00236A5B" w:rsidP="000B242D">
            <w:pPr>
              <w:spacing w:line="276" w:lineRule="auto"/>
              <w:rPr>
                <w:rFonts w:ascii="Arial" w:hAnsi="Arial" w:cs="Arial"/>
              </w:rPr>
            </w:pPr>
            <w:r w:rsidRPr="00F7228F">
              <w:rPr>
                <w:rFonts w:ascii="Arial" w:hAnsi="Arial" w:cs="Arial"/>
              </w:rPr>
              <w:t>0.137</w:t>
            </w:r>
          </w:p>
        </w:tc>
      </w:tr>
      <w:tr w:rsidR="00236A5B" w:rsidRPr="00F7228F" w14:paraId="5F829DED" w14:textId="77777777" w:rsidTr="00CB0BB6">
        <w:tc>
          <w:tcPr>
            <w:tcW w:w="1099" w:type="pct"/>
          </w:tcPr>
          <w:p w14:paraId="7E8E9CE6" w14:textId="77777777" w:rsidR="00236A5B" w:rsidRPr="00F7228F" w:rsidRDefault="00236A5B" w:rsidP="000B242D">
            <w:pPr>
              <w:spacing w:line="276" w:lineRule="auto"/>
              <w:rPr>
                <w:rFonts w:ascii="Arial" w:hAnsi="Arial" w:cs="Arial"/>
              </w:rPr>
            </w:pPr>
          </w:p>
        </w:tc>
        <w:tc>
          <w:tcPr>
            <w:tcW w:w="1258" w:type="pct"/>
          </w:tcPr>
          <w:p w14:paraId="402611D9"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0F879A10" w14:textId="77777777" w:rsidR="00236A5B" w:rsidRPr="00F7228F" w:rsidRDefault="00236A5B" w:rsidP="000B242D">
            <w:pPr>
              <w:spacing w:line="276" w:lineRule="auto"/>
              <w:rPr>
                <w:rFonts w:ascii="Arial" w:hAnsi="Arial" w:cs="Arial"/>
              </w:rPr>
            </w:pPr>
            <w:r w:rsidRPr="00F7228F">
              <w:rPr>
                <w:rFonts w:ascii="Arial" w:hAnsi="Arial" w:cs="Arial"/>
              </w:rPr>
              <w:t>0.0460</w:t>
            </w:r>
          </w:p>
        </w:tc>
        <w:tc>
          <w:tcPr>
            <w:tcW w:w="1307" w:type="pct"/>
          </w:tcPr>
          <w:p w14:paraId="602DFE53" w14:textId="77777777" w:rsidR="00236A5B" w:rsidRPr="00F7228F" w:rsidRDefault="00236A5B" w:rsidP="000B242D">
            <w:pPr>
              <w:spacing w:line="276" w:lineRule="auto"/>
              <w:rPr>
                <w:rFonts w:ascii="Arial" w:hAnsi="Arial" w:cs="Arial"/>
              </w:rPr>
            </w:pPr>
            <w:r w:rsidRPr="00F7228F">
              <w:rPr>
                <w:rFonts w:ascii="Arial" w:hAnsi="Arial" w:cs="Arial"/>
              </w:rPr>
              <w:t>0.0743</w:t>
            </w:r>
          </w:p>
        </w:tc>
      </w:tr>
      <w:tr w:rsidR="00236A5B" w:rsidRPr="00F7228F" w14:paraId="307902F1" w14:textId="77777777" w:rsidTr="00CB0BB6">
        <w:tc>
          <w:tcPr>
            <w:tcW w:w="1099" w:type="pct"/>
            <w:vAlign w:val="center"/>
          </w:tcPr>
          <w:p w14:paraId="30F17CE4" w14:textId="77777777" w:rsidR="00236A5B" w:rsidRPr="00F7228F" w:rsidRDefault="00236A5B" w:rsidP="000B242D">
            <w:pPr>
              <w:spacing w:line="276" w:lineRule="auto"/>
              <w:rPr>
                <w:rFonts w:ascii="Arial" w:hAnsi="Arial" w:cs="Arial"/>
              </w:rPr>
            </w:pPr>
            <w:r w:rsidRPr="00F7228F">
              <w:rPr>
                <w:rFonts w:ascii="Arial" w:hAnsi="Arial" w:cs="Arial"/>
              </w:rPr>
              <w:t xml:space="preserve">IFN-gamma </w:t>
            </w:r>
          </w:p>
        </w:tc>
        <w:tc>
          <w:tcPr>
            <w:tcW w:w="1258" w:type="pct"/>
          </w:tcPr>
          <w:p w14:paraId="3B5110F8"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3004C147" w14:textId="77777777" w:rsidR="00236A5B" w:rsidRPr="00F7228F" w:rsidRDefault="00236A5B" w:rsidP="000B242D">
            <w:pPr>
              <w:spacing w:line="276" w:lineRule="auto"/>
              <w:rPr>
                <w:rFonts w:ascii="Arial" w:hAnsi="Arial" w:cs="Arial"/>
              </w:rPr>
            </w:pPr>
            <w:r w:rsidRPr="00F7228F">
              <w:rPr>
                <w:rFonts w:ascii="Arial" w:hAnsi="Arial" w:cs="Arial"/>
              </w:rPr>
              <w:t xml:space="preserve">-0.021 </w:t>
            </w:r>
          </w:p>
          <w:p w14:paraId="417789B3" w14:textId="77777777" w:rsidR="00236A5B" w:rsidRPr="00F7228F" w:rsidRDefault="00236A5B" w:rsidP="000B242D">
            <w:pPr>
              <w:spacing w:line="276" w:lineRule="auto"/>
              <w:rPr>
                <w:rFonts w:ascii="Arial" w:hAnsi="Arial" w:cs="Arial"/>
              </w:rPr>
            </w:pPr>
            <w:r w:rsidRPr="00F7228F">
              <w:rPr>
                <w:rFonts w:ascii="Arial" w:hAnsi="Arial" w:cs="Arial"/>
              </w:rPr>
              <w:t>(-0.089 – 0.047)</w:t>
            </w:r>
          </w:p>
        </w:tc>
        <w:tc>
          <w:tcPr>
            <w:tcW w:w="1307" w:type="pct"/>
          </w:tcPr>
          <w:p w14:paraId="21EA67C1" w14:textId="77777777" w:rsidR="00236A5B" w:rsidRPr="00F7228F" w:rsidRDefault="00236A5B" w:rsidP="000B242D">
            <w:pPr>
              <w:spacing w:line="276" w:lineRule="auto"/>
              <w:rPr>
                <w:rFonts w:ascii="Arial" w:hAnsi="Arial" w:cs="Arial"/>
              </w:rPr>
            </w:pPr>
            <w:r w:rsidRPr="00F7228F">
              <w:rPr>
                <w:rFonts w:ascii="Arial" w:hAnsi="Arial" w:cs="Arial"/>
              </w:rPr>
              <w:t>0.019</w:t>
            </w:r>
          </w:p>
          <w:p w14:paraId="389B14C8" w14:textId="77777777" w:rsidR="00236A5B" w:rsidRPr="00F7228F" w:rsidRDefault="00236A5B" w:rsidP="000B242D">
            <w:pPr>
              <w:spacing w:line="276" w:lineRule="auto"/>
              <w:rPr>
                <w:rFonts w:ascii="Arial" w:hAnsi="Arial" w:cs="Arial"/>
              </w:rPr>
            </w:pPr>
            <w:r w:rsidRPr="00F7228F">
              <w:rPr>
                <w:rFonts w:ascii="Arial" w:hAnsi="Arial" w:cs="Arial"/>
              </w:rPr>
              <w:t>(-0.149 – 0.186)</w:t>
            </w:r>
          </w:p>
        </w:tc>
      </w:tr>
      <w:tr w:rsidR="00236A5B" w:rsidRPr="00F7228F" w14:paraId="630AD5FF" w14:textId="77777777" w:rsidTr="00CB0BB6">
        <w:tc>
          <w:tcPr>
            <w:tcW w:w="1099" w:type="pct"/>
            <w:vAlign w:val="center"/>
          </w:tcPr>
          <w:p w14:paraId="2D729990" w14:textId="77777777" w:rsidR="00236A5B" w:rsidRPr="00F7228F" w:rsidRDefault="00236A5B" w:rsidP="000B242D">
            <w:pPr>
              <w:spacing w:line="276" w:lineRule="auto"/>
              <w:rPr>
                <w:rFonts w:ascii="Arial" w:hAnsi="Arial" w:cs="Arial"/>
              </w:rPr>
            </w:pPr>
          </w:p>
        </w:tc>
        <w:tc>
          <w:tcPr>
            <w:tcW w:w="1258" w:type="pct"/>
          </w:tcPr>
          <w:p w14:paraId="207A0421"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03FD1F2A" w14:textId="77777777" w:rsidR="00236A5B" w:rsidRPr="00F7228F" w:rsidRDefault="00236A5B" w:rsidP="000B242D">
            <w:pPr>
              <w:spacing w:line="276" w:lineRule="auto"/>
              <w:rPr>
                <w:rFonts w:ascii="Arial" w:hAnsi="Arial" w:cs="Arial"/>
              </w:rPr>
            </w:pPr>
            <w:r w:rsidRPr="00F7228F">
              <w:rPr>
                <w:rFonts w:ascii="Arial" w:hAnsi="Arial" w:cs="Arial"/>
              </w:rPr>
              <w:t>0.543</w:t>
            </w:r>
          </w:p>
        </w:tc>
        <w:tc>
          <w:tcPr>
            <w:tcW w:w="1307" w:type="pct"/>
          </w:tcPr>
          <w:p w14:paraId="20A13213" w14:textId="77777777" w:rsidR="00236A5B" w:rsidRPr="00F7228F" w:rsidRDefault="00236A5B" w:rsidP="000B242D">
            <w:pPr>
              <w:spacing w:line="276" w:lineRule="auto"/>
              <w:rPr>
                <w:rFonts w:ascii="Arial" w:hAnsi="Arial" w:cs="Arial"/>
              </w:rPr>
            </w:pPr>
            <w:r w:rsidRPr="00F7228F">
              <w:rPr>
                <w:rFonts w:ascii="Arial" w:hAnsi="Arial" w:cs="Arial"/>
              </w:rPr>
              <w:t>0.824</w:t>
            </w:r>
          </w:p>
        </w:tc>
      </w:tr>
      <w:tr w:rsidR="00236A5B" w:rsidRPr="00F7228F" w14:paraId="2BB689CE" w14:textId="77777777" w:rsidTr="00CB0BB6">
        <w:tc>
          <w:tcPr>
            <w:tcW w:w="1099" w:type="pct"/>
            <w:vAlign w:val="center"/>
          </w:tcPr>
          <w:p w14:paraId="31C08256" w14:textId="77777777" w:rsidR="00236A5B" w:rsidRPr="00F7228F" w:rsidRDefault="00236A5B" w:rsidP="000B242D">
            <w:pPr>
              <w:spacing w:line="276" w:lineRule="auto"/>
              <w:rPr>
                <w:rFonts w:ascii="Arial" w:hAnsi="Arial" w:cs="Arial"/>
              </w:rPr>
            </w:pPr>
          </w:p>
        </w:tc>
        <w:tc>
          <w:tcPr>
            <w:tcW w:w="1258" w:type="pct"/>
          </w:tcPr>
          <w:p w14:paraId="4154E9E5"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719DC90F" w14:textId="77777777" w:rsidR="00236A5B" w:rsidRPr="00F7228F" w:rsidRDefault="00236A5B" w:rsidP="000B242D">
            <w:pPr>
              <w:spacing w:line="276" w:lineRule="auto"/>
              <w:rPr>
                <w:rFonts w:ascii="Arial" w:hAnsi="Arial" w:cs="Arial"/>
              </w:rPr>
            </w:pPr>
            <w:r w:rsidRPr="00F7228F">
              <w:rPr>
                <w:rFonts w:ascii="Arial" w:hAnsi="Arial" w:cs="Arial"/>
              </w:rPr>
              <w:t>-22.854</w:t>
            </w:r>
          </w:p>
          <w:p w14:paraId="4D37409B" w14:textId="77777777" w:rsidR="00236A5B" w:rsidRPr="00F7228F" w:rsidRDefault="00236A5B" w:rsidP="000B242D">
            <w:pPr>
              <w:spacing w:line="276" w:lineRule="auto"/>
              <w:rPr>
                <w:rFonts w:ascii="Arial" w:hAnsi="Arial" w:cs="Arial"/>
              </w:rPr>
            </w:pPr>
            <w:r w:rsidRPr="00F7228F">
              <w:rPr>
                <w:rFonts w:ascii="Arial" w:hAnsi="Arial" w:cs="Arial"/>
              </w:rPr>
              <w:t>(-68.835 – 23.127)</w:t>
            </w:r>
          </w:p>
        </w:tc>
        <w:tc>
          <w:tcPr>
            <w:tcW w:w="1307" w:type="pct"/>
          </w:tcPr>
          <w:p w14:paraId="5BB65366" w14:textId="77777777" w:rsidR="00236A5B" w:rsidRPr="00F7228F" w:rsidRDefault="00236A5B" w:rsidP="000B242D">
            <w:pPr>
              <w:spacing w:line="276" w:lineRule="auto"/>
              <w:rPr>
                <w:rFonts w:ascii="Arial" w:hAnsi="Arial" w:cs="Arial"/>
              </w:rPr>
            </w:pPr>
            <w:r w:rsidRPr="00F7228F">
              <w:rPr>
                <w:rFonts w:ascii="Arial" w:hAnsi="Arial" w:cs="Arial"/>
              </w:rPr>
              <w:t>2.552</w:t>
            </w:r>
          </w:p>
          <w:p w14:paraId="7CAA48C4" w14:textId="77777777" w:rsidR="00236A5B" w:rsidRPr="00F7228F" w:rsidRDefault="00236A5B" w:rsidP="000B242D">
            <w:pPr>
              <w:spacing w:line="276" w:lineRule="auto"/>
              <w:rPr>
                <w:rFonts w:ascii="Arial" w:hAnsi="Arial" w:cs="Arial"/>
              </w:rPr>
            </w:pPr>
            <w:r w:rsidRPr="00F7228F">
              <w:rPr>
                <w:rFonts w:ascii="Arial" w:hAnsi="Arial" w:cs="Arial"/>
              </w:rPr>
              <w:t>(-105.815 – 110.919)</w:t>
            </w:r>
          </w:p>
        </w:tc>
      </w:tr>
      <w:tr w:rsidR="00236A5B" w:rsidRPr="00F7228F" w14:paraId="64E0E4A9" w14:textId="77777777" w:rsidTr="00CB0BB6">
        <w:tc>
          <w:tcPr>
            <w:tcW w:w="1099" w:type="pct"/>
            <w:vAlign w:val="center"/>
          </w:tcPr>
          <w:p w14:paraId="14D16E64" w14:textId="77777777" w:rsidR="00236A5B" w:rsidRPr="00F7228F" w:rsidRDefault="00236A5B" w:rsidP="000B242D">
            <w:pPr>
              <w:spacing w:line="276" w:lineRule="auto"/>
              <w:rPr>
                <w:rFonts w:ascii="Arial" w:hAnsi="Arial" w:cs="Arial"/>
              </w:rPr>
            </w:pPr>
          </w:p>
        </w:tc>
        <w:tc>
          <w:tcPr>
            <w:tcW w:w="1258" w:type="pct"/>
          </w:tcPr>
          <w:p w14:paraId="4184C1E7"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1D0F9103" w14:textId="77777777" w:rsidR="00236A5B" w:rsidRPr="00F7228F" w:rsidRDefault="00236A5B" w:rsidP="000B242D">
            <w:pPr>
              <w:spacing w:line="276" w:lineRule="auto"/>
              <w:rPr>
                <w:rFonts w:ascii="Arial" w:hAnsi="Arial" w:cs="Arial"/>
              </w:rPr>
            </w:pPr>
            <w:r w:rsidRPr="00F7228F">
              <w:rPr>
                <w:rFonts w:ascii="Arial" w:hAnsi="Arial" w:cs="Arial"/>
              </w:rPr>
              <w:t>0.325</w:t>
            </w:r>
          </w:p>
        </w:tc>
        <w:tc>
          <w:tcPr>
            <w:tcW w:w="1307" w:type="pct"/>
          </w:tcPr>
          <w:p w14:paraId="793AEE9D" w14:textId="77777777" w:rsidR="00236A5B" w:rsidRPr="00F7228F" w:rsidRDefault="00236A5B" w:rsidP="000B242D">
            <w:pPr>
              <w:spacing w:line="276" w:lineRule="auto"/>
              <w:rPr>
                <w:rFonts w:ascii="Arial" w:hAnsi="Arial" w:cs="Arial"/>
              </w:rPr>
            </w:pPr>
            <w:r w:rsidRPr="00F7228F">
              <w:rPr>
                <w:rFonts w:ascii="Arial" w:hAnsi="Arial" w:cs="Arial"/>
              </w:rPr>
              <w:t>0.963</w:t>
            </w:r>
          </w:p>
        </w:tc>
      </w:tr>
      <w:tr w:rsidR="00236A5B" w:rsidRPr="00F7228F" w14:paraId="0454CD57" w14:textId="77777777" w:rsidTr="00CB0BB6">
        <w:tc>
          <w:tcPr>
            <w:tcW w:w="1099" w:type="pct"/>
            <w:vAlign w:val="center"/>
          </w:tcPr>
          <w:p w14:paraId="22B10954" w14:textId="77777777" w:rsidR="00236A5B" w:rsidRPr="00F7228F" w:rsidRDefault="00236A5B" w:rsidP="000B242D">
            <w:pPr>
              <w:spacing w:line="276" w:lineRule="auto"/>
              <w:rPr>
                <w:rFonts w:ascii="Arial" w:hAnsi="Arial" w:cs="Arial"/>
              </w:rPr>
            </w:pPr>
          </w:p>
        </w:tc>
        <w:tc>
          <w:tcPr>
            <w:tcW w:w="1258" w:type="pct"/>
          </w:tcPr>
          <w:p w14:paraId="7CBF9E80"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5E307D2C"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053EF7C0" w14:textId="77777777" w:rsidR="00236A5B" w:rsidRPr="00F7228F" w:rsidRDefault="00236A5B" w:rsidP="000B242D">
            <w:pPr>
              <w:spacing w:line="276" w:lineRule="auto"/>
              <w:rPr>
                <w:rFonts w:ascii="Arial" w:hAnsi="Arial" w:cs="Arial"/>
              </w:rPr>
            </w:pPr>
            <w:r w:rsidRPr="00F7228F">
              <w:rPr>
                <w:rFonts w:ascii="Arial" w:hAnsi="Arial" w:cs="Arial"/>
              </w:rPr>
              <w:t>-3.270</w:t>
            </w:r>
          </w:p>
          <w:p w14:paraId="5BB33067" w14:textId="77777777" w:rsidR="00236A5B" w:rsidRPr="00F7228F" w:rsidRDefault="00236A5B" w:rsidP="000B242D">
            <w:pPr>
              <w:spacing w:line="276" w:lineRule="auto"/>
              <w:rPr>
                <w:rFonts w:ascii="Arial" w:hAnsi="Arial" w:cs="Arial"/>
              </w:rPr>
            </w:pPr>
            <w:r w:rsidRPr="00F7228F">
              <w:rPr>
                <w:rFonts w:ascii="Arial" w:hAnsi="Arial" w:cs="Arial"/>
              </w:rPr>
              <w:t>(-15.885 – 9.345)</w:t>
            </w:r>
          </w:p>
        </w:tc>
      </w:tr>
      <w:tr w:rsidR="00236A5B" w:rsidRPr="00F7228F" w14:paraId="0FC1FA09" w14:textId="77777777" w:rsidTr="00CB0BB6">
        <w:tc>
          <w:tcPr>
            <w:tcW w:w="1099" w:type="pct"/>
            <w:vAlign w:val="center"/>
          </w:tcPr>
          <w:p w14:paraId="445647FD" w14:textId="77777777" w:rsidR="00236A5B" w:rsidRPr="00F7228F" w:rsidRDefault="00236A5B" w:rsidP="000B242D">
            <w:pPr>
              <w:spacing w:line="276" w:lineRule="auto"/>
              <w:rPr>
                <w:rFonts w:ascii="Arial" w:hAnsi="Arial" w:cs="Arial"/>
              </w:rPr>
            </w:pPr>
          </w:p>
        </w:tc>
        <w:tc>
          <w:tcPr>
            <w:tcW w:w="1258" w:type="pct"/>
          </w:tcPr>
          <w:p w14:paraId="3D149664"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59DA603B"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29AA9279" w14:textId="77777777" w:rsidR="00236A5B" w:rsidRPr="00F7228F" w:rsidRDefault="00236A5B" w:rsidP="000B242D">
            <w:pPr>
              <w:spacing w:line="276" w:lineRule="auto"/>
              <w:rPr>
                <w:rFonts w:ascii="Arial" w:hAnsi="Arial" w:cs="Arial"/>
              </w:rPr>
            </w:pPr>
            <w:r w:rsidRPr="00F7228F">
              <w:rPr>
                <w:rFonts w:ascii="Arial" w:hAnsi="Arial" w:cs="Arial"/>
              </w:rPr>
              <w:t>0.607</w:t>
            </w:r>
          </w:p>
        </w:tc>
      </w:tr>
      <w:tr w:rsidR="00236A5B" w:rsidRPr="00F7228F" w14:paraId="462E1A8E" w14:textId="77777777" w:rsidTr="00CB0BB6">
        <w:tc>
          <w:tcPr>
            <w:tcW w:w="1099" w:type="pct"/>
            <w:vAlign w:val="center"/>
          </w:tcPr>
          <w:p w14:paraId="1FA1E916" w14:textId="77777777" w:rsidR="00236A5B" w:rsidRPr="00F7228F" w:rsidRDefault="00236A5B" w:rsidP="000B242D">
            <w:pPr>
              <w:spacing w:line="276" w:lineRule="auto"/>
              <w:rPr>
                <w:rFonts w:ascii="Arial" w:hAnsi="Arial" w:cs="Arial"/>
              </w:rPr>
            </w:pPr>
          </w:p>
        </w:tc>
        <w:tc>
          <w:tcPr>
            <w:tcW w:w="1258" w:type="pct"/>
          </w:tcPr>
          <w:p w14:paraId="2177C537"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0AD588C1" w14:textId="77777777" w:rsidR="00236A5B" w:rsidRPr="00F7228F" w:rsidRDefault="00236A5B" w:rsidP="000B242D">
            <w:pPr>
              <w:spacing w:line="276" w:lineRule="auto"/>
              <w:rPr>
                <w:rFonts w:ascii="Arial" w:hAnsi="Arial" w:cs="Arial"/>
              </w:rPr>
            </w:pPr>
            <w:r w:rsidRPr="00F7228F">
              <w:rPr>
                <w:rFonts w:ascii="Arial" w:hAnsi="Arial" w:cs="Arial"/>
              </w:rPr>
              <w:t>0.0177</w:t>
            </w:r>
          </w:p>
        </w:tc>
        <w:tc>
          <w:tcPr>
            <w:tcW w:w="1307" w:type="pct"/>
          </w:tcPr>
          <w:p w14:paraId="3CEC0950" w14:textId="77777777" w:rsidR="00236A5B" w:rsidRPr="00F7228F" w:rsidRDefault="00236A5B" w:rsidP="000B242D">
            <w:pPr>
              <w:spacing w:line="276" w:lineRule="auto"/>
              <w:rPr>
                <w:rFonts w:ascii="Arial" w:hAnsi="Arial" w:cs="Arial"/>
              </w:rPr>
            </w:pPr>
            <w:r w:rsidRPr="00F7228F">
              <w:rPr>
                <w:rFonts w:ascii="Arial" w:hAnsi="Arial" w:cs="Arial"/>
              </w:rPr>
              <w:t>0.0213</w:t>
            </w:r>
          </w:p>
        </w:tc>
      </w:tr>
      <w:tr w:rsidR="00236A5B" w:rsidRPr="00F7228F" w14:paraId="085B6F1D" w14:textId="77777777" w:rsidTr="00CB0BB6">
        <w:tc>
          <w:tcPr>
            <w:tcW w:w="1099" w:type="pct"/>
          </w:tcPr>
          <w:p w14:paraId="71BD80EA" w14:textId="77777777" w:rsidR="00236A5B" w:rsidRPr="00F7228F" w:rsidRDefault="00236A5B" w:rsidP="000B242D">
            <w:pPr>
              <w:spacing w:line="276" w:lineRule="auto"/>
              <w:rPr>
                <w:rFonts w:ascii="Arial" w:hAnsi="Arial" w:cs="Arial"/>
              </w:rPr>
            </w:pPr>
            <w:r w:rsidRPr="00F7228F">
              <w:rPr>
                <w:rFonts w:ascii="Arial" w:hAnsi="Arial" w:cs="Arial"/>
              </w:rPr>
              <w:t>TNF-alpha</w:t>
            </w:r>
          </w:p>
        </w:tc>
        <w:tc>
          <w:tcPr>
            <w:tcW w:w="1258" w:type="pct"/>
          </w:tcPr>
          <w:p w14:paraId="0E078E37" w14:textId="77777777" w:rsidR="00236A5B" w:rsidRPr="00F7228F" w:rsidRDefault="00236A5B" w:rsidP="000B242D">
            <w:pPr>
              <w:spacing w:line="276" w:lineRule="auto"/>
              <w:rPr>
                <w:rFonts w:ascii="Arial" w:hAnsi="Arial" w:cs="Arial"/>
              </w:rPr>
            </w:pPr>
            <w:r w:rsidRPr="00F7228F">
              <w:rPr>
                <w:rFonts w:ascii="Arial" w:hAnsi="Arial" w:cs="Arial"/>
              </w:rPr>
              <w:t>Cytokine, coefficient</w:t>
            </w:r>
          </w:p>
        </w:tc>
        <w:tc>
          <w:tcPr>
            <w:tcW w:w="1336" w:type="pct"/>
          </w:tcPr>
          <w:p w14:paraId="52E79B89" w14:textId="77777777" w:rsidR="00236A5B" w:rsidRPr="00F7228F" w:rsidRDefault="00236A5B" w:rsidP="000B242D">
            <w:pPr>
              <w:spacing w:line="276" w:lineRule="auto"/>
              <w:rPr>
                <w:rFonts w:ascii="Arial" w:hAnsi="Arial" w:cs="Arial"/>
              </w:rPr>
            </w:pPr>
            <w:r w:rsidRPr="00F7228F">
              <w:rPr>
                <w:rFonts w:ascii="Arial" w:hAnsi="Arial" w:cs="Arial"/>
              </w:rPr>
              <w:t>0.009</w:t>
            </w:r>
          </w:p>
          <w:p w14:paraId="1A46C285" w14:textId="77777777" w:rsidR="00236A5B" w:rsidRPr="00F7228F" w:rsidRDefault="00236A5B" w:rsidP="000B242D">
            <w:pPr>
              <w:spacing w:line="276" w:lineRule="auto"/>
              <w:rPr>
                <w:rFonts w:ascii="Arial" w:hAnsi="Arial" w:cs="Arial"/>
              </w:rPr>
            </w:pPr>
            <w:r w:rsidRPr="00F7228F">
              <w:rPr>
                <w:rFonts w:ascii="Arial" w:hAnsi="Arial" w:cs="Arial"/>
              </w:rPr>
              <w:t>(-0.011 – 0.030)</w:t>
            </w:r>
          </w:p>
        </w:tc>
        <w:tc>
          <w:tcPr>
            <w:tcW w:w="1307" w:type="pct"/>
          </w:tcPr>
          <w:p w14:paraId="27A12370" w14:textId="77777777" w:rsidR="00236A5B" w:rsidRPr="00F7228F" w:rsidRDefault="00236A5B" w:rsidP="000B242D">
            <w:pPr>
              <w:spacing w:line="276" w:lineRule="auto"/>
              <w:rPr>
                <w:rFonts w:ascii="Arial" w:hAnsi="Arial" w:cs="Arial"/>
              </w:rPr>
            </w:pPr>
            <w:r w:rsidRPr="00F7228F">
              <w:rPr>
                <w:rFonts w:ascii="Arial" w:hAnsi="Arial" w:cs="Arial"/>
              </w:rPr>
              <w:t>0.005</w:t>
            </w:r>
          </w:p>
          <w:p w14:paraId="6BD93F39" w14:textId="77777777" w:rsidR="00236A5B" w:rsidRPr="00F7228F" w:rsidRDefault="00236A5B" w:rsidP="000B242D">
            <w:pPr>
              <w:spacing w:line="276" w:lineRule="auto"/>
              <w:rPr>
                <w:rFonts w:ascii="Arial" w:hAnsi="Arial" w:cs="Arial"/>
              </w:rPr>
            </w:pPr>
            <w:r w:rsidRPr="00F7228F">
              <w:rPr>
                <w:rFonts w:ascii="Arial" w:hAnsi="Arial" w:cs="Arial"/>
              </w:rPr>
              <w:t>(-0.031 – 0.041)</w:t>
            </w:r>
          </w:p>
        </w:tc>
      </w:tr>
      <w:tr w:rsidR="00236A5B" w:rsidRPr="00F7228F" w14:paraId="291AD796" w14:textId="77777777" w:rsidTr="00CB0BB6">
        <w:tc>
          <w:tcPr>
            <w:tcW w:w="1099" w:type="pct"/>
          </w:tcPr>
          <w:p w14:paraId="36C25353" w14:textId="77777777" w:rsidR="00236A5B" w:rsidRPr="00F7228F" w:rsidRDefault="00236A5B" w:rsidP="000B242D">
            <w:pPr>
              <w:spacing w:line="276" w:lineRule="auto"/>
              <w:rPr>
                <w:rFonts w:ascii="Arial" w:hAnsi="Arial" w:cs="Arial"/>
              </w:rPr>
            </w:pPr>
          </w:p>
        </w:tc>
        <w:tc>
          <w:tcPr>
            <w:tcW w:w="1258" w:type="pct"/>
          </w:tcPr>
          <w:p w14:paraId="58035BEF" w14:textId="77777777" w:rsidR="00236A5B" w:rsidRPr="00F7228F" w:rsidRDefault="00236A5B" w:rsidP="000B242D">
            <w:pPr>
              <w:spacing w:line="276" w:lineRule="auto"/>
              <w:rPr>
                <w:rFonts w:ascii="Arial" w:hAnsi="Arial" w:cs="Arial"/>
              </w:rPr>
            </w:pPr>
            <w:r w:rsidRPr="00F7228F">
              <w:rPr>
                <w:rFonts w:ascii="Arial" w:hAnsi="Arial" w:cs="Arial"/>
              </w:rPr>
              <w:t>Cytokine, p-value</w:t>
            </w:r>
          </w:p>
        </w:tc>
        <w:tc>
          <w:tcPr>
            <w:tcW w:w="1336" w:type="pct"/>
          </w:tcPr>
          <w:p w14:paraId="13EAD64A" w14:textId="77777777" w:rsidR="00236A5B" w:rsidRPr="00F7228F" w:rsidRDefault="00236A5B" w:rsidP="000B242D">
            <w:pPr>
              <w:spacing w:line="276" w:lineRule="auto"/>
              <w:rPr>
                <w:rFonts w:ascii="Arial" w:hAnsi="Arial" w:cs="Arial"/>
              </w:rPr>
            </w:pPr>
            <w:r w:rsidRPr="00F7228F">
              <w:rPr>
                <w:rFonts w:ascii="Arial" w:hAnsi="Arial" w:cs="Arial"/>
              </w:rPr>
              <w:t>0.356</w:t>
            </w:r>
          </w:p>
        </w:tc>
        <w:tc>
          <w:tcPr>
            <w:tcW w:w="1307" w:type="pct"/>
          </w:tcPr>
          <w:p w14:paraId="332B8F07" w14:textId="77777777" w:rsidR="00236A5B" w:rsidRPr="00F7228F" w:rsidRDefault="00236A5B" w:rsidP="000B242D">
            <w:pPr>
              <w:spacing w:line="276" w:lineRule="auto"/>
              <w:rPr>
                <w:rFonts w:ascii="Arial" w:hAnsi="Arial" w:cs="Arial"/>
              </w:rPr>
            </w:pPr>
            <w:r w:rsidRPr="00F7228F">
              <w:rPr>
                <w:rFonts w:ascii="Arial" w:hAnsi="Arial" w:cs="Arial"/>
              </w:rPr>
              <w:t>0.795</w:t>
            </w:r>
          </w:p>
        </w:tc>
      </w:tr>
      <w:tr w:rsidR="00236A5B" w:rsidRPr="00F7228F" w14:paraId="5BC6CA1B" w14:textId="77777777" w:rsidTr="00CB0BB6">
        <w:tc>
          <w:tcPr>
            <w:tcW w:w="1099" w:type="pct"/>
          </w:tcPr>
          <w:p w14:paraId="05CD5962" w14:textId="77777777" w:rsidR="00236A5B" w:rsidRPr="00F7228F" w:rsidRDefault="00236A5B" w:rsidP="000B242D">
            <w:pPr>
              <w:spacing w:line="276" w:lineRule="auto"/>
              <w:rPr>
                <w:rFonts w:ascii="Arial" w:hAnsi="Arial" w:cs="Arial"/>
              </w:rPr>
            </w:pPr>
          </w:p>
        </w:tc>
        <w:tc>
          <w:tcPr>
            <w:tcW w:w="1258" w:type="pct"/>
          </w:tcPr>
          <w:p w14:paraId="31EAA772"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coefficient</w:t>
            </w:r>
          </w:p>
        </w:tc>
        <w:tc>
          <w:tcPr>
            <w:tcW w:w="1336" w:type="pct"/>
          </w:tcPr>
          <w:p w14:paraId="122685A7" w14:textId="77777777" w:rsidR="00236A5B" w:rsidRPr="00F7228F" w:rsidRDefault="00236A5B" w:rsidP="000B242D">
            <w:pPr>
              <w:spacing w:line="276" w:lineRule="auto"/>
              <w:rPr>
                <w:rFonts w:ascii="Arial" w:hAnsi="Arial" w:cs="Arial"/>
              </w:rPr>
            </w:pPr>
            <w:r w:rsidRPr="00F7228F">
              <w:rPr>
                <w:rFonts w:ascii="Arial" w:hAnsi="Arial" w:cs="Arial"/>
              </w:rPr>
              <w:t>-0.959</w:t>
            </w:r>
          </w:p>
          <w:p w14:paraId="6AE204D9" w14:textId="77777777" w:rsidR="00236A5B" w:rsidRPr="00F7228F" w:rsidRDefault="00236A5B" w:rsidP="000B242D">
            <w:pPr>
              <w:spacing w:line="276" w:lineRule="auto"/>
              <w:rPr>
                <w:rFonts w:ascii="Arial" w:hAnsi="Arial" w:cs="Arial"/>
              </w:rPr>
            </w:pPr>
            <w:r w:rsidRPr="00F7228F">
              <w:rPr>
                <w:rFonts w:ascii="Arial" w:hAnsi="Arial" w:cs="Arial"/>
              </w:rPr>
              <w:t>(-4.511 – 2.593)</w:t>
            </w:r>
          </w:p>
        </w:tc>
        <w:tc>
          <w:tcPr>
            <w:tcW w:w="1307" w:type="pct"/>
          </w:tcPr>
          <w:p w14:paraId="7BE0E6F9" w14:textId="77777777" w:rsidR="00236A5B" w:rsidRPr="00F7228F" w:rsidRDefault="00236A5B" w:rsidP="000B242D">
            <w:pPr>
              <w:spacing w:line="276" w:lineRule="auto"/>
              <w:rPr>
                <w:rFonts w:ascii="Arial" w:hAnsi="Arial" w:cs="Arial"/>
              </w:rPr>
            </w:pPr>
            <w:r w:rsidRPr="00F7228F">
              <w:rPr>
                <w:rFonts w:ascii="Arial" w:hAnsi="Arial" w:cs="Arial"/>
              </w:rPr>
              <w:t>-4.475</w:t>
            </w:r>
          </w:p>
          <w:p w14:paraId="7E09DF41" w14:textId="77777777" w:rsidR="00236A5B" w:rsidRPr="00F7228F" w:rsidRDefault="00236A5B" w:rsidP="000B242D">
            <w:pPr>
              <w:spacing w:line="276" w:lineRule="auto"/>
              <w:rPr>
                <w:rFonts w:ascii="Arial" w:hAnsi="Arial" w:cs="Arial"/>
              </w:rPr>
            </w:pPr>
            <w:r w:rsidRPr="00F7228F">
              <w:rPr>
                <w:rFonts w:ascii="Arial" w:hAnsi="Arial" w:cs="Arial"/>
              </w:rPr>
              <w:t>(-27.093 – 18.142)</w:t>
            </w:r>
          </w:p>
        </w:tc>
      </w:tr>
      <w:tr w:rsidR="00236A5B" w:rsidRPr="00F7228F" w14:paraId="5DBCE5E9" w14:textId="77777777" w:rsidTr="00CB0BB6">
        <w:tc>
          <w:tcPr>
            <w:tcW w:w="1099" w:type="pct"/>
          </w:tcPr>
          <w:p w14:paraId="744453A2" w14:textId="77777777" w:rsidR="00236A5B" w:rsidRPr="00F7228F" w:rsidRDefault="00236A5B" w:rsidP="000B242D">
            <w:pPr>
              <w:spacing w:line="276" w:lineRule="auto"/>
              <w:rPr>
                <w:rFonts w:ascii="Arial" w:hAnsi="Arial" w:cs="Arial"/>
              </w:rPr>
            </w:pPr>
          </w:p>
        </w:tc>
        <w:tc>
          <w:tcPr>
            <w:tcW w:w="1258" w:type="pct"/>
          </w:tcPr>
          <w:p w14:paraId="7C496848" w14:textId="77777777" w:rsidR="00236A5B" w:rsidRPr="00F7228F" w:rsidRDefault="00236A5B" w:rsidP="000B242D">
            <w:pPr>
              <w:spacing w:line="276" w:lineRule="auto"/>
              <w:rPr>
                <w:rFonts w:ascii="Arial" w:hAnsi="Arial" w:cs="Arial"/>
              </w:rPr>
            </w:pPr>
            <w:proofErr w:type="spellStart"/>
            <w:r w:rsidRPr="00F7228F">
              <w:rPr>
                <w:rFonts w:ascii="Arial" w:hAnsi="Arial" w:cs="Arial"/>
              </w:rPr>
              <w:t>qAlb</w:t>
            </w:r>
            <w:proofErr w:type="spellEnd"/>
            <w:r w:rsidRPr="00F7228F">
              <w:rPr>
                <w:rFonts w:ascii="Arial" w:hAnsi="Arial" w:cs="Arial"/>
              </w:rPr>
              <w:t>, p-value</w:t>
            </w:r>
          </w:p>
        </w:tc>
        <w:tc>
          <w:tcPr>
            <w:tcW w:w="1336" w:type="pct"/>
          </w:tcPr>
          <w:p w14:paraId="27328ADE" w14:textId="77777777" w:rsidR="00236A5B" w:rsidRPr="00F7228F" w:rsidRDefault="00236A5B" w:rsidP="000B242D">
            <w:pPr>
              <w:spacing w:line="276" w:lineRule="auto"/>
              <w:rPr>
                <w:rFonts w:ascii="Arial" w:hAnsi="Arial" w:cs="Arial"/>
              </w:rPr>
            </w:pPr>
            <w:r w:rsidRPr="00F7228F">
              <w:rPr>
                <w:rFonts w:ascii="Arial" w:hAnsi="Arial" w:cs="Arial"/>
              </w:rPr>
              <w:t>0.592</w:t>
            </w:r>
          </w:p>
        </w:tc>
        <w:tc>
          <w:tcPr>
            <w:tcW w:w="1307" w:type="pct"/>
          </w:tcPr>
          <w:p w14:paraId="5906321A" w14:textId="77777777" w:rsidR="00236A5B" w:rsidRPr="00F7228F" w:rsidRDefault="00236A5B" w:rsidP="000B242D">
            <w:pPr>
              <w:spacing w:line="276" w:lineRule="auto"/>
              <w:rPr>
                <w:rFonts w:ascii="Arial" w:hAnsi="Arial" w:cs="Arial"/>
              </w:rPr>
            </w:pPr>
            <w:r w:rsidRPr="00F7228F">
              <w:rPr>
                <w:rFonts w:ascii="Arial" w:hAnsi="Arial" w:cs="Arial"/>
              </w:rPr>
              <w:t>0.695</w:t>
            </w:r>
          </w:p>
        </w:tc>
      </w:tr>
      <w:tr w:rsidR="00236A5B" w:rsidRPr="00F7228F" w14:paraId="7B5EC350" w14:textId="77777777" w:rsidTr="00CB0BB6">
        <w:tc>
          <w:tcPr>
            <w:tcW w:w="1099" w:type="pct"/>
          </w:tcPr>
          <w:p w14:paraId="32CD0D03" w14:textId="77777777" w:rsidR="00236A5B" w:rsidRPr="00F7228F" w:rsidRDefault="00236A5B" w:rsidP="000B242D">
            <w:pPr>
              <w:spacing w:line="276" w:lineRule="auto"/>
              <w:rPr>
                <w:rFonts w:ascii="Arial" w:hAnsi="Arial" w:cs="Arial"/>
              </w:rPr>
            </w:pPr>
          </w:p>
        </w:tc>
        <w:tc>
          <w:tcPr>
            <w:tcW w:w="1258" w:type="pct"/>
          </w:tcPr>
          <w:p w14:paraId="7F78FF1B" w14:textId="77777777" w:rsidR="00236A5B" w:rsidRPr="00F7228F" w:rsidRDefault="00236A5B" w:rsidP="000B242D">
            <w:pPr>
              <w:spacing w:line="276" w:lineRule="auto"/>
              <w:rPr>
                <w:rFonts w:ascii="Arial" w:hAnsi="Arial" w:cs="Arial"/>
              </w:rPr>
            </w:pPr>
            <w:r w:rsidRPr="00F7228F">
              <w:rPr>
                <w:rFonts w:ascii="Arial" w:hAnsi="Arial" w:cs="Arial"/>
              </w:rPr>
              <w:t>Interaction, coefficient</w:t>
            </w:r>
          </w:p>
        </w:tc>
        <w:tc>
          <w:tcPr>
            <w:tcW w:w="1336" w:type="pct"/>
          </w:tcPr>
          <w:p w14:paraId="5FDFB8E6"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24C546C5" w14:textId="77777777" w:rsidR="00236A5B" w:rsidRPr="00F7228F" w:rsidRDefault="00236A5B" w:rsidP="000B242D">
            <w:pPr>
              <w:spacing w:line="276" w:lineRule="auto"/>
              <w:rPr>
                <w:rFonts w:ascii="Arial" w:hAnsi="Arial" w:cs="Arial"/>
              </w:rPr>
            </w:pPr>
            <w:r w:rsidRPr="00F7228F">
              <w:rPr>
                <w:rFonts w:ascii="Arial" w:hAnsi="Arial" w:cs="Arial"/>
              </w:rPr>
              <w:t>0.404</w:t>
            </w:r>
          </w:p>
          <w:p w14:paraId="3F38A6AB" w14:textId="77777777" w:rsidR="00236A5B" w:rsidRPr="00F7228F" w:rsidRDefault="00236A5B" w:rsidP="000B242D">
            <w:pPr>
              <w:spacing w:line="276" w:lineRule="auto"/>
              <w:rPr>
                <w:rFonts w:ascii="Arial" w:hAnsi="Arial" w:cs="Arial"/>
              </w:rPr>
            </w:pPr>
            <w:r w:rsidRPr="00F7228F">
              <w:rPr>
                <w:rFonts w:ascii="Arial" w:hAnsi="Arial" w:cs="Arial"/>
              </w:rPr>
              <w:t>(-2.160 – 2.968)</w:t>
            </w:r>
          </w:p>
        </w:tc>
      </w:tr>
      <w:tr w:rsidR="00236A5B" w:rsidRPr="00F7228F" w14:paraId="73ACD14E" w14:textId="77777777" w:rsidTr="00CB0BB6">
        <w:tc>
          <w:tcPr>
            <w:tcW w:w="1099" w:type="pct"/>
          </w:tcPr>
          <w:p w14:paraId="7D77C20E" w14:textId="77777777" w:rsidR="00236A5B" w:rsidRPr="00F7228F" w:rsidRDefault="00236A5B" w:rsidP="000B242D">
            <w:pPr>
              <w:spacing w:line="276" w:lineRule="auto"/>
              <w:rPr>
                <w:rFonts w:ascii="Arial" w:hAnsi="Arial" w:cs="Arial"/>
              </w:rPr>
            </w:pPr>
          </w:p>
        </w:tc>
        <w:tc>
          <w:tcPr>
            <w:tcW w:w="1258" w:type="pct"/>
          </w:tcPr>
          <w:p w14:paraId="765C85CC" w14:textId="77777777" w:rsidR="00236A5B" w:rsidRPr="00F7228F" w:rsidRDefault="00236A5B" w:rsidP="000B242D">
            <w:pPr>
              <w:spacing w:line="276" w:lineRule="auto"/>
              <w:rPr>
                <w:rFonts w:ascii="Arial" w:hAnsi="Arial" w:cs="Arial"/>
              </w:rPr>
            </w:pPr>
            <w:r w:rsidRPr="00F7228F">
              <w:rPr>
                <w:rFonts w:ascii="Arial" w:hAnsi="Arial" w:cs="Arial"/>
              </w:rPr>
              <w:t>Interaction, p-value</w:t>
            </w:r>
          </w:p>
        </w:tc>
        <w:tc>
          <w:tcPr>
            <w:tcW w:w="1336" w:type="pct"/>
          </w:tcPr>
          <w:p w14:paraId="5685E6E8"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1307" w:type="pct"/>
          </w:tcPr>
          <w:p w14:paraId="69F83F99" w14:textId="77777777" w:rsidR="00236A5B" w:rsidRPr="00F7228F" w:rsidRDefault="00236A5B" w:rsidP="000B242D">
            <w:pPr>
              <w:spacing w:line="276" w:lineRule="auto"/>
              <w:rPr>
                <w:rFonts w:ascii="Arial" w:hAnsi="Arial" w:cs="Arial"/>
              </w:rPr>
            </w:pPr>
            <w:r w:rsidRPr="00F7228F">
              <w:rPr>
                <w:rFonts w:ascii="Arial" w:hAnsi="Arial" w:cs="Arial"/>
              </w:rPr>
              <w:t>0.755</w:t>
            </w:r>
          </w:p>
        </w:tc>
      </w:tr>
      <w:tr w:rsidR="00236A5B" w:rsidRPr="00F7228F" w14:paraId="4D62FFA2" w14:textId="77777777" w:rsidTr="00CB0BB6">
        <w:tc>
          <w:tcPr>
            <w:tcW w:w="1099" w:type="pct"/>
          </w:tcPr>
          <w:p w14:paraId="47E69FC9" w14:textId="77777777" w:rsidR="00236A5B" w:rsidRPr="00F7228F" w:rsidRDefault="00236A5B" w:rsidP="000B242D">
            <w:pPr>
              <w:spacing w:line="276" w:lineRule="auto"/>
              <w:rPr>
                <w:rFonts w:ascii="Arial" w:hAnsi="Arial" w:cs="Arial"/>
              </w:rPr>
            </w:pPr>
          </w:p>
        </w:tc>
        <w:tc>
          <w:tcPr>
            <w:tcW w:w="1258" w:type="pct"/>
          </w:tcPr>
          <w:p w14:paraId="758CC4FF" w14:textId="77777777" w:rsidR="00236A5B" w:rsidRPr="00F7228F" w:rsidRDefault="00236A5B" w:rsidP="000B242D">
            <w:pPr>
              <w:spacing w:line="276" w:lineRule="auto"/>
              <w:rPr>
                <w:rFonts w:ascii="Arial" w:hAnsi="Arial" w:cs="Arial"/>
              </w:rPr>
            </w:pPr>
            <w:r w:rsidRPr="00F7228F">
              <w:rPr>
                <w:rFonts w:ascii="Arial" w:hAnsi="Arial" w:cs="Arial"/>
              </w:rPr>
              <w:t>R</w:t>
            </w:r>
            <w:r w:rsidRPr="00F7228F">
              <w:rPr>
                <w:rFonts w:ascii="Arial" w:hAnsi="Arial" w:cs="Arial"/>
                <w:vertAlign w:val="superscript"/>
              </w:rPr>
              <w:t>2</w:t>
            </w:r>
          </w:p>
        </w:tc>
        <w:tc>
          <w:tcPr>
            <w:tcW w:w="1336" w:type="pct"/>
          </w:tcPr>
          <w:p w14:paraId="346E68D1" w14:textId="77777777" w:rsidR="00236A5B" w:rsidRPr="00F7228F" w:rsidRDefault="00236A5B" w:rsidP="000B242D">
            <w:pPr>
              <w:spacing w:line="276" w:lineRule="auto"/>
              <w:rPr>
                <w:rFonts w:ascii="Arial" w:hAnsi="Arial" w:cs="Arial"/>
              </w:rPr>
            </w:pPr>
            <w:r w:rsidRPr="00F7228F">
              <w:rPr>
                <w:rFonts w:ascii="Arial" w:hAnsi="Arial" w:cs="Arial"/>
              </w:rPr>
              <w:t>0.0137</w:t>
            </w:r>
          </w:p>
        </w:tc>
        <w:tc>
          <w:tcPr>
            <w:tcW w:w="1307" w:type="pct"/>
          </w:tcPr>
          <w:p w14:paraId="0AB7EF46" w14:textId="77777777" w:rsidR="00236A5B" w:rsidRPr="00F7228F" w:rsidRDefault="00236A5B" w:rsidP="000B242D">
            <w:pPr>
              <w:spacing w:line="276" w:lineRule="auto"/>
              <w:rPr>
                <w:rFonts w:ascii="Arial" w:hAnsi="Arial" w:cs="Arial"/>
              </w:rPr>
            </w:pPr>
            <w:r w:rsidRPr="00F7228F">
              <w:rPr>
                <w:rFonts w:ascii="Arial" w:hAnsi="Arial" w:cs="Arial"/>
              </w:rPr>
              <w:t>0.0150</w:t>
            </w:r>
          </w:p>
        </w:tc>
      </w:tr>
    </w:tbl>
    <w:p w14:paraId="69F5D453" w14:textId="77777777" w:rsidR="00236A5B" w:rsidRPr="00F7228F" w:rsidRDefault="00236A5B" w:rsidP="000B242D">
      <w:pPr>
        <w:spacing w:after="0" w:line="276" w:lineRule="auto"/>
        <w:rPr>
          <w:rFonts w:ascii="Arial" w:hAnsi="Arial" w:cs="Arial"/>
        </w:rPr>
      </w:pPr>
    </w:p>
    <w:p w14:paraId="16DF5244" w14:textId="77777777" w:rsidR="00236A5B" w:rsidRPr="00F7228F" w:rsidRDefault="00236A5B" w:rsidP="000B242D">
      <w:pPr>
        <w:spacing w:after="0"/>
        <w:rPr>
          <w:rFonts w:ascii="Arial" w:hAnsi="Arial" w:cs="Arial"/>
        </w:rPr>
        <w:sectPr w:rsidR="00236A5B" w:rsidRPr="00F7228F" w:rsidSect="00CC00D1">
          <w:pgSz w:w="11906" w:h="16838"/>
          <w:pgMar w:top="1440" w:right="1440" w:bottom="1440" w:left="1440" w:header="708" w:footer="708" w:gutter="0"/>
          <w:cols w:space="708"/>
          <w:docGrid w:linePitch="360"/>
        </w:sectPr>
      </w:pPr>
    </w:p>
    <w:p w14:paraId="1063B394" w14:textId="77777777" w:rsidR="00236A5B" w:rsidRPr="00F7228F" w:rsidRDefault="00236A5B" w:rsidP="000B242D">
      <w:pPr>
        <w:spacing w:after="0" w:line="276" w:lineRule="auto"/>
        <w:rPr>
          <w:rFonts w:ascii="Arial" w:hAnsi="Arial" w:cs="Arial"/>
          <w:b/>
          <w:bCs/>
        </w:rPr>
      </w:pPr>
      <w:r w:rsidRPr="00F7228F">
        <w:rPr>
          <w:rFonts w:ascii="Arial" w:hAnsi="Arial" w:cs="Arial"/>
          <w:b/>
          <w:bCs/>
        </w:rPr>
        <w:lastRenderedPageBreak/>
        <w:t>Supplementary Table 6</w:t>
      </w:r>
      <w:r w:rsidRPr="00F7228F">
        <w:rPr>
          <w:rFonts w:ascii="Arial" w:hAnsi="Arial" w:cs="Arial"/>
        </w:rPr>
        <w:t xml:space="preserve"> – Association of cytokine levels in cerebrospinal fluid (CSF) and plasma with outcome variables. Univariable logistic regression results shown for death. Ordinal logistic regression results shown for modified Rankin Scale (MRS) </w:t>
      </w:r>
      <w:bookmarkStart w:id="1" w:name="OLE_LINK13"/>
      <w:r w:rsidRPr="00F7228F">
        <w:rPr>
          <w:rFonts w:ascii="Arial" w:hAnsi="Arial" w:cs="Arial"/>
        </w:rPr>
        <w:t xml:space="preserve">and SAH Outcome Tool (SAHOT) without Bonferroni correction. 0.10 &gt; p &gt; 0.05 in orange. p&lt;0.05 in red. </w:t>
      </w:r>
    </w:p>
    <w:tbl>
      <w:tblPr>
        <w:tblStyle w:val="TableGrid"/>
        <w:tblW w:w="5000" w:type="pct"/>
        <w:tblLook w:val="04A0" w:firstRow="1" w:lastRow="0" w:firstColumn="1" w:lastColumn="0" w:noHBand="0" w:noVBand="1"/>
      </w:tblPr>
      <w:tblGrid>
        <w:gridCol w:w="1279"/>
        <w:gridCol w:w="1465"/>
        <w:gridCol w:w="1420"/>
        <w:gridCol w:w="1420"/>
        <w:gridCol w:w="1420"/>
        <w:gridCol w:w="1420"/>
        <w:gridCol w:w="1425"/>
        <w:gridCol w:w="1292"/>
        <w:gridCol w:w="1398"/>
        <w:gridCol w:w="1409"/>
      </w:tblGrid>
      <w:tr w:rsidR="00236A5B" w:rsidRPr="00F7228F" w14:paraId="2B94CEDB" w14:textId="77777777" w:rsidTr="00CB0BB6">
        <w:tc>
          <w:tcPr>
            <w:tcW w:w="983" w:type="pct"/>
            <w:gridSpan w:val="2"/>
            <w:vMerge w:val="restart"/>
          </w:tcPr>
          <w:bookmarkEnd w:id="1"/>
          <w:p w14:paraId="5BECE312" w14:textId="77777777" w:rsidR="00236A5B" w:rsidRPr="00F7228F" w:rsidRDefault="00236A5B" w:rsidP="000B242D">
            <w:pPr>
              <w:spacing w:line="276" w:lineRule="auto"/>
              <w:rPr>
                <w:rFonts w:ascii="Arial" w:hAnsi="Arial" w:cs="Arial"/>
                <w:b/>
                <w:bCs/>
              </w:rPr>
            </w:pPr>
            <w:r w:rsidRPr="00F7228F">
              <w:rPr>
                <w:rFonts w:ascii="Arial" w:hAnsi="Arial" w:cs="Arial"/>
                <w:b/>
                <w:bCs/>
              </w:rPr>
              <w:t>Univariable regression</w:t>
            </w:r>
          </w:p>
        </w:tc>
        <w:tc>
          <w:tcPr>
            <w:tcW w:w="509" w:type="pct"/>
            <w:vMerge w:val="restart"/>
          </w:tcPr>
          <w:p w14:paraId="29D00D1F" w14:textId="77777777" w:rsidR="00236A5B" w:rsidRPr="00F7228F" w:rsidRDefault="00236A5B" w:rsidP="000B242D">
            <w:pPr>
              <w:spacing w:line="276" w:lineRule="auto"/>
              <w:rPr>
                <w:rFonts w:ascii="Arial" w:hAnsi="Arial" w:cs="Arial"/>
                <w:b/>
                <w:bCs/>
              </w:rPr>
            </w:pPr>
            <w:r w:rsidRPr="00F7228F">
              <w:rPr>
                <w:rFonts w:ascii="Arial" w:hAnsi="Arial" w:cs="Arial"/>
                <w:b/>
                <w:bCs/>
              </w:rPr>
              <w:t>Death (OR)</w:t>
            </w:r>
          </w:p>
        </w:tc>
        <w:tc>
          <w:tcPr>
            <w:tcW w:w="2038" w:type="pct"/>
            <w:gridSpan w:val="4"/>
          </w:tcPr>
          <w:p w14:paraId="2D942119" w14:textId="77777777" w:rsidR="00236A5B" w:rsidRPr="00F7228F" w:rsidRDefault="00236A5B" w:rsidP="000B242D">
            <w:pPr>
              <w:tabs>
                <w:tab w:val="left" w:pos="4320"/>
              </w:tabs>
              <w:spacing w:line="276" w:lineRule="auto"/>
              <w:jc w:val="center"/>
              <w:rPr>
                <w:rFonts w:ascii="Arial" w:hAnsi="Arial" w:cs="Arial"/>
                <w:b/>
                <w:bCs/>
              </w:rPr>
            </w:pPr>
            <w:r w:rsidRPr="00F7228F">
              <w:rPr>
                <w:rFonts w:ascii="Arial" w:hAnsi="Arial" w:cs="Arial"/>
                <w:b/>
                <w:bCs/>
              </w:rPr>
              <w:t>MRS (OR)</w:t>
            </w:r>
          </w:p>
        </w:tc>
        <w:tc>
          <w:tcPr>
            <w:tcW w:w="1469" w:type="pct"/>
            <w:gridSpan w:val="3"/>
          </w:tcPr>
          <w:p w14:paraId="26C696D2" w14:textId="77777777" w:rsidR="00236A5B" w:rsidRPr="00F7228F" w:rsidRDefault="00236A5B" w:rsidP="000B242D">
            <w:pPr>
              <w:spacing w:line="276" w:lineRule="auto"/>
              <w:jc w:val="center"/>
              <w:rPr>
                <w:rFonts w:ascii="Arial" w:hAnsi="Arial" w:cs="Arial"/>
                <w:b/>
                <w:bCs/>
              </w:rPr>
            </w:pPr>
            <w:r w:rsidRPr="00F7228F">
              <w:rPr>
                <w:rFonts w:ascii="Arial" w:hAnsi="Arial" w:cs="Arial"/>
                <w:b/>
                <w:bCs/>
              </w:rPr>
              <w:t>SAHOT (OR)</w:t>
            </w:r>
          </w:p>
        </w:tc>
      </w:tr>
      <w:tr w:rsidR="00236A5B" w:rsidRPr="00F7228F" w14:paraId="0E6B1245" w14:textId="77777777" w:rsidTr="00CB0BB6">
        <w:tc>
          <w:tcPr>
            <w:tcW w:w="983" w:type="pct"/>
            <w:gridSpan w:val="2"/>
            <w:vMerge/>
          </w:tcPr>
          <w:p w14:paraId="06D075DD" w14:textId="77777777" w:rsidR="00236A5B" w:rsidRPr="00F7228F" w:rsidRDefault="00236A5B" w:rsidP="000B242D">
            <w:pPr>
              <w:spacing w:line="276" w:lineRule="auto"/>
              <w:rPr>
                <w:rFonts w:ascii="Arial" w:hAnsi="Arial" w:cs="Arial"/>
                <w:b/>
                <w:bCs/>
              </w:rPr>
            </w:pPr>
          </w:p>
        </w:tc>
        <w:tc>
          <w:tcPr>
            <w:tcW w:w="509" w:type="pct"/>
            <w:vMerge/>
          </w:tcPr>
          <w:p w14:paraId="06464BA6" w14:textId="77777777" w:rsidR="00236A5B" w:rsidRPr="00F7228F" w:rsidRDefault="00236A5B" w:rsidP="000B242D">
            <w:pPr>
              <w:spacing w:line="276" w:lineRule="auto"/>
              <w:rPr>
                <w:rFonts w:ascii="Arial" w:hAnsi="Arial" w:cs="Arial"/>
                <w:b/>
                <w:bCs/>
              </w:rPr>
            </w:pPr>
          </w:p>
        </w:tc>
        <w:tc>
          <w:tcPr>
            <w:tcW w:w="509" w:type="pct"/>
          </w:tcPr>
          <w:p w14:paraId="51D0C0CC" w14:textId="77777777" w:rsidR="00236A5B" w:rsidRPr="00F7228F" w:rsidRDefault="00236A5B" w:rsidP="000B242D">
            <w:pPr>
              <w:spacing w:line="276" w:lineRule="auto"/>
              <w:rPr>
                <w:rFonts w:ascii="Arial" w:hAnsi="Arial" w:cs="Arial"/>
                <w:b/>
                <w:bCs/>
              </w:rPr>
            </w:pPr>
            <w:r w:rsidRPr="00F7228F">
              <w:rPr>
                <w:rFonts w:ascii="Arial" w:hAnsi="Arial" w:cs="Arial"/>
                <w:b/>
                <w:bCs/>
              </w:rPr>
              <w:t>Day 7</w:t>
            </w:r>
          </w:p>
        </w:tc>
        <w:tc>
          <w:tcPr>
            <w:tcW w:w="509" w:type="pct"/>
          </w:tcPr>
          <w:p w14:paraId="5081335E" w14:textId="77777777" w:rsidR="00236A5B" w:rsidRPr="00F7228F" w:rsidRDefault="00236A5B" w:rsidP="000B242D">
            <w:pPr>
              <w:spacing w:line="276" w:lineRule="auto"/>
              <w:rPr>
                <w:rFonts w:ascii="Arial" w:hAnsi="Arial" w:cs="Arial"/>
                <w:b/>
                <w:bCs/>
              </w:rPr>
            </w:pPr>
            <w:r w:rsidRPr="00F7228F">
              <w:rPr>
                <w:rFonts w:ascii="Arial" w:hAnsi="Arial" w:cs="Arial"/>
                <w:b/>
                <w:bCs/>
              </w:rPr>
              <w:t>Day 28</w:t>
            </w:r>
          </w:p>
        </w:tc>
        <w:tc>
          <w:tcPr>
            <w:tcW w:w="509" w:type="pct"/>
          </w:tcPr>
          <w:p w14:paraId="079C6E26" w14:textId="77777777" w:rsidR="00236A5B" w:rsidRPr="00F7228F" w:rsidRDefault="00236A5B" w:rsidP="000B242D">
            <w:pPr>
              <w:spacing w:line="276" w:lineRule="auto"/>
              <w:rPr>
                <w:rFonts w:ascii="Arial" w:hAnsi="Arial" w:cs="Arial"/>
                <w:b/>
                <w:bCs/>
              </w:rPr>
            </w:pPr>
            <w:r w:rsidRPr="00F7228F">
              <w:rPr>
                <w:rFonts w:ascii="Arial" w:hAnsi="Arial" w:cs="Arial"/>
                <w:b/>
                <w:bCs/>
              </w:rPr>
              <w:t>Day 90</w:t>
            </w:r>
          </w:p>
        </w:tc>
        <w:tc>
          <w:tcPr>
            <w:tcW w:w="511" w:type="pct"/>
          </w:tcPr>
          <w:p w14:paraId="173A68D8" w14:textId="77777777" w:rsidR="00236A5B" w:rsidRPr="00F7228F" w:rsidRDefault="00236A5B" w:rsidP="000B242D">
            <w:pPr>
              <w:spacing w:line="276" w:lineRule="auto"/>
              <w:rPr>
                <w:rFonts w:ascii="Arial" w:hAnsi="Arial" w:cs="Arial"/>
                <w:b/>
                <w:bCs/>
              </w:rPr>
            </w:pPr>
            <w:r w:rsidRPr="00F7228F">
              <w:rPr>
                <w:rFonts w:ascii="Arial" w:hAnsi="Arial" w:cs="Arial"/>
                <w:b/>
                <w:bCs/>
              </w:rPr>
              <w:t>Day 180</w:t>
            </w:r>
          </w:p>
        </w:tc>
        <w:tc>
          <w:tcPr>
            <w:tcW w:w="463" w:type="pct"/>
          </w:tcPr>
          <w:p w14:paraId="36D4F36C" w14:textId="77777777" w:rsidR="00236A5B" w:rsidRPr="00F7228F" w:rsidRDefault="00236A5B" w:rsidP="000B242D">
            <w:pPr>
              <w:spacing w:line="276" w:lineRule="auto"/>
              <w:rPr>
                <w:rFonts w:ascii="Arial" w:hAnsi="Arial" w:cs="Arial"/>
                <w:b/>
                <w:bCs/>
              </w:rPr>
            </w:pPr>
            <w:r w:rsidRPr="00F7228F">
              <w:rPr>
                <w:rFonts w:ascii="Arial" w:hAnsi="Arial" w:cs="Arial"/>
                <w:b/>
                <w:bCs/>
              </w:rPr>
              <w:t>Day 28</w:t>
            </w:r>
          </w:p>
        </w:tc>
        <w:tc>
          <w:tcPr>
            <w:tcW w:w="501" w:type="pct"/>
          </w:tcPr>
          <w:p w14:paraId="228B3E9E" w14:textId="77777777" w:rsidR="00236A5B" w:rsidRPr="00F7228F" w:rsidRDefault="00236A5B" w:rsidP="000B242D">
            <w:pPr>
              <w:spacing w:line="276" w:lineRule="auto"/>
              <w:rPr>
                <w:rFonts w:ascii="Arial" w:hAnsi="Arial" w:cs="Arial"/>
                <w:b/>
                <w:bCs/>
              </w:rPr>
            </w:pPr>
            <w:r w:rsidRPr="00F7228F">
              <w:rPr>
                <w:rFonts w:ascii="Arial" w:hAnsi="Arial" w:cs="Arial"/>
                <w:b/>
                <w:bCs/>
              </w:rPr>
              <w:t>Day 90</w:t>
            </w:r>
          </w:p>
        </w:tc>
        <w:tc>
          <w:tcPr>
            <w:tcW w:w="505" w:type="pct"/>
          </w:tcPr>
          <w:p w14:paraId="52EDF8B5" w14:textId="77777777" w:rsidR="00236A5B" w:rsidRPr="00F7228F" w:rsidRDefault="00236A5B" w:rsidP="000B242D">
            <w:pPr>
              <w:spacing w:line="276" w:lineRule="auto"/>
              <w:rPr>
                <w:rFonts w:ascii="Arial" w:hAnsi="Arial" w:cs="Arial"/>
                <w:b/>
                <w:bCs/>
              </w:rPr>
            </w:pPr>
            <w:r w:rsidRPr="00F7228F">
              <w:rPr>
                <w:rFonts w:ascii="Arial" w:hAnsi="Arial" w:cs="Arial"/>
                <w:b/>
                <w:bCs/>
              </w:rPr>
              <w:t>Day 180</w:t>
            </w:r>
          </w:p>
        </w:tc>
      </w:tr>
      <w:tr w:rsidR="00236A5B" w:rsidRPr="00F7228F" w14:paraId="6D76ECC4" w14:textId="77777777" w:rsidTr="00CB0BB6">
        <w:tc>
          <w:tcPr>
            <w:tcW w:w="459" w:type="pct"/>
            <w:vMerge w:val="restart"/>
            <w:vAlign w:val="center"/>
          </w:tcPr>
          <w:p w14:paraId="3CA8A4BA" w14:textId="77777777" w:rsidR="00236A5B" w:rsidRPr="00F7228F" w:rsidRDefault="00236A5B" w:rsidP="000B242D">
            <w:pPr>
              <w:spacing w:line="276" w:lineRule="auto"/>
              <w:rPr>
                <w:rFonts w:ascii="Arial" w:hAnsi="Arial" w:cs="Arial"/>
              </w:rPr>
            </w:pPr>
            <w:r w:rsidRPr="00F7228F">
              <w:rPr>
                <w:rFonts w:ascii="Arial" w:hAnsi="Arial" w:cs="Arial"/>
              </w:rPr>
              <w:t>CSF IL-1beta</w:t>
            </w:r>
          </w:p>
          <w:p w14:paraId="2CC44E3C" w14:textId="77777777" w:rsidR="00236A5B" w:rsidRPr="00F7228F" w:rsidRDefault="00236A5B" w:rsidP="000B242D">
            <w:pPr>
              <w:spacing w:line="276" w:lineRule="auto"/>
              <w:rPr>
                <w:rFonts w:ascii="Arial" w:hAnsi="Arial" w:cs="Arial"/>
              </w:rPr>
            </w:pPr>
          </w:p>
        </w:tc>
        <w:tc>
          <w:tcPr>
            <w:tcW w:w="525" w:type="pct"/>
          </w:tcPr>
          <w:p w14:paraId="01FA2566"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7479661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1.491</w:t>
            </w:r>
          </w:p>
          <w:p w14:paraId="704F38E2" w14:textId="77777777" w:rsidR="00236A5B" w:rsidRPr="00F7228F" w:rsidRDefault="00236A5B" w:rsidP="000B242D">
            <w:pPr>
              <w:spacing w:line="276" w:lineRule="auto"/>
              <w:rPr>
                <w:rFonts w:ascii="Arial" w:hAnsi="Arial" w:cs="Arial"/>
              </w:rPr>
            </w:pPr>
            <w:r w:rsidRPr="00F7228F">
              <w:rPr>
                <w:rFonts w:ascii="Arial" w:hAnsi="Arial" w:cs="Arial"/>
                <w:color w:val="FF0000"/>
              </w:rPr>
              <w:t>(1.027 – 2.166)</w:t>
            </w:r>
          </w:p>
        </w:tc>
        <w:tc>
          <w:tcPr>
            <w:tcW w:w="509" w:type="pct"/>
          </w:tcPr>
          <w:p w14:paraId="2A46187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1.379 (1.113 – 1.707)</w:t>
            </w:r>
          </w:p>
        </w:tc>
        <w:tc>
          <w:tcPr>
            <w:tcW w:w="509" w:type="pct"/>
          </w:tcPr>
          <w:p w14:paraId="5E26138E" w14:textId="77777777" w:rsidR="00236A5B" w:rsidRPr="00F7228F" w:rsidRDefault="00236A5B" w:rsidP="000B242D">
            <w:pPr>
              <w:spacing w:line="276" w:lineRule="auto"/>
              <w:rPr>
                <w:rFonts w:ascii="Arial" w:hAnsi="Arial" w:cs="Arial"/>
              </w:rPr>
            </w:pPr>
            <w:r w:rsidRPr="00F7228F">
              <w:rPr>
                <w:rFonts w:ascii="Arial" w:hAnsi="Arial" w:cs="Arial"/>
                <w:color w:val="FF0000"/>
              </w:rPr>
              <w:t>1.261 (1.037 – 1.534)</w:t>
            </w:r>
          </w:p>
        </w:tc>
        <w:tc>
          <w:tcPr>
            <w:tcW w:w="509" w:type="pct"/>
          </w:tcPr>
          <w:p w14:paraId="75C90580" w14:textId="77777777" w:rsidR="00236A5B" w:rsidRPr="00F7228F" w:rsidRDefault="00236A5B" w:rsidP="000B242D">
            <w:pPr>
              <w:spacing w:line="276" w:lineRule="auto"/>
              <w:rPr>
                <w:rFonts w:ascii="Arial" w:hAnsi="Arial" w:cs="Arial"/>
              </w:rPr>
            </w:pPr>
            <w:r w:rsidRPr="00F7228F">
              <w:rPr>
                <w:rFonts w:ascii="Arial" w:hAnsi="Arial" w:cs="Arial"/>
              </w:rPr>
              <w:t>1.170 (0.962 – 1.422)</w:t>
            </w:r>
          </w:p>
        </w:tc>
        <w:tc>
          <w:tcPr>
            <w:tcW w:w="511" w:type="pct"/>
          </w:tcPr>
          <w:p w14:paraId="3BE4F450" w14:textId="77777777" w:rsidR="00236A5B" w:rsidRPr="00F7228F" w:rsidRDefault="00236A5B" w:rsidP="000B242D">
            <w:pPr>
              <w:spacing w:line="276" w:lineRule="auto"/>
              <w:rPr>
                <w:rFonts w:ascii="Arial" w:hAnsi="Arial" w:cs="Arial"/>
              </w:rPr>
            </w:pPr>
            <w:r w:rsidRPr="00F7228F">
              <w:rPr>
                <w:rFonts w:ascii="Arial" w:hAnsi="Arial" w:cs="Arial"/>
                <w:color w:val="FFC000"/>
              </w:rPr>
              <w:t>1.191 (0.984 – 1.440)</w:t>
            </w:r>
          </w:p>
        </w:tc>
        <w:tc>
          <w:tcPr>
            <w:tcW w:w="463" w:type="pct"/>
          </w:tcPr>
          <w:p w14:paraId="597D81CB" w14:textId="77777777" w:rsidR="00236A5B" w:rsidRPr="00F7228F" w:rsidRDefault="00236A5B" w:rsidP="000B242D">
            <w:pPr>
              <w:spacing w:line="276" w:lineRule="auto"/>
              <w:rPr>
                <w:rFonts w:ascii="Arial" w:hAnsi="Arial" w:cs="Arial"/>
              </w:rPr>
            </w:pPr>
            <w:r w:rsidRPr="00F7228F">
              <w:rPr>
                <w:rFonts w:ascii="Arial" w:hAnsi="Arial" w:cs="Arial"/>
                <w:color w:val="FFC000"/>
              </w:rPr>
              <w:t>1.188 (0.989 – 1.428)</w:t>
            </w:r>
          </w:p>
        </w:tc>
        <w:tc>
          <w:tcPr>
            <w:tcW w:w="501" w:type="pct"/>
          </w:tcPr>
          <w:p w14:paraId="3EE935B1" w14:textId="77777777" w:rsidR="00236A5B" w:rsidRPr="00F7228F" w:rsidRDefault="00236A5B" w:rsidP="000B242D">
            <w:pPr>
              <w:spacing w:line="276" w:lineRule="auto"/>
              <w:rPr>
                <w:rFonts w:ascii="Arial" w:hAnsi="Arial" w:cs="Arial"/>
              </w:rPr>
            </w:pPr>
            <w:r w:rsidRPr="00F7228F">
              <w:rPr>
                <w:rFonts w:ascii="Arial" w:hAnsi="Arial" w:cs="Arial"/>
              </w:rPr>
              <w:t>1.048 (0.863 – 1.274)</w:t>
            </w:r>
          </w:p>
        </w:tc>
        <w:tc>
          <w:tcPr>
            <w:tcW w:w="505" w:type="pct"/>
          </w:tcPr>
          <w:p w14:paraId="13BDA530" w14:textId="77777777" w:rsidR="00236A5B" w:rsidRPr="00F7228F" w:rsidRDefault="00236A5B" w:rsidP="000B242D">
            <w:pPr>
              <w:spacing w:line="276" w:lineRule="auto"/>
              <w:rPr>
                <w:rFonts w:ascii="Arial" w:hAnsi="Arial" w:cs="Arial"/>
              </w:rPr>
            </w:pPr>
            <w:r w:rsidRPr="00F7228F">
              <w:rPr>
                <w:rFonts w:ascii="Arial" w:hAnsi="Arial" w:cs="Arial"/>
              </w:rPr>
              <w:t>1.059 (0.871 – 1.287)</w:t>
            </w:r>
          </w:p>
        </w:tc>
      </w:tr>
      <w:tr w:rsidR="00236A5B" w:rsidRPr="00F7228F" w14:paraId="76B36A7C" w14:textId="77777777" w:rsidTr="00CB0BB6">
        <w:tc>
          <w:tcPr>
            <w:tcW w:w="459" w:type="pct"/>
            <w:vMerge/>
            <w:vAlign w:val="center"/>
          </w:tcPr>
          <w:p w14:paraId="0665FC3D" w14:textId="77777777" w:rsidR="00236A5B" w:rsidRPr="00F7228F" w:rsidRDefault="00236A5B" w:rsidP="000B242D">
            <w:pPr>
              <w:spacing w:line="276" w:lineRule="auto"/>
              <w:rPr>
                <w:rFonts w:ascii="Arial" w:hAnsi="Arial" w:cs="Arial"/>
              </w:rPr>
            </w:pPr>
          </w:p>
        </w:tc>
        <w:tc>
          <w:tcPr>
            <w:tcW w:w="525" w:type="pct"/>
          </w:tcPr>
          <w:p w14:paraId="118A6C55"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066AA6E4" w14:textId="77777777" w:rsidR="00236A5B" w:rsidRPr="00F7228F" w:rsidRDefault="00236A5B" w:rsidP="000B242D">
            <w:pPr>
              <w:spacing w:line="276" w:lineRule="auto"/>
              <w:rPr>
                <w:rFonts w:ascii="Arial" w:hAnsi="Arial" w:cs="Arial"/>
              </w:rPr>
            </w:pPr>
            <w:r w:rsidRPr="00F7228F">
              <w:rPr>
                <w:rFonts w:ascii="Arial" w:hAnsi="Arial" w:cs="Arial"/>
                <w:color w:val="FF0000"/>
              </w:rPr>
              <w:t>0.036</w:t>
            </w:r>
          </w:p>
        </w:tc>
        <w:tc>
          <w:tcPr>
            <w:tcW w:w="509" w:type="pct"/>
          </w:tcPr>
          <w:p w14:paraId="44911A2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0.003</w:t>
            </w:r>
          </w:p>
        </w:tc>
        <w:tc>
          <w:tcPr>
            <w:tcW w:w="509" w:type="pct"/>
          </w:tcPr>
          <w:p w14:paraId="0DA5DD4F" w14:textId="77777777" w:rsidR="00236A5B" w:rsidRPr="00F7228F" w:rsidRDefault="00236A5B" w:rsidP="000B242D">
            <w:pPr>
              <w:spacing w:line="276" w:lineRule="auto"/>
              <w:rPr>
                <w:rFonts w:ascii="Arial" w:hAnsi="Arial" w:cs="Arial"/>
              </w:rPr>
            </w:pPr>
            <w:r w:rsidRPr="00F7228F">
              <w:rPr>
                <w:rFonts w:ascii="Arial" w:hAnsi="Arial" w:cs="Arial"/>
                <w:color w:val="FF0000"/>
              </w:rPr>
              <w:t>0.020</w:t>
            </w:r>
          </w:p>
        </w:tc>
        <w:tc>
          <w:tcPr>
            <w:tcW w:w="509" w:type="pct"/>
          </w:tcPr>
          <w:p w14:paraId="2F27D294" w14:textId="77777777" w:rsidR="00236A5B" w:rsidRPr="00F7228F" w:rsidRDefault="00236A5B" w:rsidP="000B242D">
            <w:pPr>
              <w:spacing w:line="276" w:lineRule="auto"/>
              <w:rPr>
                <w:rFonts w:ascii="Arial" w:hAnsi="Arial" w:cs="Arial"/>
              </w:rPr>
            </w:pPr>
            <w:r w:rsidRPr="00F7228F">
              <w:rPr>
                <w:rFonts w:ascii="Arial" w:hAnsi="Arial" w:cs="Arial"/>
              </w:rPr>
              <w:t>0.116</w:t>
            </w:r>
          </w:p>
        </w:tc>
        <w:tc>
          <w:tcPr>
            <w:tcW w:w="511" w:type="pct"/>
          </w:tcPr>
          <w:p w14:paraId="25C6380E" w14:textId="77777777" w:rsidR="00236A5B" w:rsidRPr="00F7228F" w:rsidRDefault="00236A5B" w:rsidP="000B242D">
            <w:pPr>
              <w:spacing w:line="276" w:lineRule="auto"/>
              <w:rPr>
                <w:rFonts w:ascii="Arial" w:hAnsi="Arial" w:cs="Arial"/>
              </w:rPr>
            </w:pPr>
            <w:r w:rsidRPr="00F7228F">
              <w:rPr>
                <w:rFonts w:ascii="Arial" w:hAnsi="Arial" w:cs="Arial"/>
                <w:color w:val="FFC000"/>
              </w:rPr>
              <w:t>0.073</w:t>
            </w:r>
          </w:p>
        </w:tc>
        <w:tc>
          <w:tcPr>
            <w:tcW w:w="463" w:type="pct"/>
          </w:tcPr>
          <w:p w14:paraId="40614515" w14:textId="77777777" w:rsidR="00236A5B" w:rsidRPr="00F7228F" w:rsidRDefault="00236A5B" w:rsidP="000B242D">
            <w:pPr>
              <w:spacing w:line="276" w:lineRule="auto"/>
              <w:rPr>
                <w:rFonts w:ascii="Arial" w:hAnsi="Arial" w:cs="Arial"/>
              </w:rPr>
            </w:pPr>
            <w:r w:rsidRPr="00F7228F">
              <w:rPr>
                <w:rFonts w:ascii="Arial" w:hAnsi="Arial" w:cs="Arial"/>
                <w:color w:val="FFC000"/>
              </w:rPr>
              <w:t>0.066</w:t>
            </w:r>
          </w:p>
        </w:tc>
        <w:tc>
          <w:tcPr>
            <w:tcW w:w="501" w:type="pct"/>
          </w:tcPr>
          <w:p w14:paraId="6EA401DB" w14:textId="77777777" w:rsidR="00236A5B" w:rsidRPr="00F7228F" w:rsidRDefault="00236A5B" w:rsidP="000B242D">
            <w:pPr>
              <w:spacing w:line="276" w:lineRule="auto"/>
              <w:rPr>
                <w:rFonts w:ascii="Arial" w:hAnsi="Arial" w:cs="Arial"/>
              </w:rPr>
            </w:pPr>
            <w:r w:rsidRPr="00F7228F">
              <w:rPr>
                <w:rFonts w:ascii="Arial" w:hAnsi="Arial" w:cs="Arial"/>
              </w:rPr>
              <w:t>0.634</w:t>
            </w:r>
          </w:p>
        </w:tc>
        <w:tc>
          <w:tcPr>
            <w:tcW w:w="505" w:type="pct"/>
          </w:tcPr>
          <w:p w14:paraId="24E8167C" w14:textId="77777777" w:rsidR="00236A5B" w:rsidRPr="00F7228F" w:rsidRDefault="00236A5B" w:rsidP="000B242D">
            <w:pPr>
              <w:spacing w:line="276" w:lineRule="auto"/>
              <w:rPr>
                <w:rFonts w:ascii="Arial" w:hAnsi="Arial" w:cs="Arial"/>
              </w:rPr>
            </w:pPr>
            <w:r w:rsidRPr="00F7228F">
              <w:rPr>
                <w:rFonts w:ascii="Arial" w:hAnsi="Arial" w:cs="Arial"/>
              </w:rPr>
              <w:t>0.564</w:t>
            </w:r>
          </w:p>
        </w:tc>
      </w:tr>
      <w:tr w:rsidR="00236A5B" w:rsidRPr="00F7228F" w14:paraId="7CD2AE7D" w14:textId="77777777" w:rsidTr="00CB0BB6">
        <w:tc>
          <w:tcPr>
            <w:tcW w:w="459" w:type="pct"/>
            <w:vMerge w:val="restart"/>
            <w:vAlign w:val="center"/>
          </w:tcPr>
          <w:p w14:paraId="5C091646" w14:textId="77777777" w:rsidR="00236A5B" w:rsidRPr="00F7228F" w:rsidRDefault="00236A5B" w:rsidP="000B242D">
            <w:pPr>
              <w:spacing w:line="276" w:lineRule="auto"/>
              <w:rPr>
                <w:rFonts w:ascii="Arial" w:hAnsi="Arial" w:cs="Arial"/>
              </w:rPr>
            </w:pPr>
            <w:r w:rsidRPr="00F7228F">
              <w:rPr>
                <w:rFonts w:ascii="Arial" w:hAnsi="Arial" w:cs="Arial"/>
              </w:rPr>
              <w:t>CSF IL-2</w:t>
            </w:r>
          </w:p>
          <w:p w14:paraId="63A865C0" w14:textId="77777777" w:rsidR="00236A5B" w:rsidRPr="00F7228F" w:rsidRDefault="00236A5B" w:rsidP="000B242D">
            <w:pPr>
              <w:spacing w:line="276" w:lineRule="auto"/>
              <w:rPr>
                <w:rFonts w:ascii="Arial" w:hAnsi="Arial" w:cs="Arial"/>
              </w:rPr>
            </w:pPr>
          </w:p>
        </w:tc>
        <w:tc>
          <w:tcPr>
            <w:tcW w:w="525" w:type="pct"/>
          </w:tcPr>
          <w:p w14:paraId="4E546D49"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17F17100" w14:textId="77777777" w:rsidR="00236A5B" w:rsidRPr="00F7228F" w:rsidRDefault="00236A5B" w:rsidP="000B242D">
            <w:pPr>
              <w:spacing w:line="276" w:lineRule="auto"/>
              <w:rPr>
                <w:rFonts w:ascii="Arial" w:hAnsi="Arial" w:cs="Arial"/>
              </w:rPr>
            </w:pPr>
            <w:r w:rsidRPr="00F7228F">
              <w:rPr>
                <w:rFonts w:ascii="Arial" w:hAnsi="Arial" w:cs="Arial"/>
              </w:rPr>
              <w:t>1.223</w:t>
            </w:r>
          </w:p>
          <w:p w14:paraId="2488BA8F" w14:textId="77777777" w:rsidR="00236A5B" w:rsidRPr="00F7228F" w:rsidRDefault="00236A5B" w:rsidP="000B242D">
            <w:pPr>
              <w:spacing w:line="276" w:lineRule="auto"/>
              <w:rPr>
                <w:rFonts w:ascii="Arial" w:hAnsi="Arial" w:cs="Arial"/>
              </w:rPr>
            </w:pPr>
            <w:r w:rsidRPr="00F7228F">
              <w:rPr>
                <w:rFonts w:ascii="Arial" w:hAnsi="Arial" w:cs="Arial"/>
              </w:rPr>
              <w:t>(0.846 – 1.767)</w:t>
            </w:r>
          </w:p>
        </w:tc>
        <w:tc>
          <w:tcPr>
            <w:tcW w:w="509" w:type="pct"/>
          </w:tcPr>
          <w:p w14:paraId="2C69C436" w14:textId="77777777" w:rsidR="00236A5B" w:rsidRPr="00F7228F" w:rsidRDefault="00236A5B" w:rsidP="000B242D">
            <w:pPr>
              <w:spacing w:line="276" w:lineRule="auto"/>
              <w:rPr>
                <w:rFonts w:ascii="Arial" w:hAnsi="Arial" w:cs="Arial"/>
              </w:rPr>
            </w:pPr>
            <w:r w:rsidRPr="00F7228F">
              <w:rPr>
                <w:rFonts w:ascii="Arial" w:hAnsi="Arial" w:cs="Arial"/>
                <w:color w:val="FF0000"/>
              </w:rPr>
              <w:t>1.396 (1.107 – 1.761)</w:t>
            </w:r>
          </w:p>
        </w:tc>
        <w:tc>
          <w:tcPr>
            <w:tcW w:w="509" w:type="pct"/>
          </w:tcPr>
          <w:p w14:paraId="7099114C" w14:textId="77777777" w:rsidR="00236A5B" w:rsidRPr="00F7228F" w:rsidRDefault="00236A5B" w:rsidP="000B242D">
            <w:pPr>
              <w:spacing w:line="276" w:lineRule="auto"/>
              <w:rPr>
                <w:rFonts w:ascii="Arial" w:hAnsi="Arial" w:cs="Arial"/>
              </w:rPr>
            </w:pPr>
            <w:r w:rsidRPr="00F7228F">
              <w:rPr>
                <w:rFonts w:ascii="Arial" w:hAnsi="Arial" w:cs="Arial"/>
              </w:rPr>
              <w:t>1.162 (0.960 – 1.408)</w:t>
            </w:r>
          </w:p>
        </w:tc>
        <w:tc>
          <w:tcPr>
            <w:tcW w:w="509" w:type="pct"/>
          </w:tcPr>
          <w:p w14:paraId="3B398DF7" w14:textId="77777777" w:rsidR="00236A5B" w:rsidRPr="00F7228F" w:rsidRDefault="00236A5B" w:rsidP="000B242D">
            <w:pPr>
              <w:spacing w:line="276" w:lineRule="auto"/>
              <w:rPr>
                <w:rFonts w:ascii="Arial" w:hAnsi="Arial" w:cs="Arial"/>
              </w:rPr>
            </w:pPr>
            <w:r w:rsidRPr="00F7228F">
              <w:rPr>
                <w:rFonts w:ascii="Arial" w:hAnsi="Arial" w:cs="Arial"/>
              </w:rPr>
              <w:t>1.071 (0.883 – 1.300)</w:t>
            </w:r>
          </w:p>
        </w:tc>
        <w:tc>
          <w:tcPr>
            <w:tcW w:w="511" w:type="pct"/>
          </w:tcPr>
          <w:p w14:paraId="2A08123A" w14:textId="77777777" w:rsidR="00236A5B" w:rsidRPr="00F7228F" w:rsidRDefault="00236A5B" w:rsidP="000B242D">
            <w:pPr>
              <w:spacing w:line="276" w:lineRule="auto"/>
              <w:rPr>
                <w:rFonts w:ascii="Arial" w:hAnsi="Arial" w:cs="Arial"/>
              </w:rPr>
            </w:pPr>
            <w:r w:rsidRPr="00F7228F">
              <w:rPr>
                <w:rFonts w:ascii="Arial" w:hAnsi="Arial" w:cs="Arial"/>
              </w:rPr>
              <w:t>1.010 (0.835 – 1.223)</w:t>
            </w:r>
          </w:p>
        </w:tc>
        <w:tc>
          <w:tcPr>
            <w:tcW w:w="463" w:type="pct"/>
          </w:tcPr>
          <w:p w14:paraId="12AFF837" w14:textId="77777777" w:rsidR="00236A5B" w:rsidRPr="00F7228F" w:rsidRDefault="00236A5B" w:rsidP="000B242D">
            <w:pPr>
              <w:spacing w:line="276" w:lineRule="auto"/>
              <w:rPr>
                <w:rFonts w:ascii="Arial" w:hAnsi="Arial" w:cs="Arial"/>
              </w:rPr>
            </w:pPr>
            <w:r w:rsidRPr="00F7228F">
              <w:rPr>
                <w:rFonts w:ascii="Arial" w:hAnsi="Arial" w:cs="Arial"/>
              </w:rPr>
              <w:t>1.115 (0.925 – 1.344)</w:t>
            </w:r>
          </w:p>
        </w:tc>
        <w:tc>
          <w:tcPr>
            <w:tcW w:w="501" w:type="pct"/>
          </w:tcPr>
          <w:p w14:paraId="03D211DA" w14:textId="77777777" w:rsidR="00236A5B" w:rsidRPr="00F7228F" w:rsidRDefault="00236A5B" w:rsidP="000B242D">
            <w:pPr>
              <w:spacing w:line="276" w:lineRule="auto"/>
              <w:rPr>
                <w:rFonts w:ascii="Arial" w:hAnsi="Arial" w:cs="Arial"/>
              </w:rPr>
            </w:pPr>
            <w:r w:rsidRPr="00F7228F">
              <w:rPr>
                <w:rFonts w:ascii="Arial" w:hAnsi="Arial" w:cs="Arial"/>
              </w:rPr>
              <w:t>1.041 (0.862 – 1.258)</w:t>
            </w:r>
          </w:p>
        </w:tc>
        <w:tc>
          <w:tcPr>
            <w:tcW w:w="505" w:type="pct"/>
          </w:tcPr>
          <w:p w14:paraId="2D0390B1" w14:textId="77777777" w:rsidR="00236A5B" w:rsidRPr="00F7228F" w:rsidRDefault="00236A5B" w:rsidP="000B242D">
            <w:pPr>
              <w:spacing w:line="276" w:lineRule="auto"/>
              <w:rPr>
                <w:rFonts w:ascii="Arial" w:hAnsi="Arial" w:cs="Arial"/>
              </w:rPr>
            </w:pPr>
            <w:r w:rsidRPr="00F7228F">
              <w:rPr>
                <w:rFonts w:ascii="Arial" w:hAnsi="Arial" w:cs="Arial"/>
              </w:rPr>
              <w:t>1.056 (0.878 -1.270)</w:t>
            </w:r>
          </w:p>
        </w:tc>
      </w:tr>
      <w:tr w:rsidR="00236A5B" w:rsidRPr="00F7228F" w14:paraId="2F9DCB83" w14:textId="77777777" w:rsidTr="00CB0BB6">
        <w:tc>
          <w:tcPr>
            <w:tcW w:w="459" w:type="pct"/>
            <w:vMerge/>
            <w:vAlign w:val="center"/>
          </w:tcPr>
          <w:p w14:paraId="397CE999" w14:textId="77777777" w:rsidR="00236A5B" w:rsidRPr="00F7228F" w:rsidRDefault="00236A5B" w:rsidP="000B242D">
            <w:pPr>
              <w:spacing w:line="276" w:lineRule="auto"/>
              <w:rPr>
                <w:rFonts w:ascii="Arial" w:hAnsi="Arial" w:cs="Arial"/>
              </w:rPr>
            </w:pPr>
          </w:p>
        </w:tc>
        <w:tc>
          <w:tcPr>
            <w:tcW w:w="525" w:type="pct"/>
          </w:tcPr>
          <w:p w14:paraId="081A538C"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7503E7D7" w14:textId="77777777" w:rsidR="00236A5B" w:rsidRPr="00F7228F" w:rsidRDefault="00236A5B" w:rsidP="000B242D">
            <w:pPr>
              <w:spacing w:line="276" w:lineRule="auto"/>
              <w:rPr>
                <w:rFonts w:ascii="Arial" w:hAnsi="Arial" w:cs="Arial"/>
              </w:rPr>
            </w:pPr>
            <w:r w:rsidRPr="00F7228F">
              <w:rPr>
                <w:rFonts w:ascii="Arial" w:hAnsi="Arial" w:cs="Arial"/>
              </w:rPr>
              <w:t>0.285</w:t>
            </w:r>
          </w:p>
        </w:tc>
        <w:tc>
          <w:tcPr>
            <w:tcW w:w="509" w:type="pct"/>
          </w:tcPr>
          <w:p w14:paraId="31E215F9" w14:textId="77777777" w:rsidR="00236A5B" w:rsidRPr="00F7228F" w:rsidRDefault="00236A5B" w:rsidP="000B242D">
            <w:pPr>
              <w:spacing w:line="276" w:lineRule="auto"/>
              <w:rPr>
                <w:rFonts w:ascii="Arial" w:hAnsi="Arial" w:cs="Arial"/>
              </w:rPr>
            </w:pPr>
            <w:r w:rsidRPr="00F7228F">
              <w:rPr>
                <w:rFonts w:ascii="Arial" w:hAnsi="Arial" w:cs="Arial"/>
                <w:color w:val="FF0000"/>
              </w:rPr>
              <w:t>0.005</w:t>
            </w:r>
          </w:p>
        </w:tc>
        <w:tc>
          <w:tcPr>
            <w:tcW w:w="509" w:type="pct"/>
          </w:tcPr>
          <w:p w14:paraId="4971B677" w14:textId="77777777" w:rsidR="00236A5B" w:rsidRPr="00F7228F" w:rsidRDefault="00236A5B" w:rsidP="000B242D">
            <w:pPr>
              <w:spacing w:line="276" w:lineRule="auto"/>
              <w:rPr>
                <w:rFonts w:ascii="Arial" w:hAnsi="Arial" w:cs="Arial"/>
              </w:rPr>
            </w:pPr>
            <w:r w:rsidRPr="00F7228F">
              <w:rPr>
                <w:rFonts w:ascii="Arial" w:hAnsi="Arial" w:cs="Arial"/>
              </w:rPr>
              <w:t>0.123</w:t>
            </w:r>
          </w:p>
        </w:tc>
        <w:tc>
          <w:tcPr>
            <w:tcW w:w="509" w:type="pct"/>
          </w:tcPr>
          <w:p w14:paraId="2A71D83C" w14:textId="77777777" w:rsidR="00236A5B" w:rsidRPr="00F7228F" w:rsidRDefault="00236A5B" w:rsidP="000B242D">
            <w:pPr>
              <w:spacing w:line="276" w:lineRule="auto"/>
              <w:rPr>
                <w:rFonts w:ascii="Arial" w:hAnsi="Arial" w:cs="Arial"/>
              </w:rPr>
            </w:pPr>
            <w:r w:rsidRPr="00F7228F">
              <w:rPr>
                <w:rFonts w:ascii="Arial" w:hAnsi="Arial" w:cs="Arial"/>
              </w:rPr>
              <w:t>0.485</w:t>
            </w:r>
          </w:p>
        </w:tc>
        <w:tc>
          <w:tcPr>
            <w:tcW w:w="511" w:type="pct"/>
          </w:tcPr>
          <w:p w14:paraId="6C8149F0" w14:textId="77777777" w:rsidR="00236A5B" w:rsidRPr="00F7228F" w:rsidRDefault="00236A5B" w:rsidP="000B242D">
            <w:pPr>
              <w:spacing w:line="276" w:lineRule="auto"/>
              <w:rPr>
                <w:rFonts w:ascii="Arial" w:hAnsi="Arial" w:cs="Arial"/>
              </w:rPr>
            </w:pPr>
            <w:r w:rsidRPr="00F7228F">
              <w:rPr>
                <w:rFonts w:ascii="Arial" w:hAnsi="Arial" w:cs="Arial"/>
              </w:rPr>
              <w:t>0.914</w:t>
            </w:r>
          </w:p>
        </w:tc>
        <w:tc>
          <w:tcPr>
            <w:tcW w:w="463" w:type="pct"/>
          </w:tcPr>
          <w:p w14:paraId="36FE7BB7" w14:textId="77777777" w:rsidR="00236A5B" w:rsidRPr="00F7228F" w:rsidRDefault="00236A5B" w:rsidP="000B242D">
            <w:pPr>
              <w:spacing w:line="276" w:lineRule="auto"/>
              <w:rPr>
                <w:rFonts w:ascii="Arial" w:hAnsi="Arial" w:cs="Arial"/>
              </w:rPr>
            </w:pPr>
            <w:r w:rsidRPr="00F7228F">
              <w:rPr>
                <w:rFonts w:ascii="Arial" w:hAnsi="Arial" w:cs="Arial"/>
              </w:rPr>
              <w:t>0.255</w:t>
            </w:r>
          </w:p>
        </w:tc>
        <w:tc>
          <w:tcPr>
            <w:tcW w:w="501" w:type="pct"/>
          </w:tcPr>
          <w:p w14:paraId="5BDCFB50" w14:textId="77777777" w:rsidR="00236A5B" w:rsidRPr="00F7228F" w:rsidRDefault="00236A5B" w:rsidP="000B242D">
            <w:pPr>
              <w:spacing w:line="276" w:lineRule="auto"/>
              <w:rPr>
                <w:rFonts w:ascii="Arial" w:hAnsi="Arial" w:cs="Arial"/>
              </w:rPr>
            </w:pPr>
            <w:r w:rsidRPr="00F7228F">
              <w:rPr>
                <w:rFonts w:ascii="Arial" w:hAnsi="Arial" w:cs="Arial"/>
              </w:rPr>
              <w:t>0.677</w:t>
            </w:r>
          </w:p>
        </w:tc>
        <w:tc>
          <w:tcPr>
            <w:tcW w:w="505" w:type="pct"/>
          </w:tcPr>
          <w:p w14:paraId="47A2121D" w14:textId="77777777" w:rsidR="00236A5B" w:rsidRPr="00F7228F" w:rsidRDefault="00236A5B" w:rsidP="000B242D">
            <w:pPr>
              <w:spacing w:line="276" w:lineRule="auto"/>
              <w:rPr>
                <w:rFonts w:ascii="Arial" w:hAnsi="Arial" w:cs="Arial"/>
              </w:rPr>
            </w:pPr>
            <w:r w:rsidRPr="00F7228F">
              <w:rPr>
                <w:rFonts w:ascii="Arial" w:hAnsi="Arial" w:cs="Arial"/>
              </w:rPr>
              <w:t>0.566</w:t>
            </w:r>
          </w:p>
        </w:tc>
      </w:tr>
      <w:tr w:rsidR="00236A5B" w:rsidRPr="00F7228F" w14:paraId="36C4AADE" w14:textId="77777777" w:rsidTr="00CB0BB6">
        <w:tc>
          <w:tcPr>
            <w:tcW w:w="459" w:type="pct"/>
            <w:vMerge w:val="restart"/>
            <w:vAlign w:val="center"/>
          </w:tcPr>
          <w:p w14:paraId="5395266C" w14:textId="77777777" w:rsidR="00236A5B" w:rsidRPr="00F7228F" w:rsidRDefault="00236A5B" w:rsidP="000B242D">
            <w:pPr>
              <w:spacing w:line="276" w:lineRule="auto"/>
              <w:rPr>
                <w:rFonts w:ascii="Arial" w:hAnsi="Arial" w:cs="Arial"/>
              </w:rPr>
            </w:pPr>
            <w:r w:rsidRPr="00F7228F">
              <w:rPr>
                <w:rFonts w:ascii="Arial" w:hAnsi="Arial" w:cs="Arial"/>
              </w:rPr>
              <w:t>CSF IL-4</w:t>
            </w:r>
          </w:p>
          <w:p w14:paraId="1BEFE22A" w14:textId="77777777" w:rsidR="00236A5B" w:rsidRPr="00F7228F" w:rsidRDefault="00236A5B" w:rsidP="000B242D">
            <w:pPr>
              <w:spacing w:line="276" w:lineRule="auto"/>
              <w:rPr>
                <w:rFonts w:ascii="Arial" w:hAnsi="Arial" w:cs="Arial"/>
              </w:rPr>
            </w:pPr>
          </w:p>
        </w:tc>
        <w:tc>
          <w:tcPr>
            <w:tcW w:w="525" w:type="pct"/>
          </w:tcPr>
          <w:p w14:paraId="5CC4326F"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6DCFA99C" w14:textId="77777777" w:rsidR="00236A5B" w:rsidRPr="00F7228F" w:rsidRDefault="00236A5B" w:rsidP="000B242D">
            <w:pPr>
              <w:spacing w:line="276" w:lineRule="auto"/>
              <w:rPr>
                <w:rFonts w:ascii="Arial" w:hAnsi="Arial" w:cs="Arial"/>
              </w:rPr>
            </w:pPr>
            <w:r w:rsidRPr="00F7228F">
              <w:rPr>
                <w:rFonts w:ascii="Arial" w:hAnsi="Arial" w:cs="Arial"/>
              </w:rPr>
              <w:t>1.051</w:t>
            </w:r>
          </w:p>
          <w:p w14:paraId="52AAA4FB" w14:textId="77777777" w:rsidR="00236A5B" w:rsidRPr="00F7228F" w:rsidRDefault="00236A5B" w:rsidP="000B242D">
            <w:pPr>
              <w:spacing w:line="276" w:lineRule="auto"/>
              <w:rPr>
                <w:rFonts w:ascii="Arial" w:hAnsi="Arial" w:cs="Arial"/>
              </w:rPr>
            </w:pPr>
            <w:r w:rsidRPr="00F7228F">
              <w:rPr>
                <w:rFonts w:ascii="Arial" w:hAnsi="Arial" w:cs="Arial"/>
              </w:rPr>
              <w:t>(0.988 – 1.119)</w:t>
            </w:r>
          </w:p>
        </w:tc>
        <w:tc>
          <w:tcPr>
            <w:tcW w:w="509" w:type="pct"/>
          </w:tcPr>
          <w:p w14:paraId="77880CD1" w14:textId="77777777" w:rsidR="00236A5B" w:rsidRPr="00F7228F" w:rsidRDefault="00236A5B" w:rsidP="000B242D">
            <w:pPr>
              <w:spacing w:line="276" w:lineRule="auto"/>
              <w:rPr>
                <w:rFonts w:ascii="Arial" w:hAnsi="Arial" w:cs="Arial"/>
              </w:rPr>
            </w:pPr>
            <w:r w:rsidRPr="00F7228F">
              <w:rPr>
                <w:rFonts w:ascii="Arial" w:hAnsi="Arial" w:cs="Arial"/>
                <w:color w:val="FF0000"/>
              </w:rPr>
              <w:t>1.065 (1.014 – 1.119)</w:t>
            </w:r>
          </w:p>
        </w:tc>
        <w:tc>
          <w:tcPr>
            <w:tcW w:w="509" w:type="pct"/>
          </w:tcPr>
          <w:p w14:paraId="3960B3C0" w14:textId="77777777" w:rsidR="00236A5B" w:rsidRPr="00F7228F" w:rsidRDefault="00236A5B" w:rsidP="000B242D">
            <w:pPr>
              <w:spacing w:line="276" w:lineRule="auto"/>
              <w:rPr>
                <w:rFonts w:ascii="Arial" w:hAnsi="Arial" w:cs="Arial"/>
              </w:rPr>
            </w:pPr>
            <w:r w:rsidRPr="00F7228F">
              <w:rPr>
                <w:rFonts w:ascii="Arial" w:hAnsi="Arial" w:cs="Arial"/>
                <w:color w:val="FF0000"/>
              </w:rPr>
              <w:t>1.058 (1.015 – 1.103)</w:t>
            </w:r>
          </w:p>
        </w:tc>
        <w:tc>
          <w:tcPr>
            <w:tcW w:w="509" w:type="pct"/>
          </w:tcPr>
          <w:p w14:paraId="4DDC901C" w14:textId="77777777" w:rsidR="00236A5B" w:rsidRPr="00F7228F" w:rsidRDefault="00236A5B" w:rsidP="000B242D">
            <w:pPr>
              <w:spacing w:line="276" w:lineRule="auto"/>
              <w:rPr>
                <w:rFonts w:ascii="Arial" w:hAnsi="Arial" w:cs="Arial"/>
              </w:rPr>
            </w:pPr>
            <w:r w:rsidRPr="00F7228F">
              <w:rPr>
                <w:rFonts w:ascii="Arial" w:hAnsi="Arial" w:cs="Arial"/>
              </w:rPr>
              <w:t>1.026 (0.980 – 1.073)</w:t>
            </w:r>
          </w:p>
        </w:tc>
        <w:tc>
          <w:tcPr>
            <w:tcW w:w="511" w:type="pct"/>
          </w:tcPr>
          <w:p w14:paraId="21916754" w14:textId="77777777" w:rsidR="00236A5B" w:rsidRPr="00F7228F" w:rsidRDefault="00236A5B" w:rsidP="000B242D">
            <w:pPr>
              <w:spacing w:line="276" w:lineRule="auto"/>
              <w:rPr>
                <w:rFonts w:ascii="Arial" w:hAnsi="Arial" w:cs="Arial"/>
              </w:rPr>
            </w:pPr>
            <w:r w:rsidRPr="00F7228F">
              <w:rPr>
                <w:rFonts w:ascii="Arial" w:hAnsi="Arial" w:cs="Arial"/>
                <w:color w:val="FFC000"/>
              </w:rPr>
              <w:t>1.040 (0.996 – 1.086)</w:t>
            </w:r>
          </w:p>
        </w:tc>
        <w:tc>
          <w:tcPr>
            <w:tcW w:w="463" w:type="pct"/>
          </w:tcPr>
          <w:p w14:paraId="6235BD3B" w14:textId="77777777" w:rsidR="00236A5B" w:rsidRPr="00F7228F" w:rsidRDefault="00236A5B" w:rsidP="000B242D">
            <w:pPr>
              <w:spacing w:line="276" w:lineRule="auto"/>
              <w:rPr>
                <w:rFonts w:ascii="Arial" w:hAnsi="Arial" w:cs="Arial"/>
              </w:rPr>
            </w:pPr>
            <w:r w:rsidRPr="00F7228F">
              <w:rPr>
                <w:rFonts w:ascii="Arial" w:hAnsi="Arial" w:cs="Arial"/>
              </w:rPr>
              <w:t>1.029 (0.992 – 1.067)</w:t>
            </w:r>
          </w:p>
        </w:tc>
        <w:tc>
          <w:tcPr>
            <w:tcW w:w="501" w:type="pct"/>
          </w:tcPr>
          <w:p w14:paraId="42A977B8" w14:textId="77777777" w:rsidR="00236A5B" w:rsidRPr="00F7228F" w:rsidRDefault="00236A5B" w:rsidP="000B242D">
            <w:pPr>
              <w:spacing w:line="276" w:lineRule="auto"/>
              <w:rPr>
                <w:rFonts w:ascii="Arial" w:hAnsi="Arial" w:cs="Arial"/>
              </w:rPr>
            </w:pPr>
            <w:r w:rsidRPr="00F7228F">
              <w:rPr>
                <w:rFonts w:ascii="Arial" w:hAnsi="Arial" w:cs="Arial"/>
              </w:rPr>
              <w:t>1.021 (0.979 – 1.064)</w:t>
            </w:r>
          </w:p>
        </w:tc>
        <w:tc>
          <w:tcPr>
            <w:tcW w:w="505" w:type="pct"/>
          </w:tcPr>
          <w:p w14:paraId="7A62AE46" w14:textId="77777777" w:rsidR="00236A5B" w:rsidRPr="00F7228F" w:rsidRDefault="00236A5B" w:rsidP="000B242D">
            <w:pPr>
              <w:spacing w:line="276" w:lineRule="auto"/>
              <w:rPr>
                <w:rFonts w:ascii="Arial" w:hAnsi="Arial" w:cs="Arial"/>
              </w:rPr>
            </w:pPr>
            <w:r w:rsidRPr="00F7228F">
              <w:rPr>
                <w:rFonts w:ascii="Arial" w:hAnsi="Arial" w:cs="Arial"/>
              </w:rPr>
              <w:t>1.020 (0.975 – 1.066)</w:t>
            </w:r>
          </w:p>
        </w:tc>
      </w:tr>
      <w:tr w:rsidR="00236A5B" w:rsidRPr="00F7228F" w14:paraId="3E77A474" w14:textId="77777777" w:rsidTr="00CB0BB6">
        <w:tc>
          <w:tcPr>
            <w:tcW w:w="459" w:type="pct"/>
            <w:vMerge/>
            <w:vAlign w:val="center"/>
          </w:tcPr>
          <w:p w14:paraId="31DBCECE" w14:textId="77777777" w:rsidR="00236A5B" w:rsidRPr="00F7228F" w:rsidRDefault="00236A5B" w:rsidP="000B242D">
            <w:pPr>
              <w:spacing w:line="276" w:lineRule="auto"/>
              <w:rPr>
                <w:rFonts w:ascii="Arial" w:hAnsi="Arial" w:cs="Arial"/>
              </w:rPr>
            </w:pPr>
          </w:p>
        </w:tc>
        <w:tc>
          <w:tcPr>
            <w:tcW w:w="525" w:type="pct"/>
          </w:tcPr>
          <w:p w14:paraId="58998B9A"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158D79D3" w14:textId="77777777" w:rsidR="00236A5B" w:rsidRPr="00F7228F" w:rsidRDefault="00236A5B" w:rsidP="000B242D">
            <w:pPr>
              <w:spacing w:line="276" w:lineRule="auto"/>
              <w:rPr>
                <w:rFonts w:ascii="Arial" w:hAnsi="Arial" w:cs="Arial"/>
              </w:rPr>
            </w:pPr>
            <w:r w:rsidRPr="00F7228F">
              <w:rPr>
                <w:rFonts w:ascii="Arial" w:hAnsi="Arial" w:cs="Arial"/>
              </w:rPr>
              <w:t>0.117</w:t>
            </w:r>
          </w:p>
        </w:tc>
        <w:tc>
          <w:tcPr>
            <w:tcW w:w="509" w:type="pct"/>
          </w:tcPr>
          <w:p w14:paraId="6F875630" w14:textId="77777777" w:rsidR="00236A5B" w:rsidRPr="00F7228F" w:rsidRDefault="00236A5B" w:rsidP="000B242D">
            <w:pPr>
              <w:spacing w:line="276" w:lineRule="auto"/>
              <w:rPr>
                <w:rFonts w:ascii="Arial" w:hAnsi="Arial" w:cs="Arial"/>
              </w:rPr>
            </w:pPr>
            <w:r w:rsidRPr="00F7228F">
              <w:rPr>
                <w:rFonts w:ascii="Arial" w:hAnsi="Arial" w:cs="Arial"/>
                <w:color w:val="FF0000"/>
              </w:rPr>
              <w:t>0.012</w:t>
            </w:r>
          </w:p>
        </w:tc>
        <w:tc>
          <w:tcPr>
            <w:tcW w:w="509" w:type="pct"/>
          </w:tcPr>
          <w:p w14:paraId="360254AB" w14:textId="77777777" w:rsidR="00236A5B" w:rsidRPr="00F7228F" w:rsidRDefault="00236A5B" w:rsidP="000B242D">
            <w:pPr>
              <w:spacing w:line="276" w:lineRule="auto"/>
              <w:rPr>
                <w:rFonts w:ascii="Arial" w:hAnsi="Arial" w:cs="Arial"/>
              </w:rPr>
            </w:pPr>
            <w:r w:rsidRPr="00F7228F">
              <w:rPr>
                <w:rFonts w:ascii="Arial" w:hAnsi="Arial" w:cs="Arial"/>
                <w:color w:val="FF0000"/>
              </w:rPr>
              <w:t>0.008</w:t>
            </w:r>
          </w:p>
        </w:tc>
        <w:tc>
          <w:tcPr>
            <w:tcW w:w="509" w:type="pct"/>
          </w:tcPr>
          <w:p w14:paraId="1276E6E3" w14:textId="77777777" w:rsidR="00236A5B" w:rsidRPr="00F7228F" w:rsidRDefault="00236A5B" w:rsidP="000B242D">
            <w:pPr>
              <w:spacing w:line="276" w:lineRule="auto"/>
              <w:rPr>
                <w:rFonts w:ascii="Arial" w:hAnsi="Arial" w:cs="Arial"/>
              </w:rPr>
            </w:pPr>
            <w:r w:rsidRPr="00F7228F">
              <w:rPr>
                <w:rFonts w:ascii="Arial" w:hAnsi="Arial" w:cs="Arial"/>
              </w:rPr>
              <w:t>0.276</w:t>
            </w:r>
          </w:p>
        </w:tc>
        <w:tc>
          <w:tcPr>
            <w:tcW w:w="511" w:type="pct"/>
          </w:tcPr>
          <w:p w14:paraId="76843FDE" w14:textId="77777777" w:rsidR="00236A5B" w:rsidRPr="00F7228F" w:rsidRDefault="00236A5B" w:rsidP="000B242D">
            <w:pPr>
              <w:spacing w:line="276" w:lineRule="auto"/>
              <w:rPr>
                <w:rFonts w:ascii="Arial" w:hAnsi="Arial" w:cs="Arial"/>
              </w:rPr>
            </w:pPr>
            <w:r w:rsidRPr="00F7228F">
              <w:rPr>
                <w:rFonts w:ascii="Arial" w:hAnsi="Arial" w:cs="Arial"/>
                <w:color w:val="FFC000"/>
              </w:rPr>
              <w:t>0.073</w:t>
            </w:r>
          </w:p>
        </w:tc>
        <w:tc>
          <w:tcPr>
            <w:tcW w:w="463" w:type="pct"/>
          </w:tcPr>
          <w:p w14:paraId="4A932AB3" w14:textId="77777777" w:rsidR="00236A5B" w:rsidRPr="00F7228F" w:rsidRDefault="00236A5B" w:rsidP="000B242D">
            <w:pPr>
              <w:spacing w:line="276" w:lineRule="auto"/>
              <w:rPr>
                <w:rFonts w:ascii="Arial" w:hAnsi="Arial" w:cs="Arial"/>
              </w:rPr>
            </w:pPr>
            <w:r w:rsidRPr="00F7228F">
              <w:rPr>
                <w:rFonts w:ascii="Arial" w:hAnsi="Arial" w:cs="Arial"/>
              </w:rPr>
              <w:t>0.130</w:t>
            </w:r>
          </w:p>
        </w:tc>
        <w:tc>
          <w:tcPr>
            <w:tcW w:w="501" w:type="pct"/>
          </w:tcPr>
          <w:p w14:paraId="0AD9E308" w14:textId="77777777" w:rsidR="00236A5B" w:rsidRPr="00F7228F" w:rsidRDefault="00236A5B" w:rsidP="000B242D">
            <w:pPr>
              <w:spacing w:line="276" w:lineRule="auto"/>
              <w:rPr>
                <w:rFonts w:ascii="Arial" w:hAnsi="Arial" w:cs="Arial"/>
              </w:rPr>
            </w:pPr>
            <w:r w:rsidRPr="00F7228F">
              <w:rPr>
                <w:rFonts w:ascii="Arial" w:hAnsi="Arial" w:cs="Arial"/>
              </w:rPr>
              <w:t>0.333</w:t>
            </w:r>
          </w:p>
        </w:tc>
        <w:tc>
          <w:tcPr>
            <w:tcW w:w="505" w:type="pct"/>
          </w:tcPr>
          <w:p w14:paraId="63E760C0" w14:textId="77777777" w:rsidR="00236A5B" w:rsidRPr="00F7228F" w:rsidRDefault="00236A5B" w:rsidP="000B242D">
            <w:pPr>
              <w:spacing w:line="276" w:lineRule="auto"/>
              <w:rPr>
                <w:rFonts w:ascii="Arial" w:hAnsi="Arial" w:cs="Arial"/>
              </w:rPr>
            </w:pPr>
            <w:r w:rsidRPr="00F7228F">
              <w:rPr>
                <w:rFonts w:ascii="Arial" w:hAnsi="Arial" w:cs="Arial"/>
              </w:rPr>
              <w:t>0.388</w:t>
            </w:r>
          </w:p>
        </w:tc>
      </w:tr>
      <w:tr w:rsidR="00236A5B" w:rsidRPr="00F7228F" w14:paraId="001A589F" w14:textId="77777777" w:rsidTr="00CB0BB6">
        <w:tc>
          <w:tcPr>
            <w:tcW w:w="459" w:type="pct"/>
            <w:vMerge w:val="restart"/>
            <w:vAlign w:val="center"/>
          </w:tcPr>
          <w:p w14:paraId="0EECD5E7" w14:textId="77777777" w:rsidR="00236A5B" w:rsidRPr="00F7228F" w:rsidRDefault="00236A5B" w:rsidP="000B242D">
            <w:pPr>
              <w:spacing w:line="276" w:lineRule="auto"/>
              <w:rPr>
                <w:rFonts w:ascii="Arial" w:hAnsi="Arial" w:cs="Arial"/>
              </w:rPr>
            </w:pPr>
            <w:r w:rsidRPr="00F7228F">
              <w:rPr>
                <w:rFonts w:ascii="Arial" w:hAnsi="Arial" w:cs="Arial"/>
              </w:rPr>
              <w:t>CSF IL-6</w:t>
            </w:r>
          </w:p>
          <w:p w14:paraId="2ED6B7A4" w14:textId="77777777" w:rsidR="00236A5B" w:rsidRPr="00F7228F" w:rsidRDefault="00236A5B" w:rsidP="000B242D">
            <w:pPr>
              <w:spacing w:line="276" w:lineRule="auto"/>
              <w:rPr>
                <w:rFonts w:ascii="Arial" w:hAnsi="Arial" w:cs="Arial"/>
              </w:rPr>
            </w:pPr>
          </w:p>
        </w:tc>
        <w:tc>
          <w:tcPr>
            <w:tcW w:w="525" w:type="pct"/>
          </w:tcPr>
          <w:p w14:paraId="7E4FD54F"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57B72385"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1.000 (1.000 – 1.000)</w:t>
            </w:r>
          </w:p>
        </w:tc>
        <w:tc>
          <w:tcPr>
            <w:tcW w:w="509" w:type="pct"/>
          </w:tcPr>
          <w:p w14:paraId="27DA8DD8"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1.000)</w:t>
            </w:r>
          </w:p>
        </w:tc>
        <w:tc>
          <w:tcPr>
            <w:tcW w:w="509" w:type="pct"/>
          </w:tcPr>
          <w:p w14:paraId="068059DC"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1.000)</w:t>
            </w:r>
          </w:p>
        </w:tc>
        <w:tc>
          <w:tcPr>
            <w:tcW w:w="509" w:type="pct"/>
          </w:tcPr>
          <w:p w14:paraId="0503FDDB" w14:textId="77777777" w:rsidR="00236A5B" w:rsidRPr="00F7228F" w:rsidRDefault="00236A5B" w:rsidP="000B242D">
            <w:pPr>
              <w:spacing w:line="276" w:lineRule="auto"/>
              <w:rPr>
                <w:rFonts w:ascii="Arial" w:hAnsi="Arial" w:cs="Arial"/>
              </w:rPr>
            </w:pPr>
            <w:r w:rsidRPr="00F7228F">
              <w:rPr>
                <w:rFonts w:ascii="Arial" w:hAnsi="Arial" w:cs="Arial"/>
              </w:rPr>
              <w:t>1.000 (1.000 – 1.000)</w:t>
            </w:r>
          </w:p>
        </w:tc>
        <w:tc>
          <w:tcPr>
            <w:tcW w:w="511" w:type="pct"/>
          </w:tcPr>
          <w:p w14:paraId="052E5F21"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1.000 (1.000 – 1.000)</w:t>
            </w:r>
          </w:p>
        </w:tc>
        <w:tc>
          <w:tcPr>
            <w:tcW w:w="463" w:type="pct"/>
          </w:tcPr>
          <w:p w14:paraId="5F041AAD" w14:textId="77777777" w:rsidR="00236A5B" w:rsidRPr="00F7228F" w:rsidRDefault="00236A5B" w:rsidP="000B242D">
            <w:pPr>
              <w:spacing w:line="276" w:lineRule="auto"/>
              <w:rPr>
                <w:rFonts w:ascii="Arial" w:hAnsi="Arial" w:cs="Arial"/>
                <w:color w:val="FFC000"/>
              </w:rPr>
            </w:pPr>
            <w:r w:rsidRPr="00F7228F">
              <w:rPr>
                <w:rFonts w:ascii="Arial" w:hAnsi="Arial" w:cs="Arial"/>
              </w:rPr>
              <w:t>1.000 (1.000 – 1.000)</w:t>
            </w:r>
          </w:p>
        </w:tc>
        <w:tc>
          <w:tcPr>
            <w:tcW w:w="501" w:type="pct"/>
          </w:tcPr>
          <w:p w14:paraId="3B8046B3"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1.000 (1.000 – 1.000)</w:t>
            </w:r>
          </w:p>
        </w:tc>
        <w:tc>
          <w:tcPr>
            <w:tcW w:w="505" w:type="pct"/>
          </w:tcPr>
          <w:p w14:paraId="4325116D" w14:textId="77777777" w:rsidR="00236A5B" w:rsidRPr="00F7228F" w:rsidRDefault="00236A5B" w:rsidP="000B242D">
            <w:pPr>
              <w:spacing w:line="276" w:lineRule="auto"/>
              <w:rPr>
                <w:rFonts w:ascii="Arial" w:hAnsi="Arial" w:cs="Arial"/>
                <w:color w:val="FF0000"/>
              </w:rPr>
            </w:pPr>
            <w:r w:rsidRPr="00F7228F">
              <w:rPr>
                <w:rFonts w:ascii="Arial" w:hAnsi="Arial" w:cs="Arial"/>
              </w:rPr>
              <w:t>1.000 (1.000 – 1.000)</w:t>
            </w:r>
          </w:p>
        </w:tc>
      </w:tr>
      <w:tr w:rsidR="00236A5B" w:rsidRPr="00F7228F" w14:paraId="5675DC21" w14:textId="77777777" w:rsidTr="00CB0BB6">
        <w:tc>
          <w:tcPr>
            <w:tcW w:w="459" w:type="pct"/>
            <w:vMerge/>
            <w:vAlign w:val="center"/>
          </w:tcPr>
          <w:p w14:paraId="0DC66CF5" w14:textId="77777777" w:rsidR="00236A5B" w:rsidRPr="00F7228F" w:rsidRDefault="00236A5B" w:rsidP="000B242D">
            <w:pPr>
              <w:spacing w:line="276" w:lineRule="auto"/>
              <w:rPr>
                <w:rFonts w:ascii="Arial" w:hAnsi="Arial" w:cs="Arial"/>
              </w:rPr>
            </w:pPr>
          </w:p>
        </w:tc>
        <w:tc>
          <w:tcPr>
            <w:tcW w:w="525" w:type="pct"/>
          </w:tcPr>
          <w:p w14:paraId="104EB864"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37049DD1"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0.059</w:t>
            </w:r>
          </w:p>
        </w:tc>
        <w:tc>
          <w:tcPr>
            <w:tcW w:w="509" w:type="pct"/>
          </w:tcPr>
          <w:p w14:paraId="47271D85" w14:textId="77777777" w:rsidR="00236A5B" w:rsidRPr="00F7228F" w:rsidRDefault="00236A5B" w:rsidP="000B242D">
            <w:pPr>
              <w:spacing w:line="276" w:lineRule="auto"/>
              <w:rPr>
                <w:rFonts w:ascii="Arial" w:hAnsi="Arial" w:cs="Arial"/>
              </w:rPr>
            </w:pPr>
            <w:r w:rsidRPr="00F7228F">
              <w:rPr>
                <w:rFonts w:ascii="Arial" w:hAnsi="Arial" w:cs="Arial"/>
                <w:color w:val="FF0000"/>
              </w:rPr>
              <w:t>0.010</w:t>
            </w:r>
          </w:p>
        </w:tc>
        <w:tc>
          <w:tcPr>
            <w:tcW w:w="509" w:type="pct"/>
          </w:tcPr>
          <w:p w14:paraId="42A44504" w14:textId="77777777" w:rsidR="00236A5B" w:rsidRPr="00F7228F" w:rsidRDefault="00236A5B" w:rsidP="000B242D">
            <w:pPr>
              <w:spacing w:line="276" w:lineRule="auto"/>
              <w:rPr>
                <w:rFonts w:ascii="Arial" w:hAnsi="Arial" w:cs="Arial"/>
              </w:rPr>
            </w:pPr>
            <w:r w:rsidRPr="00F7228F">
              <w:rPr>
                <w:rFonts w:ascii="Arial" w:hAnsi="Arial" w:cs="Arial"/>
                <w:color w:val="FF0000"/>
              </w:rPr>
              <w:t>0.004</w:t>
            </w:r>
          </w:p>
        </w:tc>
        <w:tc>
          <w:tcPr>
            <w:tcW w:w="509" w:type="pct"/>
          </w:tcPr>
          <w:p w14:paraId="32F89228" w14:textId="77777777" w:rsidR="00236A5B" w:rsidRPr="00F7228F" w:rsidRDefault="00236A5B" w:rsidP="000B242D">
            <w:pPr>
              <w:spacing w:line="276" w:lineRule="auto"/>
              <w:rPr>
                <w:rFonts w:ascii="Arial" w:hAnsi="Arial" w:cs="Arial"/>
              </w:rPr>
            </w:pPr>
            <w:r w:rsidRPr="00F7228F">
              <w:rPr>
                <w:rFonts w:ascii="Arial" w:hAnsi="Arial" w:cs="Arial"/>
              </w:rPr>
              <w:t>0.272</w:t>
            </w:r>
          </w:p>
        </w:tc>
        <w:tc>
          <w:tcPr>
            <w:tcW w:w="511" w:type="pct"/>
          </w:tcPr>
          <w:p w14:paraId="050BCAFF"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0.016</w:t>
            </w:r>
          </w:p>
        </w:tc>
        <w:tc>
          <w:tcPr>
            <w:tcW w:w="463" w:type="pct"/>
          </w:tcPr>
          <w:p w14:paraId="30775089" w14:textId="77777777" w:rsidR="00236A5B" w:rsidRPr="00F7228F" w:rsidRDefault="00236A5B" w:rsidP="000B242D">
            <w:pPr>
              <w:spacing w:line="276" w:lineRule="auto"/>
              <w:rPr>
                <w:rFonts w:ascii="Arial" w:hAnsi="Arial" w:cs="Arial"/>
                <w:color w:val="FFC000"/>
              </w:rPr>
            </w:pPr>
            <w:r w:rsidRPr="00F7228F">
              <w:rPr>
                <w:rFonts w:ascii="Arial" w:hAnsi="Arial" w:cs="Arial"/>
              </w:rPr>
              <w:t>0.146</w:t>
            </w:r>
          </w:p>
        </w:tc>
        <w:tc>
          <w:tcPr>
            <w:tcW w:w="501" w:type="pct"/>
          </w:tcPr>
          <w:p w14:paraId="6C595E93"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0.070</w:t>
            </w:r>
          </w:p>
        </w:tc>
        <w:tc>
          <w:tcPr>
            <w:tcW w:w="505" w:type="pct"/>
          </w:tcPr>
          <w:p w14:paraId="3B8E2031" w14:textId="77777777" w:rsidR="00236A5B" w:rsidRPr="00F7228F" w:rsidRDefault="00236A5B" w:rsidP="000B242D">
            <w:pPr>
              <w:spacing w:line="276" w:lineRule="auto"/>
              <w:rPr>
                <w:rFonts w:ascii="Arial" w:hAnsi="Arial" w:cs="Arial"/>
                <w:color w:val="FF0000"/>
              </w:rPr>
            </w:pPr>
            <w:r w:rsidRPr="00F7228F">
              <w:rPr>
                <w:rFonts w:ascii="Arial" w:hAnsi="Arial" w:cs="Arial"/>
              </w:rPr>
              <w:t>0.191</w:t>
            </w:r>
          </w:p>
        </w:tc>
      </w:tr>
      <w:tr w:rsidR="00236A5B" w:rsidRPr="00F7228F" w14:paraId="49314E83" w14:textId="77777777" w:rsidTr="00CB0BB6">
        <w:tc>
          <w:tcPr>
            <w:tcW w:w="459" w:type="pct"/>
            <w:vMerge w:val="restart"/>
            <w:vAlign w:val="center"/>
          </w:tcPr>
          <w:p w14:paraId="028AC026" w14:textId="77777777" w:rsidR="00236A5B" w:rsidRPr="00F7228F" w:rsidRDefault="00236A5B" w:rsidP="000B242D">
            <w:pPr>
              <w:spacing w:line="276" w:lineRule="auto"/>
              <w:rPr>
                <w:rFonts w:ascii="Arial" w:hAnsi="Arial" w:cs="Arial"/>
              </w:rPr>
            </w:pPr>
            <w:r w:rsidRPr="00F7228F">
              <w:rPr>
                <w:rFonts w:ascii="Arial" w:hAnsi="Arial" w:cs="Arial"/>
              </w:rPr>
              <w:t>CSF IL-8</w:t>
            </w:r>
          </w:p>
          <w:p w14:paraId="1FFA2356" w14:textId="77777777" w:rsidR="00236A5B" w:rsidRPr="00F7228F" w:rsidRDefault="00236A5B" w:rsidP="000B242D">
            <w:pPr>
              <w:spacing w:line="276" w:lineRule="auto"/>
              <w:rPr>
                <w:rFonts w:ascii="Arial" w:hAnsi="Arial" w:cs="Arial"/>
              </w:rPr>
            </w:pPr>
          </w:p>
        </w:tc>
        <w:tc>
          <w:tcPr>
            <w:tcW w:w="525" w:type="pct"/>
          </w:tcPr>
          <w:p w14:paraId="5A2A5031"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24535041" w14:textId="77777777" w:rsidR="00236A5B" w:rsidRPr="00F7228F" w:rsidRDefault="00236A5B" w:rsidP="000B242D">
            <w:pPr>
              <w:spacing w:line="276" w:lineRule="auto"/>
              <w:rPr>
                <w:rFonts w:ascii="Arial" w:hAnsi="Arial" w:cs="Arial"/>
                <w:color w:val="FFC000"/>
              </w:rPr>
            </w:pPr>
            <w:r w:rsidRPr="00F7228F">
              <w:rPr>
                <w:rFonts w:ascii="Arial" w:hAnsi="Arial" w:cs="Arial"/>
              </w:rPr>
              <w:t>1.000 (1.000 – 1.001)</w:t>
            </w:r>
          </w:p>
        </w:tc>
        <w:tc>
          <w:tcPr>
            <w:tcW w:w="509" w:type="pct"/>
          </w:tcPr>
          <w:p w14:paraId="2B3A8908"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1.001)</w:t>
            </w:r>
          </w:p>
        </w:tc>
        <w:tc>
          <w:tcPr>
            <w:tcW w:w="509" w:type="pct"/>
          </w:tcPr>
          <w:p w14:paraId="7FA7D351"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1.001)</w:t>
            </w:r>
          </w:p>
        </w:tc>
        <w:tc>
          <w:tcPr>
            <w:tcW w:w="509" w:type="pct"/>
          </w:tcPr>
          <w:p w14:paraId="6462BB57"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1.000)</w:t>
            </w:r>
          </w:p>
        </w:tc>
        <w:tc>
          <w:tcPr>
            <w:tcW w:w="511" w:type="pct"/>
          </w:tcPr>
          <w:p w14:paraId="3AB9EE9E" w14:textId="77777777" w:rsidR="00236A5B" w:rsidRPr="00F7228F" w:rsidRDefault="00236A5B" w:rsidP="000B242D">
            <w:pPr>
              <w:spacing w:line="276" w:lineRule="auto"/>
              <w:rPr>
                <w:rFonts w:ascii="Arial" w:hAnsi="Arial" w:cs="Arial"/>
              </w:rPr>
            </w:pPr>
            <w:r w:rsidRPr="00F7228F">
              <w:rPr>
                <w:rFonts w:ascii="Arial" w:hAnsi="Arial" w:cs="Arial"/>
                <w:color w:val="FFC000"/>
              </w:rPr>
              <w:t>1.000 (1.000 – 1.000)</w:t>
            </w:r>
          </w:p>
        </w:tc>
        <w:tc>
          <w:tcPr>
            <w:tcW w:w="463" w:type="pct"/>
          </w:tcPr>
          <w:p w14:paraId="0A040077" w14:textId="77777777" w:rsidR="00236A5B" w:rsidRPr="00F7228F" w:rsidRDefault="00236A5B" w:rsidP="000B242D">
            <w:pPr>
              <w:spacing w:line="276" w:lineRule="auto"/>
              <w:rPr>
                <w:rFonts w:ascii="Arial" w:hAnsi="Arial" w:cs="Arial"/>
              </w:rPr>
            </w:pPr>
            <w:r w:rsidRPr="00F7228F">
              <w:rPr>
                <w:rFonts w:ascii="Arial" w:hAnsi="Arial" w:cs="Arial"/>
                <w:color w:val="FF0000"/>
              </w:rPr>
              <w:t>1.000 (1.000 – 1.000)</w:t>
            </w:r>
          </w:p>
        </w:tc>
        <w:tc>
          <w:tcPr>
            <w:tcW w:w="501" w:type="pct"/>
          </w:tcPr>
          <w:p w14:paraId="56927945" w14:textId="77777777" w:rsidR="00236A5B" w:rsidRPr="00F7228F" w:rsidRDefault="00236A5B" w:rsidP="000B242D">
            <w:pPr>
              <w:spacing w:line="276" w:lineRule="auto"/>
              <w:rPr>
                <w:rFonts w:ascii="Arial" w:hAnsi="Arial" w:cs="Arial"/>
              </w:rPr>
            </w:pPr>
            <w:r w:rsidRPr="00F7228F">
              <w:rPr>
                <w:rFonts w:ascii="Arial" w:hAnsi="Arial" w:cs="Arial"/>
              </w:rPr>
              <w:t>1.000 (1.000 – 1.000)</w:t>
            </w:r>
          </w:p>
        </w:tc>
        <w:tc>
          <w:tcPr>
            <w:tcW w:w="505" w:type="pct"/>
          </w:tcPr>
          <w:p w14:paraId="4C433411" w14:textId="77777777" w:rsidR="00236A5B" w:rsidRPr="00F7228F" w:rsidRDefault="00236A5B" w:rsidP="000B242D">
            <w:pPr>
              <w:spacing w:line="276" w:lineRule="auto"/>
              <w:rPr>
                <w:rFonts w:ascii="Arial" w:hAnsi="Arial" w:cs="Arial"/>
              </w:rPr>
            </w:pPr>
            <w:r w:rsidRPr="00F7228F">
              <w:rPr>
                <w:rFonts w:ascii="Arial" w:hAnsi="Arial" w:cs="Arial"/>
              </w:rPr>
              <w:t>1.000 (1.000 – 1.000)</w:t>
            </w:r>
          </w:p>
        </w:tc>
      </w:tr>
      <w:tr w:rsidR="00236A5B" w:rsidRPr="00F7228F" w14:paraId="7A3460B4" w14:textId="77777777" w:rsidTr="00CB0BB6">
        <w:tc>
          <w:tcPr>
            <w:tcW w:w="459" w:type="pct"/>
            <w:vMerge/>
            <w:vAlign w:val="center"/>
          </w:tcPr>
          <w:p w14:paraId="039DC55F" w14:textId="77777777" w:rsidR="00236A5B" w:rsidRPr="00F7228F" w:rsidRDefault="00236A5B" w:rsidP="000B242D">
            <w:pPr>
              <w:spacing w:line="276" w:lineRule="auto"/>
              <w:rPr>
                <w:rFonts w:ascii="Arial" w:hAnsi="Arial" w:cs="Arial"/>
              </w:rPr>
            </w:pPr>
          </w:p>
        </w:tc>
        <w:tc>
          <w:tcPr>
            <w:tcW w:w="525" w:type="pct"/>
          </w:tcPr>
          <w:p w14:paraId="56A96F74"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3D2599D8" w14:textId="77777777" w:rsidR="00236A5B" w:rsidRPr="00F7228F" w:rsidRDefault="00236A5B" w:rsidP="000B242D">
            <w:pPr>
              <w:spacing w:line="276" w:lineRule="auto"/>
              <w:rPr>
                <w:rFonts w:ascii="Arial" w:hAnsi="Arial" w:cs="Arial"/>
                <w:color w:val="FFC000"/>
              </w:rPr>
            </w:pPr>
            <w:r w:rsidRPr="00F7228F">
              <w:rPr>
                <w:rFonts w:ascii="Arial" w:hAnsi="Arial" w:cs="Arial"/>
              </w:rPr>
              <w:t>0.178</w:t>
            </w:r>
          </w:p>
        </w:tc>
        <w:tc>
          <w:tcPr>
            <w:tcW w:w="509" w:type="pct"/>
          </w:tcPr>
          <w:p w14:paraId="668BD21A" w14:textId="77777777" w:rsidR="00236A5B" w:rsidRPr="00F7228F" w:rsidRDefault="00236A5B" w:rsidP="000B242D">
            <w:pPr>
              <w:spacing w:line="276" w:lineRule="auto"/>
              <w:rPr>
                <w:rFonts w:ascii="Arial" w:hAnsi="Arial" w:cs="Arial"/>
              </w:rPr>
            </w:pPr>
            <w:r w:rsidRPr="00F7228F">
              <w:rPr>
                <w:rFonts w:ascii="Arial" w:hAnsi="Arial" w:cs="Arial"/>
                <w:color w:val="FF0000"/>
              </w:rPr>
              <w:t>0.001</w:t>
            </w:r>
          </w:p>
        </w:tc>
        <w:tc>
          <w:tcPr>
            <w:tcW w:w="509" w:type="pct"/>
          </w:tcPr>
          <w:p w14:paraId="1D081919" w14:textId="77777777" w:rsidR="00236A5B" w:rsidRPr="00F7228F" w:rsidRDefault="00236A5B" w:rsidP="000B242D">
            <w:pPr>
              <w:spacing w:line="276" w:lineRule="auto"/>
              <w:rPr>
                <w:rFonts w:ascii="Arial" w:hAnsi="Arial" w:cs="Arial"/>
              </w:rPr>
            </w:pPr>
            <w:r w:rsidRPr="00F7228F">
              <w:rPr>
                <w:rFonts w:ascii="Arial" w:hAnsi="Arial" w:cs="Arial"/>
                <w:color w:val="FF0000"/>
              </w:rPr>
              <w:t>0.011</w:t>
            </w:r>
          </w:p>
        </w:tc>
        <w:tc>
          <w:tcPr>
            <w:tcW w:w="509" w:type="pct"/>
          </w:tcPr>
          <w:p w14:paraId="5AB78BE7" w14:textId="77777777" w:rsidR="00236A5B" w:rsidRPr="00F7228F" w:rsidRDefault="00236A5B" w:rsidP="000B242D">
            <w:pPr>
              <w:spacing w:line="276" w:lineRule="auto"/>
              <w:rPr>
                <w:rFonts w:ascii="Arial" w:hAnsi="Arial" w:cs="Arial"/>
              </w:rPr>
            </w:pPr>
            <w:r w:rsidRPr="00F7228F">
              <w:rPr>
                <w:rFonts w:ascii="Arial" w:hAnsi="Arial" w:cs="Arial"/>
                <w:color w:val="FF0000"/>
              </w:rPr>
              <w:t>0.040</w:t>
            </w:r>
          </w:p>
        </w:tc>
        <w:tc>
          <w:tcPr>
            <w:tcW w:w="511" w:type="pct"/>
          </w:tcPr>
          <w:p w14:paraId="4E7F031F" w14:textId="77777777" w:rsidR="00236A5B" w:rsidRPr="00F7228F" w:rsidRDefault="00236A5B" w:rsidP="000B242D">
            <w:pPr>
              <w:spacing w:line="276" w:lineRule="auto"/>
              <w:rPr>
                <w:rFonts w:ascii="Arial" w:hAnsi="Arial" w:cs="Arial"/>
              </w:rPr>
            </w:pPr>
            <w:r w:rsidRPr="00F7228F">
              <w:rPr>
                <w:rFonts w:ascii="Arial" w:hAnsi="Arial" w:cs="Arial"/>
                <w:color w:val="FFC000"/>
              </w:rPr>
              <w:t>0.073</w:t>
            </w:r>
          </w:p>
        </w:tc>
        <w:tc>
          <w:tcPr>
            <w:tcW w:w="463" w:type="pct"/>
          </w:tcPr>
          <w:p w14:paraId="79A78CCE" w14:textId="77777777" w:rsidR="00236A5B" w:rsidRPr="00F7228F" w:rsidRDefault="00236A5B" w:rsidP="000B242D">
            <w:pPr>
              <w:spacing w:line="276" w:lineRule="auto"/>
              <w:rPr>
                <w:rFonts w:ascii="Arial" w:hAnsi="Arial" w:cs="Arial"/>
              </w:rPr>
            </w:pPr>
            <w:r w:rsidRPr="00F7228F">
              <w:rPr>
                <w:rFonts w:ascii="Arial" w:hAnsi="Arial" w:cs="Arial"/>
                <w:color w:val="FF0000"/>
              </w:rPr>
              <w:t>0.024</w:t>
            </w:r>
          </w:p>
        </w:tc>
        <w:tc>
          <w:tcPr>
            <w:tcW w:w="501" w:type="pct"/>
          </w:tcPr>
          <w:p w14:paraId="2BD1C528" w14:textId="77777777" w:rsidR="00236A5B" w:rsidRPr="00F7228F" w:rsidRDefault="00236A5B" w:rsidP="000B242D">
            <w:pPr>
              <w:spacing w:line="276" w:lineRule="auto"/>
              <w:rPr>
                <w:rFonts w:ascii="Arial" w:hAnsi="Arial" w:cs="Arial"/>
              </w:rPr>
            </w:pPr>
            <w:r w:rsidRPr="00F7228F">
              <w:rPr>
                <w:rFonts w:ascii="Arial" w:hAnsi="Arial" w:cs="Arial"/>
              </w:rPr>
              <w:t>0.453</w:t>
            </w:r>
          </w:p>
        </w:tc>
        <w:tc>
          <w:tcPr>
            <w:tcW w:w="505" w:type="pct"/>
          </w:tcPr>
          <w:p w14:paraId="29854EFF" w14:textId="77777777" w:rsidR="00236A5B" w:rsidRPr="00F7228F" w:rsidRDefault="00236A5B" w:rsidP="000B242D">
            <w:pPr>
              <w:spacing w:line="276" w:lineRule="auto"/>
              <w:rPr>
                <w:rFonts w:ascii="Arial" w:hAnsi="Arial" w:cs="Arial"/>
              </w:rPr>
            </w:pPr>
            <w:r w:rsidRPr="00F7228F">
              <w:rPr>
                <w:rFonts w:ascii="Arial" w:hAnsi="Arial" w:cs="Arial"/>
              </w:rPr>
              <w:t>0.350</w:t>
            </w:r>
          </w:p>
        </w:tc>
      </w:tr>
      <w:tr w:rsidR="00236A5B" w:rsidRPr="00F7228F" w14:paraId="67685733" w14:textId="77777777" w:rsidTr="00CB0BB6">
        <w:tc>
          <w:tcPr>
            <w:tcW w:w="459" w:type="pct"/>
            <w:vMerge w:val="restart"/>
            <w:vAlign w:val="center"/>
          </w:tcPr>
          <w:p w14:paraId="466ED1F3" w14:textId="77777777" w:rsidR="00236A5B" w:rsidRPr="00F7228F" w:rsidRDefault="00236A5B" w:rsidP="000B242D">
            <w:pPr>
              <w:spacing w:line="276" w:lineRule="auto"/>
              <w:rPr>
                <w:rFonts w:ascii="Arial" w:hAnsi="Arial" w:cs="Arial"/>
              </w:rPr>
            </w:pPr>
            <w:r w:rsidRPr="00F7228F">
              <w:rPr>
                <w:rFonts w:ascii="Arial" w:hAnsi="Arial" w:cs="Arial"/>
              </w:rPr>
              <w:t>CSF IL-10</w:t>
            </w:r>
          </w:p>
          <w:p w14:paraId="24793B29" w14:textId="77777777" w:rsidR="00236A5B" w:rsidRPr="00F7228F" w:rsidRDefault="00236A5B" w:rsidP="000B242D">
            <w:pPr>
              <w:spacing w:line="276" w:lineRule="auto"/>
              <w:rPr>
                <w:rFonts w:ascii="Arial" w:hAnsi="Arial" w:cs="Arial"/>
              </w:rPr>
            </w:pPr>
          </w:p>
        </w:tc>
        <w:tc>
          <w:tcPr>
            <w:tcW w:w="525" w:type="pct"/>
          </w:tcPr>
          <w:p w14:paraId="59DF4C3D"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667CB0C6" w14:textId="77777777" w:rsidR="00236A5B" w:rsidRPr="00F7228F" w:rsidRDefault="00236A5B" w:rsidP="000B242D">
            <w:pPr>
              <w:spacing w:line="276" w:lineRule="auto"/>
              <w:rPr>
                <w:rFonts w:ascii="Arial" w:hAnsi="Arial" w:cs="Arial"/>
              </w:rPr>
            </w:pPr>
            <w:r w:rsidRPr="00F7228F">
              <w:rPr>
                <w:rFonts w:ascii="Arial" w:hAnsi="Arial" w:cs="Arial"/>
              </w:rPr>
              <w:t>1.012</w:t>
            </w:r>
          </w:p>
          <w:p w14:paraId="58969C5B" w14:textId="77777777" w:rsidR="00236A5B" w:rsidRPr="00F7228F" w:rsidRDefault="00236A5B" w:rsidP="000B242D">
            <w:pPr>
              <w:spacing w:line="276" w:lineRule="auto"/>
              <w:rPr>
                <w:rFonts w:ascii="Arial" w:hAnsi="Arial" w:cs="Arial"/>
              </w:rPr>
            </w:pPr>
            <w:r w:rsidRPr="00F7228F">
              <w:rPr>
                <w:rFonts w:ascii="Arial" w:hAnsi="Arial" w:cs="Arial"/>
              </w:rPr>
              <w:t>(0.937 – 1.092)</w:t>
            </w:r>
          </w:p>
        </w:tc>
        <w:tc>
          <w:tcPr>
            <w:tcW w:w="509" w:type="pct"/>
          </w:tcPr>
          <w:p w14:paraId="24F935A3" w14:textId="77777777" w:rsidR="00236A5B" w:rsidRPr="00F7228F" w:rsidRDefault="00236A5B" w:rsidP="000B242D">
            <w:pPr>
              <w:spacing w:line="276" w:lineRule="auto"/>
              <w:rPr>
                <w:rFonts w:ascii="Arial" w:hAnsi="Arial" w:cs="Arial"/>
              </w:rPr>
            </w:pPr>
            <w:r w:rsidRPr="00F7228F">
              <w:rPr>
                <w:rFonts w:ascii="Arial" w:hAnsi="Arial" w:cs="Arial"/>
              </w:rPr>
              <w:t>0.993 (0.954 – 1.034)</w:t>
            </w:r>
          </w:p>
        </w:tc>
        <w:tc>
          <w:tcPr>
            <w:tcW w:w="509" w:type="pct"/>
          </w:tcPr>
          <w:p w14:paraId="078B7B3F" w14:textId="77777777" w:rsidR="00236A5B" w:rsidRPr="00F7228F" w:rsidRDefault="00236A5B" w:rsidP="000B242D">
            <w:pPr>
              <w:spacing w:line="276" w:lineRule="auto"/>
              <w:rPr>
                <w:rFonts w:ascii="Arial" w:hAnsi="Arial" w:cs="Arial"/>
              </w:rPr>
            </w:pPr>
            <w:r w:rsidRPr="00F7228F">
              <w:rPr>
                <w:rFonts w:ascii="Arial" w:hAnsi="Arial" w:cs="Arial"/>
              </w:rPr>
              <w:t>0.990 (0.950 – 1.032)</w:t>
            </w:r>
          </w:p>
        </w:tc>
        <w:tc>
          <w:tcPr>
            <w:tcW w:w="509" w:type="pct"/>
          </w:tcPr>
          <w:p w14:paraId="0D03C8E0" w14:textId="77777777" w:rsidR="00236A5B" w:rsidRPr="00F7228F" w:rsidRDefault="00236A5B" w:rsidP="000B242D">
            <w:pPr>
              <w:spacing w:line="276" w:lineRule="auto"/>
              <w:rPr>
                <w:rFonts w:ascii="Arial" w:hAnsi="Arial" w:cs="Arial"/>
              </w:rPr>
            </w:pPr>
            <w:r w:rsidRPr="00F7228F">
              <w:rPr>
                <w:rFonts w:ascii="Arial" w:hAnsi="Arial" w:cs="Arial"/>
                <w:color w:val="FFC000"/>
              </w:rPr>
              <w:t>0.944 (0.890 – 1.002)</w:t>
            </w:r>
          </w:p>
        </w:tc>
        <w:tc>
          <w:tcPr>
            <w:tcW w:w="511" w:type="pct"/>
          </w:tcPr>
          <w:p w14:paraId="653DFA90" w14:textId="77777777" w:rsidR="00236A5B" w:rsidRPr="00F7228F" w:rsidRDefault="00236A5B" w:rsidP="000B242D">
            <w:pPr>
              <w:spacing w:line="276" w:lineRule="auto"/>
              <w:rPr>
                <w:rFonts w:ascii="Arial" w:hAnsi="Arial" w:cs="Arial"/>
              </w:rPr>
            </w:pPr>
            <w:r w:rsidRPr="00F7228F">
              <w:rPr>
                <w:rFonts w:ascii="Arial" w:hAnsi="Arial" w:cs="Arial"/>
              </w:rPr>
              <w:t>0.990 (0.951 – 1.031)</w:t>
            </w:r>
          </w:p>
        </w:tc>
        <w:tc>
          <w:tcPr>
            <w:tcW w:w="463" w:type="pct"/>
          </w:tcPr>
          <w:p w14:paraId="15C24134" w14:textId="77777777" w:rsidR="00236A5B" w:rsidRPr="00F7228F" w:rsidRDefault="00236A5B" w:rsidP="000B242D">
            <w:pPr>
              <w:spacing w:line="276" w:lineRule="auto"/>
              <w:rPr>
                <w:rFonts w:ascii="Arial" w:hAnsi="Arial" w:cs="Arial"/>
              </w:rPr>
            </w:pPr>
            <w:r w:rsidRPr="00F7228F">
              <w:rPr>
                <w:rFonts w:ascii="Arial" w:hAnsi="Arial" w:cs="Arial"/>
              </w:rPr>
              <w:t>0.988 (0.951 – 1.026)</w:t>
            </w:r>
          </w:p>
        </w:tc>
        <w:tc>
          <w:tcPr>
            <w:tcW w:w="501" w:type="pct"/>
          </w:tcPr>
          <w:p w14:paraId="584C2807" w14:textId="77777777" w:rsidR="00236A5B" w:rsidRPr="00F7228F" w:rsidRDefault="00236A5B" w:rsidP="000B242D">
            <w:pPr>
              <w:spacing w:line="276" w:lineRule="auto"/>
              <w:rPr>
                <w:rFonts w:ascii="Arial" w:hAnsi="Arial" w:cs="Arial"/>
              </w:rPr>
            </w:pPr>
            <w:r w:rsidRPr="00F7228F">
              <w:rPr>
                <w:rFonts w:ascii="Arial" w:hAnsi="Arial" w:cs="Arial"/>
              </w:rPr>
              <w:t>0.948 (0.889 – 1.011)</w:t>
            </w:r>
          </w:p>
        </w:tc>
        <w:tc>
          <w:tcPr>
            <w:tcW w:w="505" w:type="pct"/>
          </w:tcPr>
          <w:p w14:paraId="7CA880F6" w14:textId="77777777" w:rsidR="00236A5B" w:rsidRPr="00F7228F" w:rsidRDefault="00236A5B" w:rsidP="000B242D">
            <w:pPr>
              <w:spacing w:line="276" w:lineRule="auto"/>
              <w:rPr>
                <w:rFonts w:ascii="Arial" w:hAnsi="Arial" w:cs="Arial"/>
              </w:rPr>
            </w:pPr>
            <w:r w:rsidRPr="00F7228F">
              <w:rPr>
                <w:rFonts w:ascii="Arial" w:hAnsi="Arial" w:cs="Arial"/>
              </w:rPr>
              <w:t>0.963 (0.907 – 1.023)</w:t>
            </w:r>
          </w:p>
        </w:tc>
      </w:tr>
      <w:tr w:rsidR="00236A5B" w:rsidRPr="00F7228F" w14:paraId="6C44303B" w14:textId="77777777" w:rsidTr="00CB0BB6">
        <w:tc>
          <w:tcPr>
            <w:tcW w:w="459" w:type="pct"/>
            <w:vMerge/>
            <w:vAlign w:val="center"/>
          </w:tcPr>
          <w:p w14:paraId="28E626DB" w14:textId="77777777" w:rsidR="00236A5B" w:rsidRPr="00F7228F" w:rsidRDefault="00236A5B" w:rsidP="000B242D">
            <w:pPr>
              <w:spacing w:line="276" w:lineRule="auto"/>
              <w:rPr>
                <w:rFonts w:ascii="Arial" w:hAnsi="Arial" w:cs="Arial"/>
              </w:rPr>
            </w:pPr>
          </w:p>
        </w:tc>
        <w:tc>
          <w:tcPr>
            <w:tcW w:w="525" w:type="pct"/>
          </w:tcPr>
          <w:p w14:paraId="206D658B"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1FDD5200" w14:textId="77777777" w:rsidR="00236A5B" w:rsidRPr="00F7228F" w:rsidRDefault="00236A5B" w:rsidP="000B242D">
            <w:pPr>
              <w:spacing w:line="276" w:lineRule="auto"/>
              <w:rPr>
                <w:rFonts w:ascii="Arial" w:hAnsi="Arial" w:cs="Arial"/>
              </w:rPr>
            </w:pPr>
            <w:r w:rsidRPr="00F7228F">
              <w:rPr>
                <w:rFonts w:ascii="Arial" w:hAnsi="Arial" w:cs="Arial"/>
              </w:rPr>
              <w:t>0.766</w:t>
            </w:r>
          </w:p>
        </w:tc>
        <w:tc>
          <w:tcPr>
            <w:tcW w:w="509" w:type="pct"/>
          </w:tcPr>
          <w:p w14:paraId="089F8EF0" w14:textId="77777777" w:rsidR="00236A5B" w:rsidRPr="00F7228F" w:rsidRDefault="00236A5B" w:rsidP="000B242D">
            <w:pPr>
              <w:spacing w:line="276" w:lineRule="auto"/>
              <w:rPr>
                <w:rFonts w:ascii="Arial" w:hAnsi="Arial" w:cs="Arial"/>
              </w:rPr>
            </w:pPr>
            <w:r w:rsidRPr="00F7228F">
              <w:rPr>
                <w:rFonts w:ascii="Arial" w:hAnsi="Arial" w:cs="Arial"/>
              </w:rPr>
              <w:t>0.731</w:t>
            </w:r>
          </w:p>
        </w:tc>
        <w:tc>
          <w:tcPr>
            <w:tcW w:w="509" w:type="pct"/>
          </w:tcPr>
          <w:p w14:paraId="6C3B44DB" w14:textId="77777777" w:rsidR="00236A5B" w:rsidRPr="00F7228F" w:rsidRDefault="00236A5B" w:rsidP="000B242D">
            <w:pPr>
              <w:spacing w:line="276" w:lineRule="auto"/>
              <w:rPr>
                <w:rFonts w:ascii="Arial" w:hAnsi="Arial" w:cs="Arial"/>
              </w:rPr>
            </w:pPr>
            <w:r w:rsidRPr="00F7228F">
              <w:rPr>
                <w:rFonts w:ascii="Arial" w:hAnsi="Arial" w:cs="Arial"/>
              </w:rPr>
              <w:t>0.630</w:t>
            </w:r>
          </w:p>
        </w:tc>
        <w:tc>
          <w:tcPr>
            <w:tcW w:w="509" w:type="pct"/>
          </w:tcPr>
          <w:p w14:paraId="38CD8430" w14:textId="77777777" w:rsidR="00236A5B" w:rsidRPr="00F7228F" w:rsidRDefault="00236A5B" w:rsidP="000B242D">
            <w:pPr>
              <w:spacing w:line="276" w:lineRule="auto"/>
              <w:rPr>
                <w:rFonts w:ascii="Arial" w:hAnsi="Arial" w:cs="Arial"/>
              </w:rPr>
            </w:pPr>
            <w:r w:rsidRPr="00F7228F">
              <w:rPr>
                <w:rFonts w:ascii="Arial" w:hAnsi="Arial" w:cs="Arial"/>
                <w:color w:val="FFC000"/>
              </w:rPr>
              <w:t>0.057</w:t>
            </w:r>
          </w:p>
        </w:tc>
        <w:tc>
          <w:tcPr>
            <w:tcW w:w="511" w:type="pct"/>
          </w:tcPr>
          <w:p w14:paraId="3F54FE61" w14:textId="77777777" w:rsidR="00236A5B" w:rsidRPr="00F7228F" w:rsidRDefault="00236A5B" w:rsidP="000B242D">
            <w:pPr>
              <w:spacing w:line="276" w:lineRule="auto"/>
              <w:rPr>
                <w:rFonts w:ascii="Arial" w:hAnsi="Arial" w:cs="Arial"/>
              </w:rPr>
            </w:pPr>
            <w:r w:rsidRPr="00F7228F">
              <w:rPr>
                <w:rFonts w:ascii="Arial" w:hAnsi="Arial" w:cs="Arial"/>
              </w:rPr>
              <w:t>0.631</w:t>
            </w:r>
          </w:p>
        </w:tc>
        <w:tc>
          <w:tcPr>
            <w:tcW w:w="463" w:type="pct"/>
          </w:tcPr>
          <w:p w14:paraId="3AAF9A04" w14:textId="77777777" w:rsidR="00236A5B" w:rsidRPr="00F7228F" w:rsidRDefault="00236A5B" w:rsidP="000B242D">
            <w:pPr>
              <w:spacing w:line="276" w:lineRule="auto"/>
              <w:rPr>
                <w:rFonts w:ascii="Arial" w:hAnsi="Arial" w:cs="Arial"/>
              </w:rPr>
            </w:pPr>
            <w:r w:rsidRPr="00F7228F">
              <w:rPr>
                <w:rFonts w:ascii="Arial" w:hAnsi="Arial" w:cs="Arial"/>
              </w:rPr>
              <w:t>0.516</w:t>
            </w:r>
          </w:p>
        </w:tc>
        <w:tc>
          <w:tcPr>
            <w:tcW w:w="501" w:type="pct"/>
          </w:tcPr>
          <w:p w14:paraId="7DB46FEE" w14:textId="77777777" w:rsidR="00236A5B" w:rsidRPr="00F7228F" w:rsidRDefault="00236A5B" w:rsidP="000B242D">
            <w:pPr>
              <w:spacing w:line="276" w:lineRule="auto"/>
              <w:rPr>
                <w:rFonts w:ascii="Arial" w:hAnsi="Arial" w:cs="Arial"/>
              </w:rPr>
            </w:pPr>
            <w:r w:rsidRPr="00F7228F">
              <w:rPr>
                <w:rFonts w:ascii="Arial" w:hAnsi="Arial" w:cs="Arial"/>
              </w:rPr>
              <w:t>0.104</w:t>
            </w:r>
          </w:p>
        </w:tc>
        <w:tc>
          <w:tcPr>
            <w:tcW w:w="505" w:type="pct"/>
          </w:tcPr>
          <w:p w14:paraId="0E36ED8F" w14:textId="77777777" w:rsidR="00236A5B" w:rsidRPr="00F7228F" w:rsidRDefault="00236A5B" w:rsidP="000B242D">
            <w:pPr>
              <w:spacing w:line="276" w:lineRule="auto"/>
              <w:rPr>
                <w:rFonts w:ascii="Arial" w:hAnsi="Arial" w:cs="Arial"/>
              </w:rPr>
            </w:pPr>
            <w:r w:rsidRPr="00F7228F">
              <w:rPr>
                <w:rFonts w:ascii="Arial" w:hAnsi="Arial" w:cs="Arial"/>
              </w:rPr>
              <w:t>0.221</w:t>
            </w:r>
          </w:p>
        </w:tc>
      </w:tr>
      <w:tr w:rsidR="00236A5B" w:rsidRPr="00F7228F" w14:paraId="7755566C" w14:textId="77777777" w:rsidTr="00CB0BB6">
        <w:tc>
          <w:tcPr>
            <w:tcW w:w="459" w:type="pct"/>
            <w:vMerge w:val="restart"/>
            <w:vAlign w:val="center"/>
          </w:tcPr>
          <w:p w14:paraId="0EFB4ADC" w14:textId="77777777" w:rsidR="00236A5B" w:rsidRPr="00F7228F" w:rsidRDefault="00236A5B" w:rsidP="000B242D">
            <w:pPr>
              <w:spacing w:line="276" w:lineRule="auto"/>
              <w:rPr>
                <w:rFonts w:ascii="Arial" w:hAnsi="Arial" w:cs="Arial"/>
              </w:rPr>
            </w:pPr>
            <w:r w:rsidRPr="00F7228F">
              <w:rPr>
                <w:rFonts w:ascii="Arial" w:hAnsi="Arial" w:cs="Arial"/>
              </w:rPr>
              <w:lastRenderedPageBreak/>
              <w:t>CSF IL-12</w:t>
            </w:r>
          </w:p>
          <w:p w14:paraId="5973A479" w14:textId="77777777" w:rsidR="00236A5B" w:rsidRPr="00F7228F" w:rsidRDefault="00236A5B" w:rsidP="000B242D">
            <w:pPr>
              <w:spacing w:line="276" w:lineRule="auto"/>
              <w:rPr>
                <w:rFonts w:ascii="Arial" w:hAnsi="Arial" w:cs="Arial"/>
              </w:rPr>
            </w:pPr>
          </w:p>
        </w:tc>
        <w:tc>
          <w:tcPr>
            <w:tcW w:w="525" w:type="pct"/>
          </w:tcPr>
          <w:p w14:paraId="4479ABE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0AC4464A" w14:textId="77777777" w:rsidR="00236A5B" w:rsidRPr="00F7228F" w:rsidRDefault="00236A5B" w:rsidP="000B242D">
            <w:pPr>
              <w:spacing w:line="276" w:lineRule="auto"/>
              <w:rPr>
                <w:rFonts w:ascii="Arial" w:hAnsi="Arial" w:cs="Arial"/>
              </w:rPr>
            </w:pPr>
            <w:r w:rsidRPr="00F7228F">
              <w:rPr>
                <w:rFonts w:ascii="Arial" w:hAnsi="Arial" w:cs="Arial"/>
              </w:rPr>
              <w:t xml:space="preserve">1.046 </w:t>
            </w:r>
          </w:p>
          <w:p w14:paraId="26C92D0C" w14:textId="77777777" w:rsidR="00236A5B" w:rsidRPr="00F7228F" w:rsidRDefault="00236A5B" w:rsidP="000B242D">
            <w:pPr>
              <w:spacing w:line="276" w:lineRule="auto"/>
              <w:rPr>
                <w:rFonts w:ascii="Arial" w:hAnsi="Arial" w:cs="Arial"/>
              </w:rPr>
            </w:pPr>
            <w:r w:rsidRPr="00F7228F">
              <w:rPr>
                <w:rFonts w:ascii="Arial" w:hAnsi="Arial" w:cs="Arial"/>
              </w:rPr>
              <w:t>(0.990 – 1.011)</w:t>
            </w:r>
          </w:p>
        </w:tc>
        <w:tc>
          <w:tcPr>
            <w:tcW w:w="509" w:type="pct"/>
          </w:tcPr>
          <w:p w14:paraId="0ED1E6A0" w14:textId="77777777" w:rsidR="00236A5B" w:rsidRPr="00F7228F" w:rsidRDefault="00236A5B" w:rsidP="000B242D">
            <w:pPr>
              <w:spacing w:line="276" w:lineRule="auto"/>
              <w:rPr>
                <w:rFonts w:ascii="Arial" w:hAnsi="Arial" w:cs="Arial"/>
              </w:rPr>
            </w:pPr>
            <w:r w:rsidRPr="00F7228F">
              <w:rPr>
                <w:rFonts w:ascii="Arial" w:hAnsi="Arial" w:cs="Arial"/>
                <w:color w:val="FF0000"/>
              </w:rPr>
              <w:t>1.051 (1.009 – 1.095)</w:t>
            </w:r>
          </w:p>
        </w:tc>
        <w:tc>
          <w:tcPr>
            <w:tcW w:w="509" w:type="pct"/>
          </w:tcPr>
          <w:p w14:paraId="2589439F" w14:textId="77777777" w:rsidR="00236A5B" w:rsidRPr="00F7228F" w:rsidRDefault="00236A5B" w:rsidP="000B242D">
            <w:pPr>
              <w:spacing w:line="276" w:lineRule="auto"/>
              <w:rPr>
                <w:rFonts w:ascii="Arial" w:hAnsi="Arial" w:cs="Arial"/>
              </w:rPr>
            </w:pPr>
            <w:r w:rsidRPr="00F7228F">
              <w:rPr>
                <w:rFonts w:ascii="Arial" w:hAnsi="Arial" w:cs="Arial"/>
                <w:color w:val="FF0000"/>
              </w:rPr>
              <w:t>1.059 (1.022 – 1.097)</w:t>
            </w:r>
          </w:p>
        </w:tc>
        <w:tc>
          <w:tcPr>
            <w:tcW w:w="509" w:type="pct"/>
          </w:tcPr>
          <w:p w14:paraId="1DF3E6C8" w14:textId="77777777" w:rsidR="00236A5B" w:rsidRPr="00F7228F" w:rsidRDefault="00236A5B" w:rsidP="000B242D">
            <w:pPr>
              <w:spacing w:line="276" w:lineRule="auto"/>
              <w:rPr>
                <w:rFonts w:ascii="Arial" w:hAnsi="Arial" w:cs="Arial"/>
              </w:rPr>
            </w:pPr>
            <w:r w:rsidRPr="00F7228F">
              <w:rPr>
                <w:rFonts w:ascii="Arial" w:hAnsi="Arial" w:cs="Arial"/>
              </w:rPr>
              <w:t>1.027 (0.990 – 1.066)</w:t>
            </w:r>
          </w:p>
        </w:tc>
        <w:tc>
          <w:tcPr>
            <w:tcW w:w="511" w:type="pct"/>
          </w:tcPr>
          <w:p w14:paraId="30E94D17" w14:textId="77777777" w:rsidR="00236A5B" w:rsidRPr="00F7228F" w:rsidRDefault="00236A5B" w:rsidP="000B242D">
            <w:pPr>
              <w:spacing w:line="276" w:lineRule="auto"/>
              <w:rPr>
                <w:rFonts w:ascii="Arial" w:hAnsi="Arial" w:cs="Arial"/>
              </w:rPr>
            </w:pPr>
            <w:r w:rsidRPr="00F7228F">
              <w:rPr>
                <w:rFonts w:ascii="Arial" w:hAnsi="Arial" w:cs="Arial"/>
                <w:color w:val="FF0000"/>
              </w:rPr>
              <w:t>1.038 (1.001 – 1.076)</w:t>
            </w:r>
          </w:p>
        </w:tc>
        <w:tc>
          <w:tcPr>
            <w:tcW w:w="463" w:type="pct"/>
          </w:tcPr>
          <w:p w14:paraId="013F3B4F" w14:textId="77777777" w:rsidR="00236A5B" w:rsidRPr="00F7228F" w:rsidRDefault="00236A5B" w:rsidP="000B242D">
            <w:pPr>
              <w:spacing w:line="276" w:lineRule="auto"/>
              <w:rPr>
                <w:rFonts w:ascii="Arial" w:hAnsi="Arial" w:cs="Arial"/>
              </w:rPr>
            </w:pPr>
            <w:r w:rsidRPr="00F7228F">
              <w:rPr>
                <w:rFonts w:ascii="Arial" w:hAnsi="Arial" w:cs="Arial"/>
                <w:color w:val="FF0000"/>
              </w:rPr>
              <w:t>1.033 (1.001 – 1.066)</w:t>
            </w:r>
          </w:p>
        </w:tc>
        <w:tc>
          <w:tcPr>
            <w:tcW w:w="501" w:type="pct"/>
          </w:tcPr>
          <w:p w14:paraId="71D2F1E7" w14:textId="77777777" w:rsidR="00236A5B" w:rsidRPr="00F7228F" w:rsidRDefault="00236A5B" w:rsidP="000B242D">
            <w:pPr>
              <w:spacing w:line="276" w:lineRule="auto"/>
              <w:rPr>
                <w:rFonts w:ascii="Arial" w:hAnsi="Arial" w:cs="Arial"/>
              </w:rPr>
            </w:pPr>
            <w:r w:rsidRPr="00F7228F">
              <w:rPr>
                <w:rFonts w:ascii="Arial" w:hAnsi="Arial" w:cs="Arial"/>
              </w:rPr>
              <w:t>1.017 (0.982 – 1.053)</w:t>
            </w:r>
          </w:p>
        </w:tc>
        <w:tc>
          <w:tcPr>
            <w:tcW w:w="505" w:type="pct"/>
          </w:tcPr>
          <w:p w14:paraId="44973191" w14:textId="77777777" w:rsidR="00236A5B" w:rsidRPr="00F7228F" w:rsidRDefault="00236A5B" w:rsidP="000B242D">
            <w:pPr>
              <w:spacing w:line="276" w:lineRule="auto"/>
              <w:rPr>
                <w:rFonts w:ascii="Arial" w:hAnsi="Arial" w:cs="Arial"/>
              </w:rPr>
            </w:pPr>
            <w:r w:rsidRPr="00F7228F">
              <w:rPr>
                <w:rFonts w:ascii="Arial" w:hAnsi="Arial" w:cs="Arial"/>
              </w:rPr>
              <w:t>1.015 (0.977 – 1.054)</w:t>
            </w:r>
          </w:p>
        </w:tc>
      </w:tr>
      <w:tr w:rsidR="00236A5B" w:rsidRPr="00F7228F" w14:paraId="342E8BE1" w14:textId="77777777" w:rsidTr="00CB0BB6">
        <w:tc>
          <w:tcPr>
            <w:tcW w:w="459" w:type="pct"/>
            <w:vMerge/>
            <w:vAlign w:val="center"/>
          </w:tcPr>
          <w:p w14:paraId="1FE169C4" w14:textId="77777777" w:rsidR="00236A5B" w:rsidRPr="00F7228F" w:rsidRDefault="00236A5B" w:rsidP="000B242D">
            <w:pPr>
              <w:spacing w:line="276" w:lineRule="auto"/>
              <w:rPr>
                <w:rFonts w:ascii="Arial" w:hAnsi="Arial" w:cs="Arial"/>
              </w:rPr>
            </w:pPr>
          </w:p>
        </w:tc>
        <w:tc>
          <w:tcPr>
            <w:tcW w:w="525" w:type="pct"/>
          </w:tcPr>
          <w:p w14:paraId="25A359D9"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06BAA4EA" w14:textId="77777777" w:rsidR="00236A5B" w:rsidRPr="00F7228F" w:rsidRDefault="00236A5B" w:rsidP="000B242D">
            <w:pPr>
              <w:spacing w:line="276" w:lineRule="auto"/>
              <w:rPr>
                <w:rFonts w:ascii="Arial" w:hAnsi="Arial" w:cs="Arial"/>
              </w:rPr>
            </w:pPr>
            <w:r w:rsidRPr="00F7228F">
              <w:rPr>
                <w:rFonts w:ascii="Arial" w:hAnsi="Arial" w:cs="Arial"/>
              </w:rPr>
              <w:t>0.110</w:t>
            </w:r>
          </w:p>
        </w:tc>
        <w:tc>
          <w:tcPr>
            <w:tcW w:w="509" w:type="pct"/>
          </w:tcPr>
          <w:p w14:paraId="415558A2" w14:textId="77777777" w:rsidR="00236A5B" w:rsidRPr="00F7228F" w:rsidRDefault="00236A5B" w:rsidP="000B242D">
            <w:pPr>
              <w:spacing w:line="276" w:lineRule="auto"/>
              <w:rPr>
                <w:rFonts w:ascii="Arial" w:hAnsi="Arial" w:cs="Arial"/>
              </w:rPr>
            </w:pPr>
            <w:r w:rsidRPr="00F7228F">
              <w:rPr>
                <w:rFonts w:ascii="Arial" w:hAnsi="Arial" w:cs="Arial"/>
                <w:color w:val="FF0000"/>
              </w:rPr>
              <w:t>0.018</w:t>
            </w:r>
          </w:p>
        </w:tc>
        <w:tc>
          <w:tcPr>
            <w:tcW w:w="509" w:type="pct"/>
          </w:tcPr>
          <w:p w14:paraId="02361E77" w14:textId="77777777" w:rsidR="00236A5B" w:rsidRPr="00F7228F" w:rsidRDefault="00236A5B" w:rsidP="000B242D">
            <w:pPr>
              <w:spacing w:line="276" w:lineRule="auto"/>
              <w:rPr>
                <w:rFonts w:ascii="Arial" w:hAnsi="Arial" w:cs="Arial"/>
              </w:rPr>
            </w:pPr>
            <w:r w:rsidRPr="00F7228F">
              <w:rPr>
                <w:rFonts w:ascii="Arial" w:hAnsi="Arial" w:cs="Arial"/>
                <w:color w:val="FF0000"/>
              </w:rPr>
              <w:t>0.002</w:t>
            </w:r>
          </w:p>
        </w:tc>
        <w:tc>
          <w:tcPr>
            <w:tcW w:w="509" w:type="pct"/>
          </w:tcPr>
          <w:p w14:paraId="713B6603" w14:textId="77777777" w:rsidR="00236A5B" w:rsidRPr="00F7228F" w:rsidRDefault="00236A5B" w:rsidP="000B242D">
            <w:pPr>
              <w:spacing w:line="276" w:lineRule="auto"/>
              <w:rPr>
                <w:rFonts w:ascii="Arial" w:hAnsi="Arial" w:cs="Arial"/>
              </w:rPr>
            </w:pPr>
            <w:r w:rsidRPr="00F7228F">
              <w:rPr>
                <w:rFonts w:ascii="Arial" w:hAnsi="Arial" w:cs="Arial"/>
              </w:rPr>
              <w:t>0.159</w:t>
            </w:r>
          </w:p>
        </w:tc>
        <w:tc>
          <w:tcPr>
            <w:tcW w:w="511" w:type="pct"/>
          </w:tcPr>
          <w:p w14:paraId="0EC5766F" w14:textId="77777777" w:rsidR="00236A5B" w:rsidRPr="00F7228F" w:rsidRDefault="00236A5B" w:rsidP="000B242D">
            <w:pPr>
              <w:spacing w:line="276" w:lineRule="auto"/>
              <w:rPr>
                <w:rFonts w:ascii="Arial" w:hAnsi="Arial" w:cs="Arial"/>
              </w:rPr>
            </w:pPr>
            <w:r w:rsidRPr="00F7228F">
              <w:rPr>
                <w:rFonts w:ascii="Arial" w:hAnsi="Arial" w:cs="Arial"/>
                <w:color w:val="FF0000"/>
              </w:rPr>
              <w:t>0.046</w:t>
            </w:r>
          </w:p>
        </w:tc>
        <w:tc>
          <w:tcPr>
            <w:tcW w:w="463" w:type="pct"/>
          </w:tcPr>
          <w:p w14:paraId="485D35BF" w14:textId="77777777" w:rsidR="00236A5B" w:rsidRPr="00F7228F" w:rsidRDefault="00236A5B" w:rsidP="000B242D">
            <w:pPr>
              <w:spacing w:line="276" w:lineRule="auto"/>
              <w:rPr>
                <w:rFonts w:ascii="Arial" w:hAnsi="Arial" w:cs="Arial"/>
              </w:rPr>
            </w:pPr>
            <w:r w:rsidRPr="00F7228F">
              <w:rPr>
                <w:rFonts w:ascii="Arial" w:hAnsi="Arial" w:cs="Arial"/>
                <w:color w:val="FF0000"/>
              </w:rPr>
              <w:t>0.044</w:t>
            </w:r>
          </w:p>
        </w:tc>
        <w:tc>
          <w:tcPr>
            <w:tcW w:w="501" w:type="pct"/>
          </w:tcPr>
          <w:p w14:paraId="3AE3CDC8" w14:textId="77777777" w:rsidR="00236A5B" w:rsidRPr="00F7228F" w:rsidRDefault="00236A5B" w:rsidP="000B242D">
            <w:pPr>
              <w:spacing w:line="276" w:lineRule="auto"/>
              <w:rPr>
                <w:rFonts w:ascii="Arial" w:hAnsi="Arial" w:cs="Arial"/>
              </w:rPr>
            </w:pPr>
            <w:r w:rsidRPr="00F7228F">
              <w:rPr>
                <w:rFonts w:ascii="Arial" w:hAnsi="Arial" w:cs="Arial"/>
              </w:rPr>
              <w:t>0.343</w:t>
            </w:r>
          </w:p>
        </w:tc>
        <w:tc>
          <w:tcPr>
            <w:tcW w:w="505" w:type="pct"/>
          </w:tcPr>
          <w:p w14:paraId="505A52FD" w14:textId="77777777" w:rsidR="00236A5B" w:rsidRPr="00F7228F" w:rsidRDefault="00236A5B" w:rsidP="000B242D">
            <w:pPr>
              <w:spacing w:line="276" w:lineRule="auto"/>
              <w:rPr>
                <w:rFonts w:ascii="Arial" w:hAnsi="Arial" w:cs="Arial"/>
              </w:rPr>
            </w:pPr>
            <w:r w:rsidRPr="00F7228F">
              <w:rPr>
                <w:rFonts w:ascii="Arial" w:hAnsi="Arial" w:cs="Arial"/>
              </w:rPr>
              <w:t>0.443</w:t>
            </w:r>
          </w:p>
        </w:tc>
      </w:tr>
      <w:tr w:rsidR="00236A5B" w:rsidRPr="00F7228F" w14:paraId="03FBE59A" w14:textId="77777777" w:rsidTr="00CB0BB6">
        <w:tc>
          <w:tcPr>
            <w:tcW w:w="459" w:type="pct"/>
            <w:vMerge w:val="restart"/>
            <w:vAlign w:val="center"/>
          </w:tcPr>
          <w:p w14:paraId="78B8F3A7" w14:textId="77777777" w:rsidR="00236A5B" w:rsidRPr="00F7228F" w:rsidRDefault="00236A5B" w:rsidP="000B242D">
            <w:pPr>
              <w:spacing w:line="276" w:lineRule="auto"/>
              <w:rPr>
                <w:rFonts w:ascii="Arial" w:hAnsi="Arial" w:cs="Arial"/>
              </w:rPr>
            </w:pPr>
            <w:r w:rsidRPr="00F7228F">
              <w:rPr>
                <w:rFonts w:ascii="Arial" w:hAnsi="Arial" w:cs="Arial"/>
              </w:rPr>
              <w:t>CSF IL-13</w:t>
            </w:r>
          </w:p>
          <w:p w14:paraId="6A68415B" w14:textId="77777777" w:rsidR="00236A5B" w:rsidRPr="00F7228F" w:rsidRDefault="00236A5B" w:rsidP="000B242D">
            <w:pPr>
              <w:spacing w:line="276" w:lineRule="auto"/>
              <w:rPr>
                <w:rFonts w:ascii="Arial" w:hAnsi="Arial" w:cs="Arial"/>
              </w:rPr>
            </w:pPr>
          </w:p>
        </w:tc>
        <w:tc>
          <w:tcPr>
            <w:tcW w:w="525" w:type="pct"/>
          </w:tcPr>
          <w:p w14:paraId="3CA02B48"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67A94039"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1.043</w:t>
            </w:r>
          </w:p>
          <w:p w14:paraId="6311A718"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(1.004 – 1.084)</w:t>
            </w:r>
          </w:p>
        </w:tc>
        <w:tc>
          <w:tcPr>
            <w:tcW w:w="509" w:type="pct"/>
          </w:tcPr>
          <w:p w14:paraId="37441C23"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1.032 (1.011 – 1.055)</w:t>
            </w:r>
          </w:p>
        </w:tc>
        <w:tc>
          <w:tcPr>
            <w:tcW w:w="509" w:type="pct"/>
          </w:tcPr>
          <w:p w14:paraId="4AF82B14"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1.021 (1.001 – 1.042)</w:t>
            </w:r>
          </w:p>
        </w:tc>
        <w:tc>
          <w:tcPr>
            <w:tcW w:w="509" w:type="pct"/>
          </w:tcPr>
          <w:p w14:paraId="2D99793B"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1.016 (0.997 – 1.035)</w:t>
            </w:r>
          </w:p>
        </w:tc>
        <w:tc>
          <w:tcPr>
            <w:tcW w:w="511" w:type="pct"/>
          </w:tcPr>
          <w:p w14:paraId="73CC938A" w14:textId="77777777" w:rsidR="00236A5B" w:rsidRPr="00F7228F" w:rsidRDefault="00236A5B" w:rsidP="000B242D">
            <w:pPr>
              <w:spacing w:line="276" w:lineRule="auto"/>
              <w:rPr>
                <w:rFonts w:ascii="Arial" w:hAnsi="Arial" w:cs="Arial"/>
                <w:color w:val="FF0000"/>
              </w:rPr>
            </w:pPr>
            <w:r w:rsidRPr="00F7228F">
              <w:rPr>
                <w:rFonts w:ascii="Arial" w:hAnsi="Arial" w:cs="Arial"/>
              </w:rPr>
              <w:t>1.010 (0.992 – 1.029)</w:t>
            </w:r>
          </w:p>
        </w:tc>
        <w:tc>
          <w:tcPr>
            <w:tcW w:w="463" w:type="pct"/>
          </w:tcPr>
          <w:p w14:paraId="0A44FD70" w14:textId="77777777" w:rsidR="00236A5B" w:rsidRPr="00F7228F" w:rsidRDefault="00236A5B" w:rsidP="000B242D">
            <w:pPr>
              <w:spacing w:line="276" w:lineRule="auto"/>
              <w:rPr>
                <w:rFonts w:ascii="Arial" w:hAnsi="Arial" w:cs="Arial"/>
                <w:color w:val="FF0000"/>
              </w:rPr>
            </w:pPr>
            <w:r w:rsidRPr="00F7228F">
              <w:rPr>
                <w:rFonts w:ascii="Arial" w:hAnsi="Arial" w:cs="Arial"/>
              </w:rPr>
              <w:t>1.009 (0.991 – 1.028)</w:t>
            </w:r>
          </w:p>
        </w:tc>
        <w:tc>
          <w:tcPr>
            <w:tcW w:w="501" w:type="pct"/>
          </w:tcPr>
          <w:p w14:paraId="13BB5F2C" w14:textId="77777777" w:rsidR="00236A5B" w:rsidRPr="00F7228F" w:rsidRDefault="00236A5B" w:rsidP="000B242D">
            <w:pPr>
              <w:spacing w:line="276" w:lineRule="auto"/>
              <w:rPr>
                <w:rFonts w:ascii="Arial" w:hAnsi="Arial" w:cs="Arial"/>
                <w:color w:val="FF0000"/>
              </w:rPr>
            </w:pPr>
            <w:r w:rsidRPr="00F7228F">
              <w:rPr>
                <w:rFonts w:ascii="Arial" w:hAnsi="Arial" w:cs="Arial"/>
              </w:rPr>
              <w:t>1.010 (0.991 – 1.031)</w:t>
            </w:r>
          </w:p>
        </w:tc>
        <w:tc>
          <w:tcPr>
            <w:tcW w:w="505" w:type="pct"/>
          </w:tcPr>
          <w:p w14:paraId="163ED847" w14:textId="77777777" w:rsidR="00236A5B" w:rsidRPr="00F7228F" w:rsidRDefault="00236A5B" w:rsidP="000B242D">
            <w:pPr>
              <w:spacing w:line="276" w:lineRule="auto"/>
              <w:rPr>
                <w:rFonts w:ascii="Arial" w:hAnsi="Arial" w:cs="Arial"/>
                <w:color w:val="FF0000"/>
              </w:rPr>
            </w:pPr>
            <w:r w:rsidRPr="00F7228F">
              <w:rPr>
                <w:rFonts w:ascii="Arial" w:hAnsi="Arial" w:cs="Arial"/>
              </w:rPr>
              <w:t>1.009 (0.990 – 1.028)</w:t>
            </w:r>
          </w:p>
        </w:tc>
      </w:tr>
      <w:tr w:rsidR="00236A5B" w:rsidRPr="00F7228F" w14:paraId="0B3C5278" w14:textId="77777777" w:rsidTr="00CB0BB6">
        <w:tc>
          <w:tcPr>
            <w:tcW w:w="459" w:type="pct"/>
            <w:vMerge/>
            <w:vAlign w:val="center"/>
          </w:tcPr>
          <w:p w14:paraId="71A3F532" w14:textId="77777777" w:rsidR="00236A5B" w:rsidRPr="00F7228F" w:rsidRDefault="00236A5B" w:rsidP="000B242D">
            <w:pPr>
              <w:spacing w:line="276" w:lineRule="auto"/>
              <w:rPr>
                <w:rFonts w:ascii="Arial" w:hAnsi="Arial" w:cs="Arial"/>
              </w:rPr>
            </w:pPr>
          </w:p>
        </w:tc>
        <w:tc>
          <w:tcPr>
            <w:tcW w:w="525" w:type="pct"/>
          </w:tcPr>
          <w:p w14:paraId="3A027E78"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0CBA8C73"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0.032</w:t>
            </w:r>
          </w:p>
        </w:tc>
        <w:tc>
          <w:tcPr>
            <w:tcW w:w="509" w:type="pct"/>
          </w:tcPr>
          <w:p w14:paraId="6BAADCD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0.003</w:t>
            </w:r>
          </w:p>
        </w:tc>
        <w:tc>
          <w:tcPr>
            <w:tcW w:w="509" w:type="pct"/>
          </w:tcPr>
          <w:p w14:paraId="14E7CFE6"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0.042</w:t>
            </w:r>
          </w:p>
        </w:tc>
        <w:tc>
          <w:tcPr>
            <w:tcW w:w="509" w:type="pct"/>
          </w:tcPr>
          <w:p w14:paraId="1C1F544B"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0.094</w:t>
            </w:r>
          </w:p>
        </w:tc>
        <w:tc>
          <w:tcPr>
            <w:tcW w:w="511" w:type="pct"/>
          </w:tcPr>
          <w:p w14:paraId="78F17B63" w14:textId="77777777" w:rsidR="00236A5B" w:rsidRPr="00F7228F" w:rsidRDefault="00236A5B" w:rsidP="000B242D">
            <w:pPr>
              <w:spacing w:line="276" w:lineRule="auto"/>
              <w:rPr>
                <w:rFonts w:ascii="Arial" w:hAnsi="Arial" w:cs="Arial"/>
                <w:color w:val="FF0000"/>
              </w:rPr>
            </w:pPr>
            <w:r w:rsidRPr="00F7228F">
              <w:rPr>
                <w:rFonts w:ascii="Arial" w:hAnsi="Arial" w:cs="Arial"/>
              </w:rPr>
              <w:t>0.262</w:t>
            </w:r>
          </w:p>
        </w:tc>
        <w:tc>
          <w:tcPr>
            <w:tcW w:w="463" w:type="pct"/>
          </w:tcPr>
          <w:p w14:paraId="6317835E" w14:textId="77777777" w:rsidR="00236A5B" w:rsidRPr="00F7228F" w:rsidRDefault="00236A5B" w:rsidP="000B242D">
            <w:pPr>
              <w:spacing w:line="276" w:lineRule="auto"/>
              <w:rPr>
                <w:rFonts w:ascii="Arial" w:hAnsi="Arial" w:cs="Arial"/>
                <w:color w:val="FF0000"/>
              </w:rPr>
            </w:pPr>
            <w:r w:rsidRPr="00F7228F">
              <w:rPr>
                <w:rFonts w:ascii="Arial" w:hAnsi="Arial" w:cs="Arial"/>
              </w:rPr>
              <w:t>0.311</w:t>
            </w:r>
          </w:p>
        </w:tc>
        <w:tc>
          <w:tcPr>
            <w:tcW w:w="501" w:type="pct"/>
          </w:tcPr>
          <w:p w14:paraId="18179779" w14:textId="77777777" w:rsidR="00236A5B" w:rsidRPr="00F7228F" w:rsidRDefault="00236A5B" w:rsidP="000B242D">
            <w:pPr>
              <w:spacing w:line="276" w:lineRule="auto"/>
              <w:rPr>
                <w:rFonts w:ascii="Arial" w:hAnsi="Arial" w:cs="Arial"/>
                <w:color w:val="FF0000"/>
              </w:rPr>
            </w:pPr>
            <w:r w:rsidRPr="00F7228F">
              <w:rPr>
                <w:rFonts w:ascii="Arial" w:hAnsi="Arial" w:cs="Arial"/>
              </w:rPr>
              <w:t>0.300</w:t>
            </w:r>
          </w:p>
        </w:tc>
        <w:tc>
          <w:tcPr>
            <w:tcW w:w="505" w:type="pct"/>
          </w:tcPr>
          <w:p w14:paraId="5C1ACD21" w14:textId="77777777" w:rsidR="00236A5B" w:rsidRPr="00F7228F" w:rsidRDefault="00236A5B" w:rsidP="000B242D">
            <w:pPr>
              <w:spacing w:line="276" w:lineRule="auto"/>
              <w:rPr>
                <w:rFonts w:ascii="Arial" w:hAnsi="Arial" w:cs="Arial"/>
                <w:color w:val="FF0000"/>
              </w:rPr>
            </w:pPr>
            <w:r w:rsidRPr="00F7228F">
              <w:rPr>
                <w:rFonts w:ascii="Arial" w:hAnsi="Arial" w:cs="Arial"/>
              </w:rPr>
              <w:t>0.373</w:t>
            </w:r>
          </w:p>
        </w:tc>
      </w:tr>
      <w:tr w:rsidR="00236A5B" w:rsidRPr="00F7228F" w14:paraId="3C1E6114" w14:textId="77777777" w:rsidTr="00CB0BB6">
        <w:tc>
          <w:tcPr>
            <w:tcW w:w="459" w:type="pct"/>
            <w:vMerge w:val="restart"/>
            <w:vAlign w:val="center"/>
          </w:tcPr>
          <w:p w14:paraId="24347327" w14:textId="77777777" w:rsidR="00236A5B" w:rsidRPr="00F7228F" w:rsidRDefault="00236A5B" w:rsidP="000B242D">
            <w:pPr>
              <w:spacing w:line="276" w:lineRule="auto"/>
              <w:rPr>
                <w:rFonts w:ascii="Arial" w:hAnsi="Arial" w:cs="Arial"/>
              </w:rPr>
            </w:pPr>
            <w:r w:rsidRPr="00F7228F">
              <w:rPr>
                <w:rFonts w:ascii="Arial" w:hAnsi="Arial" w:cs="Arial"/>
              </w:rPr>
              <w:t xml:space="preserve">CSF IFN-gamma </w:t>
            </w:r>
          </w:p>
          <w:p w14:paraId="0B32636E" w14:textId="77777777" w:rsidR="00236A5B" w:rsidRPr="00F7228F" w:rsidRDefault="00236A5B" w:rsidP="000B242D">
            <w:pPr>
              <w:spacing w:line="276" w:lineRule="auto"/>
              <w:rPr>
                <w:rFonts w:ascii="Arial" w:hAnsi="Arial" w:cs="Arial"/>
              </w:rPr>
            </w:pPr>
          </w:p>
        </w:tc>
        <w:tc>
          <w:tcPr>
            <w:tcW w:w="525" w:type="pct"/>
          </w:tcPr>
          <w:p w14:paraId="271D38A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2712E8EF" w14:textId="77777777" w:rsidR="00236A5B" w:rsidRPr="00F7228F" w:rsidRDefault="00236A5B" w:rsidP="000B242D">
            <w:pPr>
              <w:spacing w:line="276" w:lineRule="auto"/>
              <w:rPr>
                <w:rFonts w:ascii="Arial" w:hAnsi="Arial" w:cs="Arial"/>
              </w:rPr>
            </w:pPr>
            <w:r w:rsidRPr="00F7228F">
              <w:rPr>
                <w:rFonts w:ascii="Arial" w:hAnsi="Arial" w:cs="Arial"/>
              </w:rPr>
              <w:t>1.003</w:t>
            </w:r>
          </w:p>
          <w:p w14:paraId="1B7EEE3F" w14:textId="77777777" w:rsidR="00236A5B" w:rsidRPr="00F7228F" w:rsidRDefault="00236A5B" w:rsidP="000B242D">
            <w:pPr>
              <w:spacing w:line="276" w:lineRule="auto"/>
              <w:rPr>
                <w:rFonts w:ascii="Arial" w:hAnsi="Arial" w:cs="Arial"/>
                <w:color w:val="FF0000"/>
              </w:rPr>
            </w:pPr>
            <w:r w:rsidRPr="00F7228F">
              <w:rPr>
                <w:rFonts w:ascii="Arial" w:hAnsi="Arial" w:cs="Arial"/>
              </w:rPr>
              <w:t>(0.959 – 1.050)</w:t>
            </w:r>
          </w:p>
        </w:tc>
        <w:tc>
          <w:tcPr>
            <w:tcW w:w="509" w:type="pct"/>
          </w:tcPr>
          <w:p w14:paraId="6F869D0F" w14:textId="77777777" w:rsidR="00236A5B" w:rsidRPr="00F7228F" w:rsidRDefault="00236A5B" w:rsidP="000B242D">
            <w:pPr>
              <w:spacing w:line="276" w:lineRule="auto"/>
              <w:rPr>
                <w:rFonts w:ascii="Arial" w:hAnsi="Arial" w:cs="Arial"/>
                <w:color w:val="FF0000"/>
              </w:rPr>
            </w:pPr>
            <w:r w:rsidRPr="00F7228F">
              <w:rPr>
                <w:rFonts w:ascii="Arial" w:hAnsi="Arial" w:cs="Arial"/>
              </w:rPr>
              <w:t>1.000 (0.980 – 1.020)</w:t>
            </w:r>
          </w:p>
        </w:tc>
        <w:tc>
          <w:tcPr>
            <w:tcW w:w="509" w:type="pct"/>
          </w:tcPr>
          <w:p w14:paraId="1A442ECE" w14:textId="77777777" w:rsidR="00236A5B" w:rsidRPr="00F7228F" w:rsidRDefault="00236A5B" w:rsidP="000B242D">
            <w:pPr>
              <w:spacing w:line="276" w:lineRule="auto"/>
              <w:rPr>
                <w:rFonts w:ascii="Arial" w:hAnsi="Arial" w:cs="Arial"/>
                <w:color w:val="FF0000"/>
              </w:rPr>
            </w:pPr>
            <w:r w:rsidRPr="00F7228F">
              <w:rPr>
                <w:rFonts w:ascii="Arial" w:hAnsi="Arial" w:cs="Arial"/>
              </w:rPr>
              <w:t>1.003 (0.984 – 1.022)</w:t>
            </w:r>
          </w:p>
        </w:tc>
        <w:tc>
          <w:tcPr>
            <w:tcW w:w="509" w:type="pct"/>
          </w:tcPr>
          <w:p w14:paraId="44C44D1B" w14:textId="77777777" w:rsidR="00236A5B" w:rsidRPr="00F7228F" w:rsidRDefault="00236A5B" w:rsidP="000B242D">
            <w:pPr>
              <w:spacing w:line="276" w:lineRule="auto"/>
              <w:rPr>
                <w:rFonts w:ascii="Arial" w:hAnsi="Arial" w:cs="Arial"/>
              </w:rPr>
            </w:pPr>
            <w:r w:rsidRPr="00F7228F">
              <w:rPr>
                <w:rFonts w:ascii="Arial" w:hAnsi="Arial" w:cs="Arial"/>
              </w:rPr>
              <w:t>1.004 (0.984 – 1.023)</w:t>
            </w:r>
          </w:p>
        </w:tc>
        <w:tc>
          <w:tcPr>
            <w:tcW w:w="511" w:type="pct"/>
          </w:tcPr>
          <w:p w14:paraId="39CEEE75" w14:textId="77777777" w:rsidR="00236A5B" w:rsidRPr="00F7228F" w:rsidRDefault="00236A5B" w:rsidP="000B242D">
            <w:pPr>
              <w:spacing w:line="276" w:lineRule="auto"/>
              <w:rPr>
                <w:rFonts w:ascii="Arial" w:hAnsi="Arial" w:cs="Arial"/>
                <w:color w:val="FF0000"/>
              </w:rPr>
            </w:pPr>
            <w:r w:rsidRPr="00F7228F">
              <w:rPr>
                <w:rFonts w:ascii="Arial" w:hAnsi="Arial" w:cs="Arial"/>
              </w:rPr>
              <w:t>0.995 (0.976 – 1.015)</w:t>
            </w:r>
          </w:p>
        </w:tc>
        <w:tc>
          <w:tcPr>
            <w:tcW w:w="463" w:type="pct"/>
          </w:tcPr>
          <w:p w14:paraId="529EDCB0" w14:textId="77777777" w:rsidR="00236A5B" w:rsidRPr="00F7228F" w:rsidRDefault="00236A5B" w:rsidP="000B242D">
            <w:pPr>
              <w:spacing w:line="276" w:lineRule="auto"/>
              <w:rPr>
                <w:rFonts w:ascii="Arial" w:hAnsi="Arial" w:cs="Arial"/>
              </w:rPr>
            </w:pPr>
            <w:r w:rsidRPr="00F7228F">
              <w:rPr>
                <w:rFonts w:ascii="Arial" w:hAnsi="Arial" w:cs="Arial"/>
              </w:rPr>
              <w:t>1.005 (0.987 – 1.024)</w:t>
            </w:r>
          </w:p>
        </w:tc>
        <w:tc>
          <w:tcPr>
            <w:tcW w:w="501" w:type="pct"/>
          </w:tcPr>
          <w:p w14:paraId="33853224" w14:textId="77777777" w:rsidR="00236A5B" w:rsidRPr="00F7228F" w:rsidRDefault="00236A5B" w:rsidP="000B242D">
            <w:pPr>
              <w:spacing w:line="276" w:lineRule="auto"/>
              <w:rPr>
                <w:rFonts w:ascii="Arial" w:hAnsi="Arial" w:cs="Arial"/>
              </w:rPr>
            </w:pPr>
            <w:r w:rsidRPr="00F7228F">
              <w:rPr>
                <w:rFonts w:ascii="Arial" w:hAnsi="Arial" w:cs="Arial"/>
              </w:rPr>
              <w:t>1.003 (0.983 – 1.024)</w:t>
            </w:r>
          </w:p>
        </w:tc>
        <w:tc>
          <w:tcPr>
            <w:tcW w:w="505" w:type="pct"/>
          </w:tcPr>
          <w:p w14:paraId="17E15FA1" w14:textId="77777777" w:rsidR="00236A5B" w:rsidRPr="00F7228F" w:rsidRDefault="00236A5B" w:rsidP="000B242D">
            <w:pPr>
              <w:spacing w:line="276" w:lineRule="auto"/>
              <w:rPr>
                <w:rFonts w:ascii="Arial" w:hAnsi="Arial" w:cs="Arial"/>
              </w:rPr>
            </w:pPr>
            <w:r w:rsidRPr="00F7228F">
              <w:rPr>
                <w:rFonts w:ascii="Arial" w:hAnsi="Arial" w:cs="Arial"/>
              </w:rPr>
              <w:t>0.999 (0.978 – 1.019)</w:t>
            </w:r>
          </w:p>
        </w:tc>
      </w:tr>
      <w:tr w:rsidR="00236A5B" w:rsidRPr="00F7228F" w14:paraId="2DDE2EDD" w14:textId="77777777" w:rsidTr="00CB0BB6">
        <w:tc>
          <w:tcPr>
            <w:tcW w:w="459" w:type="pct"/>
            <w:vMerge/>
            <w:vAlign w:val="center"/>
          </w:tcPr>
          <w:p w14:paraId="747F21F1" w14:textId="77777777" w:rsidR="00236A5B" w:rsidRPr="00F7228F" w:rsidRDefault="00236A5B" w:rsidP="000B242D">
            <w:pPr>
              <w:spacing w:line="276" w:lineRule="auto"/>
              <w:rPr>
                <w:rFonts w:ascii="Arial" w:hAnsi="Arial" w:cs="Arial"/>
              </w:rPr>
            </w:pPr>
          </w:p>
        </w:tc>
        <w:tc>
          <w:tcPr>
            <w:tcW w:w="525" w:type="pct"/>
          </w:tcPr>
          <w:p w14:paraId="4C46070C"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358931CC" w14:textId="77777777" w:rsidR="00236A5B" w:rsidRPr="00F7228F" w:rsidRDefault="00236A5B" w:rsidP="000B242D">
            <w:pPr>
              <w:spacing w:line="276" w:lineRule="auto"/>
              <w:rPr>
                <w:rFonts w:ascii="Arial" w:hAnsi="Arial" w:cs="Arial"/>
                <w:color w:val="FF0000"/>
              </w:rPr>
            </w:pPr>
            <w:r w:rsidRPr="00F7228F">
              <w:rPr>
                <w:rFonts w:ascii="Arial" w:hAnsi="Arial" w:cs="Arial"/>
              </w:rPr>
              <w:t>0.885</w:t>
            </w:r>
          </w:p>
        </w:tc>
        <w:tc>
          <w:tcPr>
            <w:tcW w:w="509" w:type="pct"/>
          </w:tcPr>
          <w:p w14:paraId="6B48422A" w14:textId="77777777" w:rsidR="00236A5B" w:rsidRPr="00F7228F" w:rsidRDefault="00236A5B" w:rsidP="000B242D">
            <w:pPr>
              <w:spacing w:line="276" w:lineRule="auto"/>
              <w:rPr>
                <w:rFonts w:ascii="Arial" w:hAnsi="Arial" w:cs="Arial"/>
                <w:color w:val="FF0000"/>
              </w:rPr>
            </w:pPr>
            <w:r w:rsidRPr="00F7228F">
              <w:rPr>
                <w:rFonts w:ascii="Arial" w:hAnsi="Arial" w:cs="Arial"/>
              </w:rPr>
              <w:t>0.994</w:t>
            </w:r>
          </w:p>
        </w:tc>
        <w:tc>
          <w:tcPr>
            <w:tcW w:w="509" w:type="pct"/>
          </w:tcPr>
          <w:p w14:paraId="4E1F240B" w14:textId="77777777" w:rsidR="00236A5B" w:rsidRPr="00F7228F" w:rsidRDefault="00236A5B" w:rsidP="000B242D">
            <w:pPr>
              <w:spacing w:line="276" w:lineRule="auto"/>
              <w:rPr>
                <w:rFonts w:ascii="Arial" w:hAnsi="Arial" w:cs="Arial"/>
                <w:color w:val="FF0000"/>
              </w:rPr>
            </w:pPr>
            <w:r w:rsidRPr="00F7228F">
              <w:rPr>
                <w:rFonts w:ascii="Arial" w:hAnsi="Arial" w:cs="Arial"/>
              </w:rPr>
              <w:t>0.771</w:t>
            </w:r>
          </w:p>
        </w:tc>
        <w:tc>
          <w:tcPr>
            <w:tcW w:w="509" w:type="pct"/>
          </w:tcPr>
          <w:p w14:paraId="1BB68B4C" w14:textId="77777777" w:rsidR="00236A5B" w:rsidRPr="00F7228F" w:rsidRDefault="00236A5B" w:rsidP="000B242D">
            <w:pPr>
              <w:spacing w:line="276" w:lineRule="auto"/>
              <w:rPr>
                <w:rFonts w:ascii="Arial" w:hAnsi="Arial" w:cs="Arial"/>
              </w:rPr>
            </w:pPr>
            <w:r w:rsidRPr="00F7228F">
              <w:rPr>
                <w:rFonts w:ascii="Arial" w:hAnsi="Arial" w:cs="Arial"/>
              </w:rPr>
              <w:t>0.718</w:t>
            </w:r>
          </w:p>
        </w:tc>
        <w:tc>
          <w:tcPr>
            <w:tcW w:w="511" w:type="pct"/>
          </w:tcPr>
          <w:p w14:paraId="450A9928" w14:textId="77777777" w:rsidR="00236A5B" w:rsidRPr="00F7228F" w:rsidRDefault="00236A5B" w:rsidP="000B242D">
            <w:pPr>
              <w:spacing w:line="276" w:lineRule="auto"/>
              <w:rPr>
                <w:rFonts w:ascii="Arial" w:hAnsi="Arial" w:cs="Arial"/>
                <w:color w:val="FF0000"/>
              </w:rPr>
            </w:pPr>
            <w:r w:rsidRPr="00F7228F">
              <w:rPr>
                <w:rFonts w:ascii="Arial" w:hAnsi="Arial" w:cs="Arial"/>
              </w:rPr>
              <w:t>0.624</w:t>
            </w:r>
          </w:p>
        </w:tc>
        <w:tc>
          <w:tcPr>
            <w:tcW w:w="463" w:type="pct"/>
          </w:tcPr>
          <w:p w14:paraId="42A2765D" w14:textId="77777777" w:rsidR="00236A5B" w:rsidRPr="00F7228F" w:rsidRDefault="00236A5B" w:rsidP="000B242D">
            <w:pPr>
              <w:spacing w:line="276" w:lineRule="auto"/>
              <w:rPr>
                <w:rFonts w:ascii="Arial" w:hAnsi="Arial" w:cs="Arial"/>
              </w:rPr>
            </w:pPr>
            <w:r w:rsidRPr="00F7228F">
              <w:rPr>
                <w:rFonts w:ascii="Arial" w:hAnsi="Arial" w:cs="Arial"/>
              </w:rPr>
              <w:t>0.571</w:t>
            </w:r>
          </w:p>
        </w:tc>
        <w:tc>
          <w:tcPr>
            <w:tcW w:w="501" w:type="pct"/>
          </w:tcPr>
          <w:p w14:paraId="6DA397A9" w14:textId="77777777" w:rsidR="00236A5B" w:rsidRPr="00F7228F" w:rsidRDefault="00236A5B" w:rsidP="000B242D">
            <w:pPr>
              <w:spacing w:line="276" w:lineRule="auto"/>
              <w:rPr>
                <w:rFonts w:ascii="Arial" w:hAnsi="Arial" w:cs="Arial"/>
              </w:rPr>
            </w:pPr>
            <w:r w:rsidRPr="00F7228F">
              <w:rPr>
                <w:rFonts w:ascii="Arial" w:hAnsi="Arial" w:cs="Arial"/>
              </w:rPr>
              <w:t>0.759</w:t>
            </w:r>
          </w:p>
        </w:tc>
        <w:tc>
          <w:tcPr>
            <w:tcW w:w="505" w:type="pct"/>
          </w:tcPr>
          <w:p w14:paraId="37FE3258" w14:textId="77777777" w:rsidR="00236A5B" w:rsidRPr="00F7228F" w:rsidRDefault="00236A5B" w:rsidP="000B242D">
            <w:pPr>
              <w:spacing w:line="276" w:lineRule="auto"/>
              <w:rPr>
                <w:rFonts w:ascii="Arial" w:hAnsi="Arial" w:cs="Arial"/>
              </w:rPr>
            </w:pPr>
            <w:r w:rsidRPr="00F7228F">
              <w:rPr>
                <w:rFonts w:ascii="Arial" w:hAnsi="Arial" w:cs="Arial"/>
              </w:rPr>
              <w:t>0.896</w:t>
            </w:r>
          </w:p>
        </w:tc>
      </w:tr>
      <w:tr w:rsidR="00236A5B" w:rsidRPr="00F7228F" w14:paraId="2CE636EA" w14:textId="77777777" w:rsidTr="00CB0BB6">
        <w:tc>
          <w:tcPr>
            <w:tcW w:w="459" w:type="pct"/>
            <w:vMerge w:val="restart"/>
            <w:vAlign w:val="center"/>
          </w:tcPr>
          <w:p w14:paraId="3FB8A668" w14:textId="77777777" w:rsidR="00236A5B" w:rsidRPr="00F7228F" w:rsidRDefault="00236A5B" w:rsidP="000B242D">
            <w:pPr>
              <w:spacing w:line="276" w:lineRule="auto"/>
              <w:rPr>
                <w:rFonts w:ascii="Arial" w:hAnsi="Arial" w:cs="Arial"/>
              </w:rPr>
            </w:pPr>
            <w:r w:rsidRPr="00F7228F">
              <w:rPr>
                <w:rFonts w:ascii="Arial" w:hAnsi="Arial" w:cs="Arial"/>
              </w:rPr>
              <w:t>CSF TNF-alpha</w:t>
            </w:r>
          </w:p>
          <w:p w14:paraId="29D4C09E" w14:textId="77777777" w:rsidR="00236A5B" w:rsidRPr="00F7228F" w:rsidRDefault="00236A5B" w:rsidP="000B242D">
            <w:pPr>
              <w:spacing w:line="276" w:lineRule="auto"/>
              <w:rPr>
                <w:rFonts w:ascii="Arial" w:hAnsi="Arial" w:cs="Arial"/>
              </w:rPr>
            </w:pPr>
          </w:p>
        </w:tc>
        <w:tc>
          <w:tcPr>
            <w:tcW w:w="525" w:type="pct"/>
          </w:tcPr>
          <w:p w14:paraId="61EE4942"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0D7D5D58"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1.188</w:t>
            </w:r>
          </w:p>
          <w:p w14:paraId="1D72AFD2" w14:textId="77777777" w:rsidR="00236A5B" w:rsidRPr="00F7228F" w:rsidRDefault="00236A5B" w:rsidP="000B242D">
            <w:pPr>
              <w:spacing w:line="276" w:lineRule="auto"/>
              <w:rPr>
                <w:rFonts w:ascii="Arial" w:hAnsi="Arial" w:cs="Arial"/>
              </w:rPr>
            </w:pPr>
            <w:r w:rsidRPr="00F7228F">
              <w:rPr>
                <w:rFonts w:ascii="Arial" w:hAnsi="Arial" w:cs="Arial"/>
                <w:color w:val="FF0000"/>
              </w:rPr>
              <w:t>(1.040 – 1.358)</w:t>
            </w:r>
          </w:p>
        </w:tc>
        <w:tc>
          <w:tcPr>
            <w:tcW w:w="509" w:type="pct"/>
          </w:tcPr>
          <w:p w14:paraId="53CFBD44" w14:textId="77777777" w:rsidR="00236A5B" w:rsidRPr="00F7228F" w:rsidRDefault="00236A5B" w:rsidP="000B242D">
            <w:pPr>
              <w:spacing w:line="276" w:lineRule="auto"/>
              <w:rPr>
                <w:rFonts w:ascii="Arial" w:hAnsi="Arial" w:cs="Arial"/>
                <w:color w:val="FFC000"/>
              </w:rPr>
            </w:pPr>
            <w:r w:rsidRPr="00F7228F">
              <w:rPr>
                <w:rFonts w:ascii="Arial" w:hAnsi="Arial" w:cs="Arial"/>
              </w:rPr>
              <w:t>1.074 (0.986 – 1.171)</w:t>
            </w:r>
          </w:p>
        </w:tc>
        <w:tc>
          <w:tcPr>
            <w:tcW w:w="509" w:type="pct"/>
          </w:tcPr>
          <w:p w14:paraId="639CB976" w14:textId="77777777" w:rsidR="00236A5B" w:rsidRPr="00F7228F" w:rsidRDefault="00236A5B" w:rsidP="000B242D">
            <w:pPr>
              <w:spacing w:line="276" w:lineRule="auto"/>
              <w:rPr>
                <w:rFonts w:ascii="Arial" w:hAnsi="Arial" w:cs="Arial"/>
              </w:rPr>
            </w:pPr>
            <w:r w:rsidRPr="00F7228F">
              <w:rPr>
                <w:rFonts w:ascii="Arial" w:hAnsi="Arial" w:cs="Arial"/>
                <w:color w:val="FFC000"/>
              </w:rPr>
              <w:t>1.092 (0.990 – 1.205)</w:t>
            </w:r>
          </w:p>
        </w:tc>
        <w:tc>
          <w:tcPr>
            <w:tcW w:w="509" w:type="pct"/>
          </w:tcPr>
          <w:p w14:paraId="0E83C2F4" w14:textId="77777777" w:rsidR="00236A5B" w:rsidRPr="00F7228F" w:rsidRDefault="00236A5B" w:rsidP="000B242D">
            <w:pPr>
              <w:spacing w:line="276" w:lineRule="auto"/>
              <w:rPr>
                <w:rFonts w:ascii="Arial" w:hAnsi="Arial" w:cs="Arial"/>
              </w:rPr>
            </w:pPr>
            <w:r w:rsidRPr="00F7228F">
              <w:rPr>
                <w:rFonts w:ascii="Arial" w:hAnsi="Arial" w:cs="Arial"/>
                <w:color w:val="FF0000"/>
              </w:rPr>
              <w:t>1.095 (1.003 – 1.195)</w:t>
            </w:r>
          </w:p>
        </w:tc>
        <w:tc>
          <w:tcPr>
            <w:tcW w:w="511" w:type="pct"/>
          </w:tcPr>
          <w:p w14:paraId="6FDAD15F" w14:textId="77777777" w:rsidR="00236A5B" w:rsidRPr="00F7228F" w:rsidRDefault="00236A5B" w:rsidP="000B242D">
            <w:pPr>
              <w:spacing w:line="276" w:lineRule="auto"/>
              <w:rPr>
                <w:rFonts w:ascii="Arial" w:hAnsi="Arial" w:cs="Arial"/>
              </w:rPr>
            </w:pPr>
            <w:r w:rsidRPr="00F7228F">
              <w:rPr>
                <w:rFonts w:ascii="Arial" w:hAnsi="Arial" w:cs="Arial"/>
              </w:rPr>
              <w:t>1.052 (0.962 – 1.150)</w:t>
            </w:r>
          </w:p>
        </w:tc>
        <w:tc>
          <w:tcPr>
            <w:tcW w:w="463" w:type="pct"/>
          </w:tcPr>
          <w:p w14:paraId="389F1556" w14:textId="77777777" w:rsidR="00236A5B" w:rsidRPr="00F7228F" w:rsidRDefault="00236A5B" w:rsidP="000B242D">
            <w:pPr>
              <w:spacing w:line="276" w:lineRule="auto"/>
              <w:rPr>
                <w:rFonts w:ascii="Arial" w:hAnsi="Arial" w:cs="Arial"/>
              </w:rPr>
            </w:pPr>
            <w:r w:rsidRPr="00F7228F">
              <w:rPr>
                <w:rFonts w:ascii="Arial" w:hAnsi="Arial" w:cs="Arial"/>
                <w:color w:val="FFC000"/>
              </w:rPr>
              <w:t>1.086 (0.995 – 1.185)</w:t>
            </w:r>
          </w:p>
        </w:tc>
        <w:tc>
          <w:tcPr>
            <w:tcW w:w="501" w:type="pct"/>
          </w:tcPr>
          <w:p w14:paraId="4A024667" w14:textId="77777777" w:rsidR="00236A5B" w:rsidRPr="00F7228F" w:rsidRDefault="00236A5B" w:rsidP="000B242D">
            <w:pPr>
              <w:spacing w:line="276" w:lineRule="auto"/>
              <w:rPr>
                <w:rFonts w:ascii="Arial" w:hAnsi="Arial" w:cs="Arial"/>
              </w:rPr>
            </w:pPr>
            <w:r w:rsidRPr="00F7228F">
              <w:rPr>
                <w:rFonts w:ascii="Arial" w:hAnsi="Arial" w:cs="Arial"/>
              </w:rPr>
              <w:t>1.049 (0.962 – 1.144)</w:t>
            </w:r>
          </w:p>
        </w:tc>
        <w:tc>
          <w:tcPr>
            <w:tcW w:w="505" w:type="pct"/>
          </w:tcPr>
          <w:p w14:paraId="5453C62B" w14:textId="77777777" w:rsidR="00236A5B" w:rsidRPr="00F7228F" w:rsidRDefault="00236A5B" w:rsidP="000B242D">
            <w:pPr>
              <w:spacing w:line="276" w:lineRule="auto"/>
              <w:rPr>
                <w:rFonts w:ascii="Arial" w:hAnsi="Arial" w:cs="Arial"/>
              </w:rPr>
            </w:pPr>
            <w:r w:rsidRPr="00F7228F">
              <w:rPr>
                <w:rFonts w:ascii="Arial" w:hAnsi="Arial" w:cs="Arial"/>
              </w:rPr>
              <w:t>1.047 (0.959 – 1.143)</w:t>
            </w:r>
          </w:p>
        </w:tc>
      </w:tr>
      <w:tr w:rsidR="00236A5B" w:rsidRPr="00F7228F" w14:paraId="44F15CC5" w14:textId="77777777" w:rsidTr="00CB0BB6">
        <w:tc>
          <w:tcPr>
            <w:tcW w:w="459" w:type="pct"/>
            <w:vMerge/>
            <w:vAlign w:val="center"/>
          </w:tcPr>
          <w:p w14:paraId="16D579F0" w14:textId="77777777" w:rsidR="00236A5B" w:rsidRPr="00F7228F" w:rsidRDefault="00236A5B" w:rsidP="000B242D">
            <w:pPr>
              <w:spacing w:line="276" w:lineRule="auto"/>
              <w:rPr>
                <w:rFonts w:ascii="Arial" w:hAnsi="Arial" w:cs="Arial"/>
              </w:rPr>
            </w:pPr>
          </w:p>
        </w:tc>
        <w:tc>
          <w:tcPr>
            <w:tcW w:w="525" w:type="pct"/>
          </w:tcPr>
          <w:p w14:paraId="16B3B83E"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07AFE404" w14:textId="77777777" w:rsidR="00236A5B" w:rsidRPr="00F7228F" w:rsidRDefault="00236A5B" w:rsidP="000B242D">
            <w:pPr>
              <w:spacing w:line="276" w:lineRule="auto"/>
              <w:rPr>
                <w:rFonts w:ascii="Arial" w:hAnsi="Arial" w:cs="Arial"/>
              </w:rPr>
            </w:pPr>
            <w:r w:rsidRPr="00F7228F">
              <w:rPr>
                <w:rFonts w:ascii="Arial" w:hAnsi="Arial" w:cs="Arial"/>
                <w:color w:val="FF0000"/>
              </w:rPr>
              <w:t>0.011</w:t>
            </w:r>
          </w:p>
        </w:tc>
        <w:tc>
          <w:tcPr>
            <w:tcW w:w="509" w:type="pct"/>
          </w:tcPr>
          <w:p w14:paraId="01CB177E" w14:textId="77777777" w:rsidR="00236A5B" w:rsidRPr="00F7228F" w:rsidRDefault="00236A5B" w:rsidP="000B242D">
            <w:pPr>
              <w:spacing w:line="276" w:lineRule="auto"/>
              <w:rPr>
                <w:rFonts w:ascii="Arial" w:hAnsi="Arial" w:cs="Arial"/>
                <w:color w:val="FFC000"/>
              </w:rPr>
            </w:pPr>
            <w:r w:rsidRPr="00F7228F">
              <w:rPr>
                <w:rFonts w:ascii="Arial" w:hAnsi="Arial" w:cs="Arial"/>
              </w:rPr>
              <w:t>0.103</w:t>
            </w:r>
          </w:p>
        </w:tc>
        <w:tc>
          <w:tcPr>
            <w:tcW w:w="509" w:type="pct"/>
          </w:tcPr>
          <w:p w14:paraId="6750EC6D" w14:textId="77777777" w:rsidR="00236A5B" w:rsidRPr="00F7228F" w:rsidRDefault="00236A5B" w:rsidP="000B242D">
            <w:pPr>
              <w:spacing w:line="276" w:lineRule="auto"/>
              <w:rPr>
                <w:rFonts w:ascii="Arial" w:hAnsi="Arial" w:cs="Arial"/>
              </w:rPr>
            </w:pPr>
            <w:r w:rsidRPr="00F7228F">
              <w:rPr>
                <w:rFonts w:ascii="Arial" w:hAnsi="Arial" w:cs="Arial"/>
                <w:color w:val="FFC000"/>
              </w:rPr>
              <w:t>0.078</w:t>
            </w:r>
          </w:p>
        </w:tc>
        <w:tc>
          <w:tcPr>
            <w:tcW w:w="509" w:type="pct"/>
          </w:tcPr>
          <w:p w14:paraId="268AFF86" w14:textId="77777777" w:rsidR="00236A5B" w:rsidRPr="00F7228F" w:rsidRDefault="00236A5B" w:rsidP="000B242D">
            <w:pPr>
              <w:spacing w:line="276" w:lineRule="auto"/>
              <w:rPr>
                <w:rFonts w:ascii="Arial" w:hAnsi="Arial" w:cs="Arial"/>
              </w:rPr>
            </w:pPr>
            <w:r w:rsidRPr="00F7228F">
              <w:rPr>
                <w:rFonts w:ascii="Arial" w:hAnsi="Arial" w:cs="Arial"/>
                <w:color w:val="FF0000"/>
              </w:rPr>
              <w:t>0.043</w:t>
            </w:r>
          </w:p>
        </w:tc>
        <w:tc>
          <w:tcPr>
            <w:tcW w:w="511" w:type="pct"/>
          </w:tcPr>
          <w:p w14:paraId="3D796DB4" w14:textId="77777777" w:rsidR="00236A5B" w:rsidRPr="00F7228F" w:rsidRDefault="00236A5B" w:rsidP="000B242D">
            <w:pPr>
              <w:spacing w:line="276" w:lineRule="auto"/>
              <w:rPr>
                <w:rFonts w:ascii="Arial" w:hAnsi="Arial" w:cs="Arial"/>
              </w:rPr>
            </w:pPr>
            <w:r w:rsidRPr="00F7228F">
              <w:rPr>
                <w:rFonts w:ascii="Arial" w:hAnsi="Arial" w:cs="Arial"/>
              </w:rPr>
              <w:t>0.269</w:t>
            </w:r>
          </w:p>
        </w:tc>
        <w:tc>
          <w:tcPr>
            <w:tcW w:w="463" w:type="pct"/>
          </w:tcPr>
          <w:p w14:paraId="76726ACE" w14:textId="77777777" w:rsidR="00236A5B" w:rsidRPr="00F7228F" w:rsidRDefault="00236A5B" w:rsidP="000B242D">
            <w:pPr>
              <w:spacing w:line="276" w:lineRule="auto"/>
              <w:rPr>
                <w:rFonts w:ascii="Arial" w:hAnsi="Arial" w:cs="Arial"/>
              </w:rPr>
            </w:pPr>
            <w:r w:rsidRPr="00F7228F">
              <w:rPr>
                <w:rFonts w:ascii="Arial" w:hAnsi="Arial" w:cs="Arial"/>
                <w:color w:val="FFC000"/>
              </w:rPr>
              <w:t>0.064</w:t>
            </w:r>
          </w:p>
        </w:tc>
        <w:tc>
          <w:tcPr>
            <w:tcW w:w="501" w:type="pct"/>
          </w:tcPr>
          <w:p w14:paraId="1E784791" w14:textId="77777777" w:rsidR="00236A5B" w:rsidRPr="00F7228F" w:rsidRDefault="00236A5B" w:rsidP="000B242D">
            <w:pPr>
              <w:spacing w:line="276" w:lineRule="auto"/>
              <w:rPr>
                <w:rFonts w:ascii="Arial" w:hAnsi="Arial" w:cs="Arial"/>
              </w:rPr>
            </w:pPr>
            <w:r w:rsidRPr="00F7228F">
              <w:rPr>
                <w:rFonts w:ascii="Arial" w:hAnsi="Arial" w:cs="Arial"/>
              </w:rPr>
              <w:t>0.279</w:t>
            </w:r>
          </w:p>
        </w:tc>
        <w:tc>
          <w:tcPr>
            <w:tcW w:w="505" w:type="pct"/>
          </w:tcPr>
          <w:p w14:paraId="075E3A5B" w14:textId="77777777" w:rsidR="00236A5B" w:rsidRPr="00F7228F" w:rsidRDefault="00236A5B" w:rsidP="000B242D">
            <w:pPr>
              <w:spacing w:line="276" w:lineRule="auto"/>
              <w:rPr>
                <w:rFonts w:ascii="Arial" w:hAnsi="Arial" w:cs="Arial"/>
              </w:rPr>
            </w:pPr>
            <w:r w:rsidRPr="00F7228F">
              <w:rPr>
                <w:rFonts w:ascii="Arial" w:hAnsi="Arial" w:cs="Arial"/>
              </w:rPr>
              <w:t>0.305</w:t>
            </w:r>
          </w:p>
        </w:tc>
      </w:tr>
      <w:tr w:rsidR="00236A5B" w:rsidRPr="00F7228F" w14:paraId="27601783" w14:textId="77777777" w:rsidTr="00CB0BB6">
        <w:tc>
          <w:tcPr>
            <w:tcW w:w="459" w:type="pct"/>
            <w:vMerge w:val="restart"/>
            <w:vAlign w:val="center"/>
          </w:tcPr>
          <w:p w14:paraId="7A80D5BE" w14:textId="77777777" w:rsidR="00236A5B" w:rsidRPr="00F7228F" w:rsidRDefault="00236A5B" w:rsidP="000B242D">
            <w:pPr>
              <w:spacing w:line="276" w:lineRule="auto"/>
              <w:rPr>
                <w:rFonts w:ascii="Arial" w:hAnsi="Arial" w:cs="Arial"/>
              </w:rPr>
            </w:pPr>
            <w:r w:rsidRPr="00F7228F">
              <w:rPr>
                <w:rFonts w:ascii="Arial" w:hAnsi="Arial" w:cs="Arial"/>
              </w:rPr>
              <w:t>Plasma IL-1beta</w:t>
            </w:r>
          </w:p>
        </w:tc>
        <w:tc>
          <w:tcPr>
            <w:tcW w:w="525" w:type="pct"/>
          </w:tcPr>
          <w:p w14:paraId="3B94D49B"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57AD1E71" w14:textId="77777777" w:rsidR="00236A5B" w:rsidRPr="00F7228F" w:rsidRDefault="00236A5B" w:rsidP="000B242D">
            <w:pPr>
              <w:spacing w:line="276" w:lineRule="auto"/>
              <w:rPr>
                <w:rFonts w:ascii="Arial" w:hAnsi="Arial" w:cs="Arial"/>
              </w:rPr>
            </w:pPr>
            <w:r w:rsidRPr="00F7228F">
              <w:rPr>
                <w:rFonts w:ascii="Arial" w:hAnsi="Arial" w:cs="Arial"/>
              </w:rPr>
              <w:t xml:space="preserve">105.206 </w:t>
            </w:r>
          </w:p>
          <w:p w14:paraId="2775B09D" w14:textId="77777777" w:rsidR="00236A5B" w:rsidRPr="00F7228F" w:rsidRDefault="00236A5B" w:rsidP="000B242D">
            <w:pPr>
              <w:spacing w:line="276" w:lineRule="auto"/>
              <w:rPr>
                <w:rFonts w:ascii="Arial" w:hAnsi="Arial" w:cs="Arial"/>
              </w:rPr>
            </w:pPr>
            <w:r w:rsidRPr="00F7228F">
              <w:rPr>
                <w:rFonts w:ascii="Arial" w:hAnsi="Arial" w:cs="Arial"/>
              </w:rPr>
              <w:t>(0.372 – 29787.88)</w:t>
            </w:r>
          </w:p>
        </w:tc>
        <w:tc>
          <w:tcPr>
            <w:tcW w:w="509" w:type="pct"/>
          </w:tcPr>
          <w:p w14:paraId="69054F86" w14:textId="77777777" w:rsidR="00236A5B" w:rsidRPr="00F7228F" w:rsidRDefault="00236A5B" w:rsidP="000B242D">
            <w:pPr>
              <w:spacing w:line="276" w:lineRule="auto"/>
              <w:rPr>
                <w:rFonts w:ascii="Arial" w:hAnsi="Arial" w:cs="Arial"/>
              </w:rPr>
            </w:pPr>
            <w:r w:rsidRPr="00F7228F">
              <w:rPr>
                <w:rFonts w:ascii="Arial" w:hAnsi="Arial" w:cs="Arial"/>
              </w:rPr>
              <w:t>1.754</w:t>
            </w:r>
          </w:p>
          <w:p w14:paraId="0BC8B561" w14:textId="77777777" w:rsidR="00236A5B" w:rsidRPr="00F7228F" w:rsidRDefault="00236A5B" w:rsidP="000B242D">
            <w:pPr>
              <w:spacing w:line="276" w:lineRule="auto"/>
              <w:rPr>
                <w:rFonts w:ascii="Arial" w:hAnsi="Arial" w:cs="Arial"/>
              </w:rPr>
            </w:pPr>
            <w:r w:rsidRPr="00F7228F">
              <w:rPr>
                <w:rFonts w:ascii="Arial" w:hAnsi="Arial" w:cs="Arial"/>
              </w:rPr>
              <w:t>(0.088 – 35.008)</w:t>
            </w:r>
          </w:p>
        </w:tc>
        <w:tc>
          <w:tcPr>
            <w:tcW w:w="509" w:type="pct"/>
          </w:tcPr>
          <w:p w14:paraId="2DE2FAB8" w14:textId="77777777" w:rsidR="00236A5B" w:rsidRPr="00F7228F" w:rsidRDefault="00236A5B" w:rsidP="000B242D">
            <w:pPr>
              <w:spacing w:line="276" w:lineRule="auto"/>
              <w:rPr>
                <w:rFonts w:ascii="Arial" w:hAnsi="Arial" w:cs="Arial"/>
              </w:rPr>
            </w:pPr>
            <w:r w:rsidRPr="00F7228F">
              <w:rPr>
                <w:rFonts w:ascii="Arial" w:hAnsi="Arial" w:cs="Arial"/>
              </w:rPr>
              <w:t>0.443</w:t>
            </w:r>
          </w:p>
          <w:p w14:paraId="77B92C53" w14:textId="77777777" w:rsidR="00236A5B" w:rsidRPr="00F7228F" w:rsidRDefault="00236A5B" w:rsidP="000B242D">
            <w:pPr>
              <w:spacing w:line="276" w:lineRule="auto"/>
              <w:rPr>
                <w:rFonts w:ascii="Arial" w:hAnsi="Arial" w:cs="Arial"/>
              </w:rPr>
            </w:pPr>
            <w:r w:rsidRPr="00F7228F">
              <w:rPr>
                <w:rFonts w:ascii="Arial" w:hAnsi="Arial" w:cs="Arial"/>
              </w:rPr>
              <w:t>(0.024 – 8.362)</w:t>
            </w:r>
          </w:p>
        </w:tc>
        <w:tc>
          <w:tcPr>
            <w:tcW w:w="509" w:type="pct"/>
          </w:tcPr>
          <w:p w14:paraId="15E650EF" w14:textId="77777777" w:rsidR="00236A5B" w:rsidRPr="00F7228F" w:rsidRDefault="00236A5B" w:rsidP="000B242D">
            <w:pPr>
              <w:spacing w:line="276" w:lineRule="auto"/>
              <w:rPr>
                <w:rFonts w:ascii="Arial" w:hAnsi="Arial" w:cs="Arial"/>
              </w:rPr>
            </w:pPr>
            <w:r w:rsidRPr="00F7228F">
              <w:rPr>
                <w:rFonts w:ascii="Arial" w:hAnsi="Arial" w:cs="Arial"/>
              </w:rPr>
              <w:t>1.576</w:t>
            </w:r>
          </w:p>
          <w:p w14:paraId="3FBBA024" w14:textId="77777777" w:rsidR="00236A5B" w:rsidRPr="00F7228F" w:rsidRDefault="00236A5B" w:rsidP="000B242D">
            <w:pPr>
              <w:spacing w:line="276" w:lineRule="auto"/>
              <w:rPr>
                <w:rFonts w:ascii="Arial" w:hAnsi="Arial" w:cs="Arial"/>
              </w:rPr>
            </w:pPr>
            <w:r w:rsidRPr="00F7228F">
              <w:rPr>
                <w:rFonts w:ascii="Arial" w:hAnsi="Arial" w:cs="Arial"/>
              </w:rPr>
              <w:t>(0.078 – 31.977)</w:t>
            </w:r>
          </w:p>
        </w:tc>
        <w:tc>
          <w:tcPr>
            <w:tcW w:w="511" w:type="pct"/>
          </w:tcPr>
          <w:p w14:paraId="1BFB4B37" w14:textId="77777777" w:rsidR="00236A5B" w:rsidRPr="00F7228F" w:rsidRDefault="00236A5B" w:rsidP="000B242D">
            <w:pPr>
              <w:spacing w:line="276" w:lineRule="auto"/>
              <w:rPr>
                <w:rFonts w:ascii="Arial" w:hAnsi="Arial" w:cs="Arial"/>
              </w:rPr>
            </w:pPr>
            <w:r w:rsidRPr="00F7228F">
              <w:rPr>
                <w:rFonts w:ascii="Arial" w:hAnsi="Arial" w:cs="Arial"/>
              </w:rPr>
              <w:t>5.703 (0.314 – 103.516)</w:t>
            </w:r>
          </w:p>
        </w:tc>
        <w:tc>
          <w:tcPr>
            <w:tcW w:w="463" w:type="pct"/>
          </w:tcPr>
          <w:p w14:paraId="1281310F" w14:textId="77777777" w:rsidR="00236A5B" w:rsidRPr="00F7228F" w:rsidRDefault="00236A5B" w:rsidP="000B242D">
            <w:pPr>
              <w:spacing w:line="276" w:lineRule="auto"/>
              <w:rPr>
                <w:rFonts w:ascii="Arial" w:hAnsi="Arial" w:cs="Arial"/>
              </w:rPr>
            </w:pPr>
            <w:r w:rsidRPr="00F7228F">
              <w:rPr>
                <w:rFonts w:ascii="Arial" w:hAnsi="Arial" w:cs="Arial"/>
              </w:rPr>
              <w:t>0.344 (0.020 – 5.999)</w:t>
            </w:r>
          </w:p>
        </w:tc>
        <w:tc>
          <w:tcPr>
            <w:tcW w:w="501" w:type="pct"/>
          </w:tcPr>
          <w:p w14:paraId="0143C925" w14:textId="77777777" w:rsidR="00236A5B" w:rsidRPr="00F7228F" w:rsidRDefault="00236A5B" w:rsidP="000B242D">
            <w:pPr>
              <w:spacing w:line="276" w:lineRule="auto"/>
              <w:rPr>
                <w:rFonts w:ascii="Arial" w:hAnsi="Arial" w:cs="Arial"/>
              </w:rPr>
            </w:pPr>
            <w:r w:rsidRPr="00F7228F">
              <w:rPr>
                <w:rFonts w:ascii="Arial" w:hAnsi="Arial" w:cs="Arial"/>
              </w:rPr>
              <w:t>5.933 (0.310 – 113.696)</w:t>
            </w:r>
          </w:p>
        </w:tc>
        <w:tc>
          <w:tcPr>
            <w:tcW w:w="505" w:type="pct"/>
          </w:tcPr>
          <w:p w14:paraId="208848DD" w14:textId="77777777" w:rsidR="00236A5B" w:rsidRPr="00F7228F" w:rsidRDefault="00236A5B" w:rsidP="000B242D">
            <w:pPr>
              <w:spacing w:line="276" w:lineRule="auto"/>
              <w:rPr>
                <w:rFonts w:ascii="Arial" w:hAnsi="Arial" w:cs="Arial"/>
              </w:rPr>
            </w:pPr>
            <w:r w:rsidRPr="00F7228F">
              <w:rPr>
                <w:rFonts w:ascii="Arial" w:hAnsi="Arial" w:cs="Arial"/>
              </w:rPr>
              <w:t>6.926 (0.382 – 125.477)</w:t>
            </w:r>
          </w:p>
        </w:tc>
      </w:tr>
      <w:tr w:rsidR="00236A5B" w:rsidRPr="00F7228F" w14:paraId="16494566" w14:textId="77777777" w:rsidTr="00CB0BB6">
        <w:tc>
          <w:tcPr>
            <w:tcW w:w="459" w:type="pct"/>
            <w:vMerge/>
            <w:vAlign w:val="center"/>
          </w:tcPr>
          <w:p w14:paraId="2C72B7AC" w14:textId="77777777" w:rsidR="00236A5B" w:rsidRPr="00F7228F" w:rsidRDefault="00236A5B" w:rsidP="000B242D">
            <w:pPr>
              <w:spacing w:line="276" w:lineRule="auto"/>
              <w:rPr>
                <w:rFonts w:ascii="Arial" w:hAnsi="Arial" w:cs="Arial"/>
              </w:rPr>
            </w:pPr>
          </w:p>
        </w:tc>
        <w:tc>
          <w:tcPr>
            <w:tcW w:w="525" w:type="pct"/>
          </w:tcPr>
          <w:p w14:paraId="47FD10B9"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5277531F" w14:textId="77777777" w:rsidR="00236A5B" w:rsidRPr="00F7228F" w:rsidRDefault="00236A5B" w:rsidP="000B242D">
            <w:pPr>
              <w:spacing w:line="276" w:lineRule="auto"/>
              <w:rPr>
                <w:rFonts w:ascii="Arial" w:hAnsi="Arial" w:cs="Arial"/>
              </w:rPr>
            </w:pPr>
            <w:r w:rsidRPr="00F7228F">
              <w:rPr>
                <w:rFonts w:ascii="Arial" w:hAnsi="Arial" w:cs="Arial"/>
              </w:rPr>
              <w:t>0.106</w:t>
            </w:r>
          </w:p>
        </w:tc>
        <w:tc>
          <w:tcPr>
            <w:tcW w:w="509" w:type="pct"/>
          </w:tcPr>
          <w:p w14:paraId="46BCC08D" w14:textId="77777777" w:rsidR="00236A5B" w:rsidRPr="00F7228F" w:rsidRDefault="00236A5B" w:rsidP="000B242D">
            <w:pPr>
              <w:spacing w:line="276" w:lineRule="auto"/>
              <w:rPr>
                <w:rFonts w:ascii="Arial" w:hAnsi="Arial" w:cs="Arial"/>
              </w:rPr>
            </w:pPr>
            <w:r w:rsidRPr="00F7228F">
              <w:rPr>
                <w:rFonts w:ascii="Arial" w:hAnsi="Arial" w:cs="Arial"/>
              </w:rPr>
              <w:t>0.713</w:t>
            </w:r>
          </w:p>
        </w:tc>
        <w:tc>
          <w:tcPr>
            <w:tcW w:w="509" w:type="pct"/>
          </w:tcPr>
          <w:p w14:paraId="5233B777" w14:textId="77777777" w:rsidR="00236A5B" w:rsidRPr="00F7228F" w:rsidRDefault="00236A5B" w:rsidP="000B242D">
            <w:pPr>
              <w:spacing w:line="276" w:lineRule="auto"/>
              <w:rPr>
                <w:rFonts w:ascii="Arial" w:hAnsi="Arial" w:cs="Arial"/>
              </w:rPr>
            </w:pPr>
            <w:r w:rsidRPr="00F7228F">
              <w:rPr>
                <w:rFonts w:ascii="Arial" w:hAnsi="Arial" w:cs="Arial"/>
              </w:rPr>
              <w:t>0.587</w:t>
            </w:r>
          </w:p>
        </w:tc>
        <w:tc>
          <w:tcPr>
            <w:tcW w:w="509" w:type="pct"/>
          </w:tcPr>
          <w:p w14:paraId="25122CB2" w14:textId="77777777" w:rsidR="00236A5B" w:rsidRPr="00F7228F" w:rsidRDefault="00236A5B" w:rsidP="000B242D">
            <w:pPr>
              <w:spacing w:line="276" w:lineRule="auto"/>
              <w:rPr>
                <w:rFonts w:ascii="Arial" w:hAnsi="Arial" w:cs="Arial"/>
              </w:rPr>
            </w:pPr>
            <w:r w:rsidRPr="00F7228F">
              <w:rPr>
                <w:rFonts w:ascii="Arial" w:hAnsi="Arial" w:cs="Arial"/>
              </w:rPr>
              <w:t>0.767</w:t>
            </w:r>
          </w:p>
        </w:tc>
        <w:tc>
          <w:tcPr>
            <w:tcW w:w="511" w:type="pct"/>
          </w:tcPr>
          <w:p w14:paraId="454961AF" w14:textId="77777777" w:rsidR="00236A5B" w:rsidRPr="00F7228F" w:rsidRDefault="00236A5B" w:rsidP="000B242D">
            <w:pPr>
              <w:spacing w:line="276" w:lineRule="auto"/>
              <w:rPr>
                <w:rFonts w:ascii="Arial" w:hAnsi="Arial" w:cs="Arial"/>
              </w:rPr>
            </w:pPr>
            <w:r w:rsidRPr="00F7228F">
              <w:rPr>
                <w:rFonts w:ascii="Arial" w:hAnsi="Arial" w:cs="Arial"/>
              </w:rPr>
              <w:t>0.239</w:t>
            </w:r>
          </w:p>
        </w:tc>
        <w:tc>
          <w:tcPr>
            <w:tcW w:w="463" w:type="pct"/>
          </w:tcPr>
          <w:p w14:paraId="2B35592E" w14:textId="77777777" w:rsidR="00236A5B" w:rsidRPr="00F7228F" w:rsidRDefault="00236A5B" w:rsidP="000B242D">
            <w:pPr>
              <w:spacing w:line="276" w:lineRule="auto"/>
              <w:rPr>
                <w:rFonts w:ascii="Arial" w:hAnsi="Arial" w:cs="Arial"/>
              </w:rPr>
            </w:pPr>
            <w:r w:rsidRPr="00F7228F">
              <w:rPr>
                <w:rFonts w:ascii="Arial" w:hAnsi="Arial" w:cs="Arial"/>
              </w:rPr>
              <w:t>0.464</w:t>
            </w:r>
          </w:p>
        </w:tc>
        <w:tc>
          <w:tcPr>
            <w:tcW w:w="501" w:type="pct"/>
          </w:tcPr>
          <w:p w14:paraId="38AB150D" w14:textId="77777777" w:rsidR="00236A5B" w:rsidRPr="00F7228F" w:rsidRDefault="00236A5B" w:rsidP="000B242D">
            <w:pPr>
              <w:spacing w:line="276" w:lineRule="auto"/>
              <w:rPr>
                <w:rFonts w:ascii="Arial" w:hAnsi="Arial" w:cs="Arial"/>
              </w:rPr>
            </w:pPr>
            <w:r w:rsidRPr="00F7228F">
              <w:rPr>
                <w:rFonts w:ascii="Arial" w:hAnsi="Arial" w:cs="Arial"/>
              </w:rPr>
              <w:t>0.237</w:t>
            </w:r>
          </w:p>
        </w:tc>
        <w:tc>
          <w:tcPr>
            <w:tcW w:w="505" w:type="pct"/>
          </w:tcPr>
          <w:p w14:paraId="16535750" w14:textId="77777777" w:rsidR="00236A5B" w:rsidRPr="00F7228F" w:rsidRDefault="00236A5B" w:rsidP="000B242D">
            <w:pPr>
              <w:spacing w:line="276" w:lineRule="auto"/>
              <w:rPr>
                <w:rFonts w:ascii="Arial" w:hAnsi="Arial" w:cs="Arial"/>
              </w:rPr>
            </w:pPr>
            <w:r w:rsidRPr="00F7228F">
              <w:rPr>
                <w:rFonts w:ascii="Arial" w:hAnsi="Arial" w:cs="Arial"/>
              </w:rPr>
              <w:t>0.190</w:t>
            </w:r>
          </w:p>
        </w:tc>
      </w:tr>
      <w:tr w:rsidR="00236A5B" w:rsidRPr="00F7228F" w14:paraId="2FC164C7" w14:textId="77777777" w:rsidTr="00CB0BB6">
        <w:tc>
          <w:tcPr>
            <w:tcW w:w="459" w:type="pct"/>
            <w:vMerge w:val="restart"/>
            <w:vAlign w:val="center"/>
          </w:tcPr>
          <w:p w14:paraId="13F8096A" w14:textId="77777777" w:rsidR="00236A5B" w:rsidRPr="00F7228F" w:rsidRDefault="00236A5B" w:rsidP="000B242D">
            <w:pPr>
              <w:spacing w:line="276" w:lineRule="auto"/>
              <w:rPr>
                <w:rFonts w:ascii="Arial" w:hAnsi="Arial" w:cs="Arial"/>
              </w:rPr>
            </w:pPr>
            <w:r w:rsidRPr="00F7228F">
              <w:rPr>
                <w:rFonts w:ascii="Arial" w:hAnsi="Arial" w:cs="Arial"/>
              </w:rPr>
              <w:t>Plasma IL-2</w:t>
            </w:r>
          </w:p>
        </w:tc>
        <w:tc>
          <w:tcPr>
            <w:tcW w:w="525" w:type="pct"/>
          </w:tcPr>
          <w:p w14:paraId="2D8DD331"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34EBD4AB" w14:textId="77777777" w:rsidR="00236A5B" w:rsidRPr="00F7228F" w:rsidRDefault="00236A5B" w:rsidP="000B242D">
            <w:pPr>
              <w:spacing w:line="276" w:lineRule="auto"/>
              <w:rPr>
                <w:rFonts w:ascii="Arial" w:hAnsi="Arial" w:cs="Arial"/>
              </w:rPr>
            </w:pPr>
            <w:r w:rsidRPr="00F7228F">
              <w:rPr>
                <w:rFonts w:ascii="Arial" w:hAnsi="Arial" w:cs="Arial"/>
              </w:rPr>
              <w:t>0.928</w:t>
            </w:r>
          </w:p>
          <w:p w14:paraId="564A841A" w14:textId="77777777" w:rsidR="00236A5B" w:rsidRPr="00F7228F" w:rsidRDefault="00236A5B" w:rsidP="000B242D">
            <w:pPr>
              <w:spacing w:line="276" w:lineRule="auto"/>
              <w:rPr>
                <w:rFonts w:ascii="Arial" w:hAnsi="Arial" w:cs="Arial"/>
                <w:color w:val="FF0000"/>
              </w:rPr>
            </w:pPr>
            <w:r w:rsidRPr="00F7228F">
              <w:rPr>
                <w:rFonts w:ascii="Arial" w:hAnsi="Arial" w:cs="Arial"/>
              </w:rPr>
              <w:t>(0.219 – 3.936)</w:t>
            </w:r>
          </w:p>
        </w:tc>
        <w:tc>
          <w:tcPr>
            <w:tcW w:w="509" w:type="pct"/>
          </w:tcPr>
          <w:p w14:paraId="03BACD70" w14:textId="77777777" w:rsidR="00236A5B" w:rsidRPr="00F7228F" w:rsidRDefault="00236A5B" w:rsidP="000B242D">
            <w:pPr>
              <w:spacing w:line="276" w:lineRule="auto"/>
              <w:rPr>
                <w:rFonts w:ascii="Arial" w:hAnsi="Arial" w:cs="Arial"/>
              </w:rPr>
            </w:pPr>
            <w:r w:rsidRPr="00F7228F">
              <w:rPr>
                <w:rFonts w:ascii="Arial" w:hAnsi="Arial" w:cs="Arial"/>
              </w:rPr>
              <w:t xml:space="preserve">1.609 </w:t>
            </w:r>
          </w:p>
          <w:p w14:paraId="3067FC0F" w14:textId="77777777" w:rsidR="00236A5B" w:rsidRPr="00F7228F" w:rsidRDefault="00236A5B" w:rsidP="000B242D">
            <w:pPr>
              <w:spacing w:line="276" w:lineRule="auto"/>
              <w:rPr>
                <w:rFonts w:ascii="Arial" w:hAnsi="Arial" w:cs="Arial"/>
                <w:color w:val="FF0000"/>
              </w:rPr>
            </w:pPr>
            <w:r w:rsidRPr="00F7228F">
              <w:rPr>
                <w:rFonts w:ascii="Arial" w:hAnsi="Arial" w:cs="Arial"/>
              </w:rPr>
              <w:t>(0.773 – 3.351)</w:t>
            </w:r>
          </w:p>
        </w:tc>
        <w:tc>
          <w:tcPr>
            <w:tcW w:w="509" w:type="pct"/>
          </w:tcPr>
          <w:p w14:paraId="203D9209" w14:textId="77777777" w:rsidR="00236A5B" w:rsidRPr="00F7228F" w:rsidRDefault="00236A5B" w:rsidP="000B242D">
            <w:pPr>
              <w:spacing w:line="276" w:lineRule="auto"/>
              <w:rPr>
                <w:rFonts w:ascii="Arial" w:hAnsi="Arial" w:cs="Arial"/>
                <w:color w:val="FF0000"/>
              </w:rPr>
            </w:pPr>
            <w:r w:rsidRPr="00F7228F">
              <w:rPr>
                <w:rFonts w:ascii="Arial" w:hAnsi="Arial" w:cs="Arial"/>
              </w:rPr>
              <w:t>1.245 (0.831 – 1.866)</w:t>
            </w:r>
          </w:p>
        </w:tc>
        <w:tc>
          <w:tcPr>
            <w:tcW w:w="509" w:type="pct"/>
          </w:tcPr>
          <w:p w14:paraId="75181ACA" w14:textId="77777777" w:rsidR="00236A5B" w:rsidRPr="00F7228F" w:rsidRDefault="00236A5B" w:rsidP="000B242D">
            <w:pPr>
              <w:spacing w:line="276" w:lineRule="auto"/>
              <w:rPr>
                <w:rFonts w:ascii="Arial" w:hAnsi="Arial" w:cs="Arial"/>
              </w:rPr>
            </w:pPr>
            <w:r w:rsidRPr="00F7228F">
              <w:rPr>
                <w:rFonts w:ascii="Arial" w:hAnsi="Arial" w:cs="Arial"/>
              </w:rPr>
              <w:t>1.216 (0.805 – 1.837)</w:t>
            </w:r>
          </w:p>
        </w:tc>
        <w:tc>
          <w:tcPr>
            <w:tcW w:w="511" w:type="pct"/>
          </w:tcPr>
          <w:p w14:paraId="38C8A813" w14:textId="77777777" w:rsidR="00236A5B" w:rsidRPr="00F7228F" w:rsidRDefault="00236A5B" w:rsidP="000B242D">
            <w:pPr>
              <w:spacing w:line="276" w:lineRule="auto"/>
              <w:rPr>
                <w:rFonts w:ascii="Arial" w:hAnsi="Arial" w:cs="Arial"/>
                <w:color w:val="FFC000"/>
              </w:rPr>
            </w:pPr>
            <w:r w:rsidRPr="00F7228F">
              <w:rPr>
                <w:rFonts w:ascii="Arial" w:hAnsi="Arial" w:cs="Arial"/>
              </w:rPr>
              <w:t>0.891 (0.579 – 1.372)</w:t>
            </w:r>
          </w:p>
        </w:tc>
        <w:tc>
          <w:tcPr>
            <w:tcW w:w="463" w:type="pct"/>
          </w:tcPr>
          <w:p w14:paraId="04E4C1F0" w14:textId="77777777" w:rsidR="00236A5B" w:rsidRPr="00F7228F" w:rsidRDefault="00236A5B" w:rsidP="000B242D">
            <w:pPr>
              <w:spacing w:line="276" w:lineRule="auto"/>
              <w:rPr>
                <w:rFonts w:ascii="Arial" w:hAnsi="Arial" w:cs="Arial"/>
                <w:color w:val="FFC000"/>
              </w:rPr>
            </w:pPr>
            <w:r w:rsidRPr="00F7228F">
              <w:rPr>
                <w:rFonts w:ascii="Arial" w:hAnsi="Arial" w:cs="Arial"/>
              </w:rPr>
              <w:t>1.122 (0.746 – 1.688)</w:t>
            </w:r>
          </w:p>
        </w:tc>
        <w:tc>
          <w:tcPr>
            <w:tcW w:w="501" w:type="pct"/>
          </w:tcPr>
          <w:p w14:paraId="56F0D047" w14:textId="77777777" w:rsidR="00236A5B" w:rsidRPr="00F7228F" w:rsidRDefault="00236A5B" w:rsidP="000B242D">
            <w:pPr>
              <w:spacing w:line="276" w:lineRule="auto"/>
              <w:rPr>
                <w:rFonts w:ascii="Arial" w:hAnsi="Arial" w:cs="Arial"/>
              </w:rPr>
            </w:pPr>
            <w:r w:rsidRPr="00F7228F">
              <w:rPr>
                <w:rFonts w:ascii="Arial" w:hAnsi="Arial" w:cs="Arial"/>
              </w:rPr>
              <w:t>1.156 (0.765 – 1.749)</w:t>
            </w:r>
          </w:p>
        </w:tc>
        <w:tc>
          <w:tcPr>
            <w:tcW w:w="505" w:type="pct"/>
          </w:tcPr>
          <w:p w14:paraId="6F73278E" w14:textId="77777777" w:rsidR="00236A5B" w:rsidRPr="00F7228F" w:rsidRDefault="00236A5B" w:rsidP="000B242D">
            <w:pPr>
              <w:spacing w:line="276" w:lineRule="auto"/>
              <w:rPr>
                <w:rFonts w:ascii="Arial" w:hAnsi="Arial" w:cs="Arial"/>
              </w:rPr>
            </w:pPr>
            <w:r w:rsidRPr="00F7228F">
              <w:rPr>
                <w:rFonts w:ascii="Arial" w:hAnsi="Arial" w:cs="Arial"/>
              </w:rPr>
              <w:t>1.113 (0.742 – 1.670)</w:t>
            </w:r>
          </w:p>
        </w:tc>
      </w:tr>
      <w:tr w:rsidR="00236A5B" w:rsidRPr="00F7228F" w14:paraId="2163A238" w14:textId="77777777" w:rsidTr="00CB0BB6">
        <w:tc>
          <w:tcPr>
            <w:tcW w:w="459" w:type="pct"/>
            <w:vMerge/>
            <w:vAlign w:val="center"/>
          </w:tcPr>
          <w:p w14:paraId="2943F93E" w14:textId="77777777" w:rsidR="00236A5B" w:rsidRPr="00F7228F" w:rsidRDefault="00236A5B" w:rsidP="000B242D">
            <w:pPr>
              <w:spacing w:line="276" w:lineRule="auto"/>
              <w:rPr>
                <w:rFonts w:ascii="Arial" w:hAnsi="Arial" w:cs="Arial"/>
              </w:rPr>
            </w:pPr>
          </w:p>
        </w:tc>
        <w:tc>
          <w:tcPr>
            <w:tcW w:w="525" w:type="pct"/>
          </w:tcPr>
          <w:p w14:paraId="2FBD75EC"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1261B3A2" w14:textId="77777777" w:rsidR="00236A5B" w:rsidRPr="00F7228F" w:rsidRDefault="00236A5B" w:rsidP="000B242D">
            <w:pPr>
              <w:spacing w:line="276" w:lineRule="auto"/>
              <w:rPr>
                <w:rFonts w:ascii="Arial" w:hAnsi="Arial" w:cs="Arial"/>
                <w:color w:val="FF0000"/>
              </w:rPr>
            </w:pPr>
            <w:r w:rsidRPr="00F7228F">
              <w:rPr>
                <w:rFonts w:ascii="Arial" w:hAnsi="Arial" w:cs="Arial"/>
              </w:rPr>
              <w:t>0.920</w:t>
            </w:r>
          </w:p>
        </w:tc>
        <w:tc>
          <w:tcPr>
            <w:tcW w:w="509" w:type="pct"/>
          </w:tcPr>
          <w:p w14:paraId="4934F99C" w14:textId="77777777" w:rsidR="00236A5B" w:rsidRPr="00F7228F" w:rsidRDefault="00236A5B" w:rsidP="000B242D">
            <w:pPr>
              <w:spacing w:line="276" w:lineRule="auto"/>
              <w:rPr>
                <w:rFonts w:ascii="Arial" w:hAnsi="Arial" w:cs="Arial"/>
                <w:color w:val="FF0000"/>
              </w:rPr>
            </w:pPr>
            <w:r w:rsidRPr="00F7228F">
              <w:rPr>
                <w:rFonts w:ascii="Arial" w:hAnsi="Arial" w:cs="Arial"/>
              </w:rPr>
              <w:t>0.204</w:t>
            </w:r>
          </w:p>
        </w:tc>
        <w:tc>
          <w:tcPr>
            <w:tcW w:w="509" w:type="pct"/>
          </w:tcPr>
          <w:p w14:paraId="1058B283" w14:textId="77777777" w:rsidR="00236A5B" w:rsidRPr="00F7228F" w:rsidRDefault="00236A5B" w:rsidP="000B242D">
            <w:pPr>
              <w:spacing w:line="276" w:lineRule="auto"/>
              <w:rPr>
                <w:rFonts w:ascii="Arial" w:hAnsi="Arial" w:cs="Arial"/>
                <w:color w:val="FF0000"/>
              </w:rPr>
            </w:pPr>
            <w:r w:rsidRPr="00F7228F">
              <w:rPr>
                <w:rFonts w:ascii="Arial" w:hAnsi="Arial" w:cs="Arial"/>
              </w:rPr>
              <w:t>0.289</w:t>
            </w:r>
          </w:p>
        </w:tc>
        <w:tc>
          <w:tcPr>
            <w:tcW w:w="509" w:type="pct"/>
          </w:tcPr>
          <w:p w14:paraId="35C50117" w14:textId="77777777" w:rsidR="00236A5B" w:rsidRPr="00F7228F" w:rsidRDefault="00236A5B" w:rsidP="000B242D">
            <w:pPr>
              <w:spacing w:line="276" w:lineRule="auto"/>
              <w:rPr>
                <w:rFonts w:ascii="Arial" w:hAnsi="Arial" w:cs="Arial"/>
              </w:rPr>
            </w:pPr>
            <w:r w:rsidRPr="00F7228F">
              <w:rPr>
                <w:rFonts w:ascii="Arial" w:hAnsi="Arial" w:cs="Arial"/>
              </w:rPr>
              <w:t>0.352</w:t>
            </w:r>
          </w:p>
        </w:tc>
        <w:tc>
          <w:tcPr>
            <w:tcW w:w="511" w:type="pct"/>
          </w:tcPr>
          <w:p w14:paraId="61C79D5B" w14:textId="77777777" w:rsidR="00236A5B" w:rsidRPr="00F7228F" w:rsidRDefault="00236A5B" w:rsidP="000B242D">
            <w:pPr>
              <w:spacing w:line="276" w:lineRule="auto"/>
              <w:rPr>
                <w:rFonts w:ascii="Arial" w:hAnsi="Arial" w:cs="Arial"/>
                <w:color w:val="FFC000"/>
              </w:rPr>
            </w:pPr>
            <w:r w:rsidRPr="00F7228F">
              <w:rPr>
                <w:rFonts w:ascii="Arial" w:hAnsi="Arial" w:cs="Arial"/>
              </w:rPr>
              <w:t>0.601</w:t>
            </w:r>
          </w:p>
        </w:tc>
        <w:tc>
          <w:tcPr>
            <w:tcW w:w="463" w:type="pct"/>
          </w:tcPr>
          <w:p w14:paraId="41EC8945" w14:textId="77777777" w:rsidR="00236A5B" w:rsidRPr="00F7228F" w:rsidRDefault="00236A5B" w:rsidP="000B242D">
            <w:pPr>
              <w:spacing w:line="276" w:lineRule="auto"/>
              <w:rPr>
                <w:rFonts w:ascii="Arial" w:hAnsi="Arial" w:cs="Arial"/>
                <w:color w:val="FFC000"/>
              </w:rPr>
            </w:pPr>
            <w:r w:rsidRPr="00F7228F">
              <w:rPr>
                <w:rFonts w:ascii="Arial" w:hAnsi="Arial" w:cs="Arial"/>
              </w:rPr>
              <w:t>0.581</w:t>
            </w:r>
          </w:p>
        </w:tc>
        <w:tc>
          <w:tcPr>
            <w:tcW w:w="501" w:type="pct"/>
          </w:tcPr>
          <w:p w14:paraId="2A5AF469" w14:textId="77777777" w:rsidR="00236A5B" w:rsidRPr="00F7228F" w:rsidRDefault="00236A5B" w:rsidP="000B242D">
            <w:pPr>
              <w:spacing w:line="276" w:lineRule="auto"/>
              <w:rPr>
                <w:rFonts w:ascii="Arial" w:hAnsi="Arial" w:cs="Arial"/>
              </w:rPr>
            </w:pPr>
            <w:r w:rsidRPr="00F7228F">
              <w:rPr>
                <w:rFonts w:ascii="Arial" w:hAnsi="Arial" w:cs="Arial"/>
              </w:rPr>
              <w:t>0.491</w:t>
            </w:r>
          </w:p>
        </w:tc>
        <w:tc>
          <w:tcPr>
            <w:tcW w:w="505" w:type="pct"/>
          </w:tcPr>
          <w:p w14:paraId="7E5F1989" w14:textId="77777777" w:rsidR="00236A5B" w:rsidRPr="00F7228F" w:rsidRDefault="00236A5B" w:rsidP="000B242D">
            <w:pPr>
              <w:spacing w:line="276" w:lineRule="auto"/>
              <w:rPr>
                <w:rFonts w:ascii="Arial" w:hAnsi="Arial" w:cs="Arial"/>
              </w:rPr>
            </w:pPr>
            <w:r w:rsidRPr="00F7228F">
              <w:rPr>
                <w:rFonts w:ascii="Arial" w:hAnsi="Arial" w:cs="Arial"/>
              </w:rPr>
              <w:t>0.606</w:t>
            </w:r>
          </w:p>
        </w:tc>
      </w:tr>
      <w:tr w:rsidR="00236A5B" w:rsidRPr="00F7228F" w14:paraId="418B2CD9" w14:textId="77777777" w:rsidTr="00CB0BB6">
        <w:tc>
          <w:tcPr>
            <w:tcW w:w="459" w:type="pct"/>
            <w:vMerge w:val="restart"/>
            <w:vAlign w:val="center"/>
          </w:tcPr>
          <w:p w14:paraId="06530528" w14:textId="77777777" w:rsidR="00236A5B" w:rsidRPr="00F7228F" w:rsidRDefault="00236A5B" w:rsidP="000B242D">
            <w:pPr>
              <w:spacing w:line="276" w:lineRule="auto"/>
              <w:rPr>
                <w:rFonts w:ascii="Arial" w:hAnsi="Arial" w:cs="Arial"/>
              </w:rPr>
            </w:pPr>
            <w:r w:rsidRPr="00F7228F">
              <w:rPr>
                <w:rFonts w:ascii="Arial" w:hAnsi="Arial" w:cs="Arial"/>
              </w:rPr>
              <w:t>Plasma IL-4</w:t>
            </w:r>
          </w:p>
        </w:tc>
        <w:tc>
          <w:tcPr>
            <w:tcW w:w="525" w:type="pct"/>
          </w:tcPr>
          <w:p w14:paraId="39F97598"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32212C8D" w14:textId="77777777" w:rsidR="00236A5B" w:rsidRPr="00F7228F" w:rsidRDefault="00236A5B" w:rsidP="000B242D">
            <w:pPr>
              <w:spacing w:line="276" w:lineRule="auto"/>
              <w:rPr>
                <w:rFonts w:ascii="Arial" w:hAnsi="Arial" w:cs="Arial"/>
              </w:rPr>
            </w:pPr>
            <w:r w:rsidRPr="00F7228F">
              <w:rPr>
                <w:rFonts w:ascii="Arial" w:hAnsi="Arial" w:cs="Arial"/>
              </w:rPr>
              <w:t xml:space="preserve">760676.7 </w:t>
            </w:r>
          </w:p>
          <w:p w14:paraId="3DB6D904" w14:textId="77777777" w:rsidR="00236A5B" w:rsidRPr="00F7228F" w:rsidRDefault="00236A5B" w:rsidP="000B242D">
            <w:pPr>
              <w:spacing w:line="276" w:lineRule="auto"/>
              <w:rPr>
                <w:rFonts w:ascii="Arial" w:hAnsi="Arial" w:cs="Arial"/>
              </w:rPr>
            </w:pPr>
            <w:r w:rsidRPr="00F7228F">
              <w:rPr>
                <w:rFonts w:ascii="Arial" w:hAnsi="Arial" w:cs="Arial"/>
              </w:rPr>
              <w:t>(0.000 – 2 x 10</w:t>
            </w:r>
            <w:r w:rsidRPr="00F7228F">
              <w:rPr>
                <w:rFonts w:ascii="Arial" w:hAnsi="Arial" w:cs="Arial"/>
                <w:vertAlign w:val="superscript"/>
              </w:rPr>
              <w:t>15</w:t>
            </w:r>
            <w:r w:rsidRPr="00F7228F">
              <w:rPr>
                <w:rFonts w:ascii="Arial" w:hAnsi="Arial" w:cs="Arial"/>
              </w:rPr>
              <w:t>)</w:t>
            </w:r>
          </w:p>
        </w:tc>
        <w:tc>
          <w:tcPr>
            <w:tcW w:w="509" w:type="pct"/>
          </w:tcPr>
          <w:p w14:paraId="2AB04658" w14:textId="77777777" w:rsidR="00236A5B" w:rsidRPr="00F7228F" w:rsidRDefault="00236A5B" w:rsidP="000B242D">
            <w:pPr>
              <w:spacing w:line="276" w:lineRule="auto"/>
              <w:rPr>
                <w:rFonts w:ascii="Arial" w:hAnsi="Arial" w:cs="Arial"/>
              </w:rPr>
            </w:pPr>
            <w:r w:rsidRPr="00F7228F">
              <w:rPr>
                <w:rFonts w:ascii="Arial" w:hAnsi="Arial" w:cs="Arial"/>
              </w:rPr>
              <w:t xml:space="preserve">0.351 </w:t>
            </w:r>
          </w:p>
          <w:p w14:paraId="47877A48" w14:textId="77777777" w:rsidR="00236A5B" w:rsidRPr="00F7228F" w:rsidRDefault="00236A5B" w:rsidP="000B242D">
            <w:pPr>
              <w:spacing w:line="276" w:lineRule="auto"/>
              <w:rPr>
                <w:rFonts w:ascii="Arial" w:hAnsi="Arial" w:cs="Arial"/>
              </w:rPr>
            </w:pPr>
            <w:r w:rsidRPr="00F7228F">
              <w:rPr>
                <w:rFonts w:ascii="Arial" w:hAnsi="Arial" w:cs="Arial"/>
              </w:rPr>
              <w:t>(0.000 – 3806.618)</w:t>
            </w:r>
          </w:p>
        </w:tc>
        <w:tc>
          <w:tcPr>
            <w:tcW w:w="509" w:type="pct"/>
          </w:tcPr>
          <w:p w14:paraId="336AED9B" w14:textId="77777777" w:rsidR="00236A5B" w:rsidRPr="00F7228F" w:rsidRDefault="00236A5B" w:rsidP="000B242D">
            <w:pPr>
              <w:spacing w:line="276" w:lineRule="auto"/>
              <w:rPr>
                <w:rFonts w:ascii="Arial" w:hAnsi="Arial" w:cs="Arial"/>
              </w:rPr>
            </w:pPr>
            <w:r w:rsidRPr="00F7228F">
              <w:rPr>
                <w:rFonts w:ascii="Arial" w:hAnsi="Arial" w:cs="Arial"/>
              </w:rPr>
              <w:t>0.105 (0.000 – 1119.673)</w:t>
            </w:r>
          </w:p>
        </w:tc>
        <w:tc>
          <w:tcPr>
            <w:tcW w:w="509" w:type="pct"/>
          </w:tcPr>
          <w:p w14:paraId="282A17CB" w14:textId="77777777" w:rsidR="00236A5B" w:rsidRPr="00F7228F" w:rsidRDefault="00236A5B" w:rsidP="000B242D">
            <w:pPr>
              <w:spacing w:line="276" w:lineRule="auto"/>
              <w:rPr>
                <w:rFonts w:ascii="Arial" w:hAnsi="Arial" w:cs="Arial"/>
                <w:color w:val="FFC000"/>
              </w:rPr>
            </w:pPr>
            <w:r w:rsidRPr="00F7228F">
              <w:rPr>
                <w:rFonts w:ascii="Arial" w:hAnsi="Arial" w:cs="Arial"/>
              </w:rPr>
              <w:t>7.888 (0.001 – 96485.91)</w:t>
            </w:r>
          </w:p>
        </w:tc>
        <w:tc>
          <w:tcPr>
            <w:tcW w:w="511" w:type="pct"/>
          </w:tcPr>
          <w:p w14:paraId="71DFA155" w14:textId="77777777" w:rsidR="00236A5B" w:rsidRPr="00F7228F" w:rsidRDefault="00236A5B" w:rsidP="000B242D">
            <w:pPr>
              <w:spacing w:line="276" w:lineRule="auto"/>
              <w:rPr>
                <w:rFonts w:ascii="Arial" w:hAnsi="Arial" w:cs="Arial"/>
              </w:rPr>
            </w:pPr>
            <w:r w:rsidRPr="00F7228F">
              <w:rPr>
                <w:rFonts w:ascii="Arial" w:hAnsi="Arial" w:cs="Arial"/>
              </w:rPr>
              <w:t>0.310 (0.000 – 2941.969)</w:t>
            </w:r>
          </w:p>
        </w:tc>
        <w:tc>
          <w:tcPr>
            <w:tcW w:w="463" w:type="pct"/>
          </w:tcPr>
          <w:p w14:paraId="2B3D2ADF" w14:textId="77777777" w:rsidR="00236A5B" w:rsidRPr="00F7228F" w:rsidRDefault="00236A5B" w:rsidP="000B242D">
            <w:pPr>
              <w:spacing w:line="276" w:lineRule="auto"/>
              <w:rPr>
                <w:rFonts w:ascii="Arial" w:hAnsi="Arial" w:cs="Arial"/>
              </w:rPr>
            </w:pPr>
            <w:r w:rsidRPr="00F7228F">
              <w:rPr>
                <w:rFonts w:ascii="Arial" w:hAnsi="Arial" w:cs="Arial"/>
              </w:rPr>
              <w:t>0.004 (0.000 – 54.550)</w:t>
            </w:r>
          </w:p>
        </w:tc>
        <w:tc>
          <w:tcPr>
            <w:tcW w:w="501" w:type="pct"/>
          </w:tcPr>
          <w:p w14:paraId="64A2838D" w14:textId="77777777" w:rsidR="00236A5B" w:rsidRPr="00F7228F" w:rsidRDefault="00236A5B" w:rsidP="000B242D">
            <w:pPr>
              <w:spacing w:line="276" w:lineRule="auto"/>
              <w:rPr>
                <w:rFonts w:ascii="Arial" w:hAnsi="Arial" w:cs="Arial"/>
              </w:rPr>
            </w:pPr>
            <w:r w:rsidRPr="00F7228F">
              <w:rPr>
                <w:rFonts w:ascii="Arial" w:hAnsi="Arial" w:cs="Arial"/>
              </w:rPr>
              <w:t>305.497 (0.008 – 11700000)</w:t>
            </w:r>
          </w:p>
        </w:tc>
        <w:tc>
          <w:tcPr>
            <w:tcW w:w="505" w:type="pct"/>
          </w:tcPr>
          <w:p w14:paraId="499DB08F" w14:textId="77777777" w:rsidR="00236A5B" w:rsidRPr="00F7228F" w:rsidRDefault="00236A5B" w:rsidP="000B242D">
            <w:pPr>
              <w:spacing w:line="276" w:lineRule="auto"/>
              <w:rPr>
                <w:rFonts w:ascii="Arial" w:hAnsi="Arial" w:cs="Arial"/>
              </w:rPr>
            </w:pPr>
            <w:r w:rsidRPr="00F7228F">
              <w:rPr>
                <w:rFonts w:ascii="Arial" w:hAnsi="Arial" w:cs="Arial"/>
              </w:rPr>
              <w:t>20.843 (0.000 – 870698)</w:t>
            </w:r>
          </w:p>
        </w:tc>
      </w:tr>
      <w:tr w:rsidR="00236A5B" w:rsidRPr="00F7228F" w14:paraId="68B97194" w14:textId="77777777" w:rsidTr="00CB0BB6">
        <w:tc>
          <w:tcPr>
            <w:tcW w:w="459" w:type="pct"/>
            <w:vMerge/>
            <w:vAlign w:val="center"/>
          </w:tcPr>
          <w:p w14:paraId="134464F0" w14:textId="77777777" w:rsidR="00236A5B" w:rsidRPr="00F7228F" w:rsidRDefault="00236A5B" w:rsidP="000B242D">
            <w:pPr>
              <w:spacing w:line="276" w:lineRule="auto"/>
              <w:rPr>
                <w:rFonts w:ascii="Arial" w:hAnsi="Arial" w:cs="Arial"/>
              </w:rPr>
            </w:pPr>
          </w:p>
        </w:tc>
        <w:tc>
          <w:tcPr>
            <w:tcW w:w="525" w:type="pct"/>
          </w:tcPr>
          <w:p w14:paraId="41E11870"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737364F0" w14:textId="77777777" w:rsidR="00236A5B" w:rsidRPr="00F7228F" w:rsidRDefault="00236A5B" w:rsidP="000B242D">
            <w:pPr>
              <w:spacing w:line="276" w:lineRule="auto"/>
              <w:rPr>
                <w:rFonts w:ascii="Arial" w:hAnsi="Arial" w:cs="Arial"/>
              </w:rPr>
            </w:pPr>
            <w:r w:rsidRPr="00F7228F">
              <w:rPr>
                <w:rFonts w:ascii="Arial" w:hAnsi="Arial" w:cs="Arial"/>
              </w:rPr>
              <w:t>0.221</w:t>
            </w:r>
          </w:p>
        </w:tc>
        <w:tc>
          <w:tcPr>
            <w:tcW w:w="509" w:type="pct"/>
          </w:tcPr>
          <w:p w14:paraId="2CF44CBD" w14:textId="77777777" w:rsidR="00236A5B" w:rsidRPr="00F7228F" w:rsidRDefault="00236A5B" w:rsidP="000B242D">
            <w:pPr>
              <w:spacing w:line="276" w:lineRule="auto"/>
              <w:rPr>
                <w:rFonts w:ascii="Arial" w:hAnsi="Arial" w:cs="Arial"/>
              </w:rPr>
            </w:pPr>
            <w:r w:rsidRPr="00F7228F">
              <w:rPr>
                <w:rFonts w:ascii="Arial" w:hAnsi="Arial" w:cs="Arial"/>
              </w:rPr>
              <w:t>0.825</w:t>
            </w:r>
          </w:p>
        </w:tc>
        <w:tc>
          <w:tcPr>
            <w:tcW w:w="509" w:type="pct"/>
          </w:tcPr>
          <w:p w14:paraId="3330CAC0" w14:textId="77777777" w:rsidR="00236A5B" w:rsidRPr="00F7228F" w:rsidRDefault="00236A5B" w:rsidP="000B242D">
            <w:pPr>
              <w:spacing w:line="276" w:lineRule="auto"/>
              <w:rPr>
                <w:rFonts w:ascii="Arial" w:hAnsi="Arial" w:cs="Arial"/>
              </w:rPr>
            </w:pPr>
            <w:r w:rsidRPr="00F7228F">
              <w:rPr>
                <w:rFonts w:ascii="Arial" w:hAnsi="Arial" w:cs="Arial"/>
              </w:rPr>
              <w:t>0.634</w:t>
            </w:r>
          </w:p>
        </w:tc>
        <w:tc>
          <w:tcPr>
            <w:tcW w:w="509" w:type="pct"/>
          </w:tcPr>
          <w:p w14:paraId="71DEE44A" w14:textId="77777777" w:rsidR="00236A5B" w:rsidRPr="00F7228F" w:rsidRDefault="00236A5B" w:rsidP="000B242D">
            <w:pPr>
              <w:spacing w:line="276" w:lineRule="auto"/>
              <w:rPr>
                <w:rFonts w:ascii="Arial" w:hAnsi="Arial" w:cs="Arial"/>
                <w:color w:val="FFC000"/>
              </w:rPr>
            </w:pPr>
            <w:r w:rsidRPr="00F7228F">
              <w:rPr>
                <w:rFonts w:ascii="Arial" w:hAnsi="Arial" w:cs="Arial"/>
              </w:rPr>
              <w:t>0.667</w:t>
            </w:r>
          </w:p>
        </w:tc>
        <w:tc>
          <w:tcPr>
            <w:tcW w:w="511" w:type="pct"/>
          </w:tcPr>
          <w:p w14:paraId="0EE8E219" w14:textId="77777777" w:rsidR="00236A5B" w:rsidRPr="00F7228F" w:rsidRDefault="00236A5B" w:rsidP="000B242D">
            <w:pPr>
              <w:spacing w:line="276" w:lineRule="auto"/>
              <w:rPr>
                <w:rFonts w:ascii="Arial" w:hAnsi="Arial" w:cs="Arial"/>
              </w:rPr>
            </w:pPr>
            <w:r w:rsidRPr="00F7228F">
              <w:rPr>
                <w:rFonts w:ascii="Arial" w:hAnsi="Arial" w:cs="Arial"/>
              </w:rPr>
              <w:t>0.802</w:t>
            </w:r>
          </w:p>
        </w:tc>
        <w:tc>
          <w:tcPr>
            <w:tcW w:w="463" w:type="pct"/>
          </w:tcPr>
          <w:p w14:paraId="17368C43" w14:textId="77777777" w:rsidR="00236A5B" w:rsidRPr="00F7228F" w:rsidRDefault="00236A5B" w:rsidP="000B242D">
            <w:pPr>
              <w:spacing w:line="276" w:lineRule="auto"/>
              <w:rPr>
                <w:rFonts w:ascii="Arial" w:hAnsi="Arial" w:cs="Arial"/>
              </w:rPr>
            </w:pPr>
            <w:r w:rsidRPr="00F7228F">
              <w:rPr>
                <w:rFonts w:ascii="Arial" w:hAnsi="Arial" w:cs="Arial"/>
              </w:rPr>
              <w:t>0.257</w:t>
            </w:r>
          </w:p>
        </w:tc>
        <w:tc>
          <w:tcPr>
            <w:tcW w:w="501" w:type="pct"/>
          </w:tcPr>
          <w:p w14:paraId="22AF9C24" w14:textId="77777777" w:rsidR="00236A5B" w:rsidRPr="00F7228F" w:rsidRDefault="00236A5B" w:rsidP="000B242D">
            <w:pPr>
              <w:spacing w:line="276" w:lineRule="auto"/>
              <w:rPr>
                <w:rFonts w:ascii="Arial" w:hAnsi="Arial" w:cs="Arial"/>
              </w:rPr>
            </w:pPr>
            <w:r w:rsidRPr="00F7228F">
              <w:rPr>
                <w:rFonts w:ascii="Arial" w:hAnsi="Arial" w:cs="Arial"/>
              </w:rPr>
              <w:t>0.288</w:t>
            </w:r>
          </w:p>
        </w:tc>
        <w:tc>
          <w:tcPr>
            <w:tcW w:w="505" w:type="pct"/>
          </w:tcPr>
          <w:p w14:paraId="4605D497" w14:textId="77777777" w:rsidR="00236A5B" w:rsidRPr="00F7228F" w:rsidRDefault="00236A5B" w:rsidP="000B242D">
            <w:pPr>
              <w:spacing w:line="276" w:lineRule="auto"/>
              <w:rPr>
                <w:rFonts w:ascii="Arial" w:hAnsi="Arial" w:cs="Arial"/>
              </w:rPr>
            </w:pPr>
            <w:r w:rsidRPr="00F7228F">
              <w:rPr>
                <w:rFonts w:ascii="Arial" w:hAnsi="Arial" w:cs="Arial"/>
              </w:rPr>
              <w:t>0.576</w:t>
            </w:r>
          </w:p>
        </w:tc>
      </w:tr>
      <w:tr w:rsidR="00236A5B" w:rsidRPr="00F7228F" w14:paraId="32BCEC50" w14:textId="77777777" w:rsidTr="00CB0BB6">
        <w:tc>
          <w:tcPr>
            <w:tcW w:w="459" w:type="pct"/>
            <w:vMerge w:val="restart"/>
            <w:vAlign w:val="center"/>
          </w:tcPr>
          <w:p w14:paraId="2D473AF8" w14:textId="77777777" w:rsidR="00236A5B" w:rsidRPr="00F7228F" w:rsidRDefault="00236A5B" w:rsidP="000B242D">
            <w:pPr>
              <w:spacing w:line="276" w:lineRule="auto"/>
              <w:rPr>
                <w:rFonts w:ascii="Arial" w:hAnsi="Arial" w:cs="Arial"/>
              </w:rPr>
            </w:pPr>
            <w:r w:rsidRPr="00F7228F">
              <w:rPr>
                <w:rFonts w:ascii="Arial" w:hAnsi="Arial" w:cs="Arial"/>
              </w:rPr>
              <w:lastRenderedPageBreak/>
              <w:t>Plasma IL-6</w:t>
            </w:r>
          </w:p>
          <w:p w14:paraId="20AE0DC5" w14:textId="77777777" w:rsidR="00236A5B" w:rsidRPr="00F7228F" w:rsidRDefault="00236A5B" w:rsidP="000B242D">
            <w:pPr>
              <w:spacing w:line="276" w:lineRule="auto"/>
              <w:rPr>
                <w:rFonts w:ascii="Arial" w:hAnsi="Arial" w:cs="Arial"/>
              </w:rPr>
            </w:pPr>
          </w:p>
        </w:tc>
        <w:tc>
          <w:tcPr>
            <w:tcW w:w="525" w:type="pct"/>
          </w:tcPr>
          <w:p w14:paraId="5052F198"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190B2272" w14:textId="77777777" w:rsidR="00236A5B" w:rsidRPr="00F7228F" w:rsidRDefault="00236A5B" w:rsidP="000B242D">
            <w:pPr>
              <w:spacing w:line="276" w:lineRule="auto"/>
              <w:rPr>
                <w:rFonts w:ascii="Arial" w:hAnsi="Arial" w:cs="Arial"/>
              </w:rPr>
            </w:pPr>
            <w:r w:rsidRPr="00F7228F">
              <w:rPr>
                <w:rFonts w:ascii="Arial" w:hAnsi="Arial" w:cs="Arial"/>
                <w:color w:val="FF0000"/>
              </w:rPr>
              <w:t>1.415 (1.132 – 1.771)</w:t>
            </w:r>
          </w:p>
        </w:tc>
        <w:tc>
          <w:tcPr>
            <w:tcW w:w="509" w:type="pct"/>
          </w:tcPr>
          <w:p w14:paraId="5B353B2A"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1.232</w:t>
            </w:r>
          </w:p>
          <w:p w14:paraId="242BAC9A"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(1.097 – 1.383)</w:t>
            </w:r>
          </w:p>
        </w:tc>
        <w:tc>
          <w:tcPr>
            <w:tcW w:w="509" w:type="pct"/>
          </w:tcPr>
          <w:p w14:paraId="3A894A77"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1.168 (1.069 – 1.276)</w:t>
            </w:r>
          </w:p>
        </w:tc>
        <w:tc>
          <w:tcPr>
            <w:tcW w:w="509" w:type="pct"/>
          </w:tcPr>
          <w:p w14:paraId="3FFA8BC0" w14:textId="77777777" w:rsidR="00236A5B" w:rsidRPr="00F7228F" w:rsidRDefault="00236A5B" w:rsidP="000B242D">
            <w:pPr>
              <w:spacing w:line="276" w:lineRule="auto"/>
              <w:rPr>
                <w:rFonts w:ascii="Arial" w:hAnsi="Arial" w:cs="Arial"/>
              </w:rPr>
            </w:pPr>
            <w:r w:rsidRPr="00F7228F">
              <w:rPr>
                <w:rFonts w:ascii="Arial" w:hAnsi="Arial" w:cs="Arial"/>
                <w:color w:val="FF0000"/>
              </w:rPr>
              <w:t>1.142 (1.042 – 1.251)</w:t>
            </w:r>
          </w:p>
        </w:tc>
        <w:tc>
          <w:tcPr>
            <w:tcW w:w="511" w:type="pct"/>
          </w:tcPr>
          <w:p w14:paraId="09D01A66"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1.206 (1.092 – 1.331)</w:t>
            </w:r>
          </w:p>
        </w:tc>
        <w:tc>
          <w:tcPr>
            <w:tcW w:w="463" w:type="pct"/>
          </w:tcPr>
          <w:p w14:paraId="0F915FC6"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1.148 (1.058 – 1.244)</w:t>
            </w:r>
          </w:p>
        </w:tc>
        <w:tc>
          <w:tcPr>
            <w:tcW w:w="501" w:type="pct"/>
          </w:tcPr>
          <w:p w14:paraId="5713E28E" w14:textId="77777777" w:rsidR="00236A5B" w:rsidRPr="00F7228F" w:rsidRDefault="00236A5B" w:rsidP="000B242D">
            <w:pPr>
              <w:spacing w:line="276" w:lineRule="auto"/>
              <w:rPr>
                <w:rFonts w:ascii="Arial" w:hAnsi="Arial" w:cs="Arial"/>
              </w:rPr>
            </w:pPr>
            <w:r w:rsidRPr="00F7228F">
              <w:rPr>
                <w:rFonts w:ascii="Arial" w:hAnsi="Arial" w:cs="Arial"/>
                <w:color w:val="FF0000"/>
              </w:rPr>
              <w:t>1.095 (1.016 – 1.181)</w:t>
            </w:r>
          </w:p>
        </w:tc>
        <w:tc>
          <w:tcPr>
            <w:tcW w:w="505" w:type="pct"/>
          </w:tcPr>
          <w:p w14:paraId="30E74132" w14:textId="77777777" w:rsidR="00236A5B" w:rsidRPr="00F7228F" w:rsidRDefault="00236A5B" w:rsidP="000B242D">
            <w:pPr>
              <w:spacing w:line="276" w:lineRule="auto"/>
              <w:rPr>
                <w:rFonts w:ascii="Arial" w:hAnsi="Arial" w:cs="Arial"/>
              </w:rPr>
            </w:pPr>
            <w:r w:rsidRPr="00F7228F">
              <w:rPr>
                <w:rFonts w:ascii="Arial" w:hAnsi="Arial" w:cs="Arial"/>
                <w:color w:val="FF0000"/>
              </w:rPr>
              <w:t>1.133 (1.027 – 1.249)</w:t>
            </w:r>
          </w:p>
        </w:tc>
      </w:tr>
      <w:tr w:rsidR="00236A5B" w:rsidRPr="00F7228F" w14:paraId="36567720" w14:textId="77777777" w:rsidTr="00CB0BB6">
        <w:tc>
          <w:tcPr>
            <w:tcW w:w="459" w:type="pct"/>
            <w:vMerge/>
            <w:vAlign w:val="center"/>
          </w:tcPr>
          <w:p w14:paraId="14C2880A" w14:textId="77777777" w:rsidR="00236A5B" w:rsidRPr="00F7228F" w:rsidRDefault="00236A5B" w:rsidP="000B242D">
            <w:pPr>
              <w:spacing w:line="276" w:lineRule="auto"/>
              <w:rPr>
                <w:rFonts w:ascii="Arial" w:hAnsi="Arial" w:cs="Arial"/>
              </w:rPr>
            </w:pPr>
          </w:p>
        </w:tc>
        <w:tc>
          <w:tcPr>
            <w:tcW w:w="525" w:type="pct"/>
          </w:tcPr>
          <w:p w14:paraId="05E9AC59"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70857519" w14:textId="77777777" w:rsidR="00236A5B" w:rsidRPr="00F7228F" w:rsidRDefault="00236A5B" w:rsidP="000B242D">
            <w:pPr>
              <w:spacing w:line="276" w:lineRule="auto"/>
              <w:rPr>
                <w:rFonts w:ascii="Arial" w:hAnsi="Arial" w:cs="Arial"/>
              </w:rPr>
            </w:pPr>
            <w:r w:rsidRPr="00F7228F">
              <w:rPr>
                <w:rFonts w:ascii="Arial" w:hAnsi="Arial" w:cs="Arial"/>
                <w:color w:val="FF0000"/>
              </w:rPr>
              <w:t>0.002</w:t>
            </w:r>
          </w:p>
        </w:tc>
        <w:tc>
          <w:tcPr>
            <w:tcW w:w="509" w:type="pct"/>
          </w:tcPr>
          <w:p w14:paraId="4AEA24B6"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&lt; 0.001</w:t>
            </w:r>
          </w:p>
        </w:tc>
        <w:tc>
          <w:tcPr>
            <w:tcW w:w="509" w:type="pct"/>
          </w:tcPr>
          <w:p w14:paraId="138F31D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0.001</w:t>
            </w:r>
          </w:p>
        </w:tc>
        <w:tc>
          <w:tcPr>
            <w:tcW w:w="509" w:type="pct"/>
          </w:tcPr>
          <w:p w14:paraId="7778934B" w14:textId="77777777" w:rsidR="00236A5B" w:rsidRPr="00F7228F" w:rsidRDefault="00236A5B" w:rsidP="000B242D">
            <w:pPr>
              <w:spacing w:line="276" w:lineRule="auto"/>
              <w:rPr>
                <w:rFonts w:ascii="Arial" w:hAnsi="Arial" w:cs="Arial"/>
              </w:rPr>
            </w:pPr>
            <w:r w:rsidRPr="00F7228F">
              <w:rPr>
                <w:rFonts w:ascii="Arial" w:hAnsi="Arial" w:cs="Arial"/>
                <w:color w:val="FF0000"/>
              </w:rPr>
              <w:t>0.004</w:t>
            </w:r>
          </w:p>
        </w:tc>
        <w:tc>
          <w:tcPr>
            <w:tcW w:w="511" w:type="pct"/>
          </w:tcPr>
          <w:p w14:paraId="67B7A44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&lt; 0.001</w:t>
            </w:r>
          </w:p>
        </w:tc>
        <w:tc>
          <w:tcPr>
            <w:tcW w:w="463" w:type="pct"/>
          </w:tcPr>
          <w:p w14:paraId="0B26E1C9"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0.001</w:t>
            </w:r>
          </w:p>
        </w:tc>
        <w:tc>
          <w:tcPr>
            <w:tcW w:w="501" w:type="pct"/>
          </w:tcPr>
          <w:p w14:paraId="6DB09E41" w14:textId="77777777" w:rsidR="00236A5B" w:rsidRPr="00F7228F" w:rsidRDefault="00236A5B" w:rsidP="000B242D">
            <w:pPr>
              <w:spacing w:line="276" w:lineRule="auto"/>
              <w:rPr>
                <w:rFonts w:ascii="Arial" w:hAnsi="Arial" w:cs="Arial"/>
              </w:rPr>
            </w:pPr>
            <w:r w:rsidRPr="00F7228F">
              <w:rPr>
                <w:rFonts w:ascii="Arial" w:hAnsi="Arial" w:cs="Arial"/>
                <w:color w:val="FF0000"/>
              </w:rPr>
              <w:t>0.018</w:t>
            </w:r>
          </w:p>
        </w:tc>
        <w:tc>
          <w:tcPr>
            <w:tcW w:w="505" w:type="pct"/>
          </w:tcPr>
          <w:p w14:paraId="2BB41355" w14:textId="77777777" w:rsidR="00236A5B" w:rsidRPr="00F7228F" w:rsidRDefault="00236A5B" w:rsidP="000B242D">
            <w:pPr>
              <w:spacing w:line="276" w:lineRule="auto"/>
              <w:rPr>
                <w:rFonts w:ascii="Arial" w:hAnsi="Arial" w:cs="Arial"/>
              </w:rPr>
            </w:pPr>
            <w:r w:rsidRPr="00F7228F">
              <w:rPr>
                <w:rFonts w:ascii="Arial" w:hAnsi="Arial" w:cs="Arial"/>
                <w:color w:val="FF0000"/>
              </w:rPr>
              <w:t>0.012</w:t>
            </w:r>
          </w:p>
        </w:tc>
      </w:tr>
      <w:tr w:rsidR="00236A5B" w:rsidRPr="00F7228F" w14:paraId="6C02653B" w14:textId="77777777" w:rsidTr="00CB0BB6">
        <w:tc>
          <w:tcPr>
            <w:tcW w:w="459" w:type="pct"/>
            <w:vMerge w:val="restart"/>
            <w:vAlign w:val="center"/>
          </w:tcPr>
          <w:p w14:paraId="2E24D8E6" w14:textId="77777777" w:rsidR="00236A5B" w:rsidRPr="00F7228F" w:rsidRDefault="00236A5B" w:rsidP="000B242D">
            <w:pPr>
              <w:spacing w:line="276" w:lineRule="auto"/>
              <w:rPr>
                <w:rFonts w:ascii="Arial" w:hAnsi="Arial" w:cs="Arial"/>
              </w:rPr>
            </w:pPr>
            <w:r w:rsidRPr="00F7228F">
              <w:rPr>
                <w:rFonts w:ascii="Arial" w:hAnsi="Arial" w:cs="Arial"/>
              </w:rPr>
              <w:t>Plasma IL-8</w:t>
            </w:r>
          </w:p>
          <w:p w14:paraId="56A1B3F7" w14:textId="77777777" w:rsidR="00236A5B" w:rsidRPr="00F7228F" w:rsidRDefault="00236A5B" w:rsidP="000B242D">
            <w:pPr>
              <w:spacing w:line="276" w:lineRule="auto"/>
              <w:rPr>
                <w:rFonts w:ascii="Arial" w:hAnsi="Arial" w:cs="Arial"/>
              </w:rPr>
            </w:pPr>
          </w:p>
        </w:tc>
        <w:tc>
          <w:tcPr>
            <w:tcW w:w="525" w:type="pct"/>
          </w:tcPr>
          <w:p w14:paraId="1481DE5A"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553BF172"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1.052</w:t>
            </w:r>
          </w:p>
          <w:p w14:paraId="77AA7894"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(1.006 – 1.100)</w:t>
            </w:r>
          </w:p>
        </w:tc>
        <w:tc>
          <w:tcPr>
            <w:tcW w:w="509" w:type="pct"/>
          </w:tcPr>
          <w:p w14:paraId="61E0C19F"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1.042 (1.009 – 1.075)</w:t>
            </w:r>
          </w:p>
        </w:tc>
        <w:tc>
          <w:tcPr>
            <w:tcW w:w="509" w:type="pct"/>
          </w:tcPr>
          <w:p w14:paraId="0670D458"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1.042 (1.011 – 1.073)</w:t>
            </w:r>
          </w:p>
        </w:tc>
        <w:tc>
          <w:tcPr>
            <w:tcW w:w="509" w:type="pct"/>
          </w:tcPr>
          <w:p w14:paraId="318EF6CE" w14:textId="77777777" w:rsidR="00236A5B" w:rsidRPr="00F7228F" w:rsidRDefault="00236A5B" w:rsidP="000B242D">
            <w:pPr>
              <w:spacing w:line="276" w:lineRule="auto"/>
              <w:rPr>
                <w:rFonts w:ascii="Arial" w:hAnsi="Arial" w:cs="Arial"/>
                <w:color w:val="FFC000"/>
              </w:rPr>
            </w:pPr>
            <w:r w:rsidRPr="00F7228F">
              <w:rPr>
                <w:rFonts w:ascii="Arial" w:hAnsi="Arial" w:cs="Arial"/>
              </w:rPr>
              <w:t>1.023 (0.993 – 1.055)</w:t>
            </w:r>
          </w:p>
        </w:tc>
        <w:tc>
          <w:tcPr>
            <w:tcW w:w="511" w:type="pct"/>
          </w:tcPr>
          <w:p w14:paraId="549F1793" w14:textId="77777777" w:rsidR="00236A5B" w:rsidRPr="00F7228F" w:rsidRDefault="00236A5B" w:rsidP="000B242D">
            <w:pPr>
              <w:spacing w:line="276" w:lineRule="auto"/>
              <w:rPr>
                <w:rFonts w:ascii="Arial" w:hAnsi="Arial" w:cs="Arial"/>
              </w:rPr>
            </w:pPr>
            <w:r w:rsidRPr="00F7228F">
              <w:rPr>
                <w:rFonts w:ascii="Arial" w:hAnsi="Arial" w:cs="Arial"/>
                <w:color w:val="FF0000"/>
              </w:rPr>
              <w:t>1.043 (1.012 – 1.075)</w:t>
            </w:r>
          </w:p>
        </w:tc>
        <w:tc>
          <w:tcPr>
            <w:tcW w:w="463" w:type="pct"/>
          </w:tcPr>
          <w:p w14:paraId="76583AF7" w14:textId="77777777" w:rsidR="00236A5B" w:rsidRPr="00F7228F" w:rsidRDefault="00236A5B" w:rsidP="000B242D">
            <w:pPr>
              <w:spacing w:line="276" w:lineRule="auto"/>
              <w:rPr>
                <w:rFonts w:ascii="Arial" w:hAnsi="Arial" w:cs="Arial"/>
              </w:rPr>
            </w:pPr>
            <w:r w:rsidRPr="00F7228F">
              <w:rPr>
                <w:rFonts w:ascii="Arial" w:hAnsi="Arial" w:cs="Arial"/>
              </w:rPr>
              <w:t>1.025 (0.994 – 1.058)</w:t>
            </w:r>
          </w:p>
        </w:tc>
        <w:tc>
          <w:tcPr>
            <w:tcW w:w="501" w:type="pct"/>
          </w:tcPr>
          <w:p w14:paraId="31DB0A65" w14:textId="77777777" w:rsidR="00236A5B" w:rsidRPr="00F7228F" w:rsidRDefault="00236A5B" w:rsidP="000B242D">
            <w:pPr>
              <w:spacing w:line="276" w:lineRule="auto"/>
              <w:rPr>
                <w:rFonts w:ascii="Arial" w:hAnsi="Arial" w:cs="Arial"/>
              </w:rPr>
            </w:pPr>
            <w:r w:rsidRPr="00F7228F">
              <w:rPr>
                <w:rFonts w:ascii="Arial" w:hAnsi="Arial" w:cs="Arial"/>
              </w:rPr>
              <w:t>1.012 (0.980 – 1.046)</w:t>
            </w:r>
          </w:p>
        </w:tc>
        <w:tc>
          <w:tcPr>
            <w:tcW w:w="505" w:type="pct"/>
          </w:tcPr>
          <w:p w14:paraId="3B2A977D" w14:textId="77777777" w:rsidR="00236A5B" w:rsidRPr="00F7228F" w:rsidRDefault="00236A5B" w:rsidP="000B242D">
            <w:pPr>
              <w:spacing w:line="276" w:lineRule="auto"/>
              <w:rPr>
                <w:rFonts w:ascii="Arial" w:hAnsi="Arial" w:cs="Arial"/>
              </w:rPr>
            </w:pPr>
            <w:r w:rsidRPr="00F7228F">
              <w:rPr>
                <w:rFonts w:ascii="Arial" w:hAnsi="Arial" w:cs="Arial"/>
              </w:rPr>
              <w:t>1.017 (0.986 – 1.048)</w:t>
            </w:r>
          </w:p>
        </w:tc>
      </w:tr>
      <w:tr w:rsidR="00236A5B" w:rsidRPr="00F7228F" w14:paraId="57E8BB5F" w14:textId="77777777" w:rsidTr="00CB0BB6">
        <w:tc>
          <w:tcPr>
            <w:tcW w:w="459" w:type="pct"/>
            <w:vMerge/>
            <w:vAlign w:val="center"/>
          </w:tcPr>
          <w:p w14:paraId="32F28BEF" w14:textId="77777777" w:rsidR="00236A5B" w:rsidRPr="00F7228F" w:rsidRDefault="00236A5B" w:rsidP="000B242D">
            <w:pPr>
              <w:spacing w:line="276" w:lineRule="auto"/>
              <w:rPr>
                <w:rFonts w:ascii="Arial" w:hAnsi="Arial" w:cs="Arial"/>
              </w:rPr>
            </w:pPr>
          </w:p>
        </w:tc>
        <w:tc>
          <w:tcPr>
            <w:tcW w:w="525" w:type="pct"/>
          </w:tcPr>
          <w:p w14:paraId="1DEF2146"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79DC3EE9"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0.025</w:t>
            </w:r>
          </w:p>
        </w:tc>
        <w:tc>
          <w:tcPr>
            <w:tcW w:w="509" w:type="pct"/>
          </w:tcPr>
          <w:p w14:paraId="11667199"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0.012</w:t>
            </w:r>
          </w:p>
        </w:tc>
        <w:tc>
          <w:tcPr>
            <w:tcW w:w="509" w:type="pct"/>
          </w:tcPr>
          <w:p w14:paraId="2220C54A"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0.008</w:t>
            </w:r>
          </w:p>
        </w:tc>
        <w:tc>
          <w:tcPr>
            <w:tcW w:w="509" w:type="pct"/>
          </w:tcPr>
          <w:p w14:paraId="5E3D5F07" w14:textId="77777777" w:rsidR="00236A5B" w:rsidRPr="00F7228F" w:rsidRDefault="00236A5B" w:rsidP="000B242D">
            <w:pPr>
              <w:spacing w:line="276" w:lineRule="auto"/>
              <w:rPr>
                <w:rFonts w:ascii="Arial" w:hAnsi="Arial" w:cs="Arial"/>
                <w:color w:val="FFC000"/>
              </w:rPr>
            </w:pPr>
            <w:r w:rsidRPr="00F7228F">
              <w:rPr>
                <w:rFonts w:ascii="Arial" w:hAnsi="Arial" w:cs="Arial"/>
              </w:rPr>
              <w:t>0.133</w:t>
            </w:r>
          </w:p>
        </w:tc>
        <w:tc>
          <w:tcPr>
            <w:tcW w:w="511" w:type="pct"/>
          </w:tcPr>
          <w:p w14:paraId="737383C1" w14:textId="77777777" w:rsidR="00236A5B" w:rsidRPr="00F7228F" w:rsidRDefault="00236A5B" w:rsidP="000B242D">
            <w:pPr>
              <w:spacing w:line="276" w:lineRule="auto"/>
              <w:rPr>
                <w:rFonts w:ascii="Arial" w:hAnsi="Arial" w:cs="Arial"/>
              </w:rPr>
            </w:pPr>
            <w:r w:rsidRPr="00F7228F">
              <w:rPr>
                <w:rFonts w:ascii="Arial" w:hAnsi="Arial" w:cs="Arial"/>
                <w:color w:val="FF0000"/>
              </w:rPr>
              <w:t>0.007</w:t>
            </w:r>
          </w:p>
        </w:tc>
        <w:tc>
          <w:tcPr>
            <w:tcW w:w="463" w:type="pct"/>
          </w:tcPr>
          <w:p w14:paraId="319278C0" w14:textId="77777777" w:rsidR="00236A5B" w:rsidRPr="00F7228F" w:rsidRDefault="00236A5B" w:rsidP="000B242D">
            <w:pPr>
              <w:spacing w:line="276" w:lineRule="auto"/>
              <w:rPr>
                <w:rFonts w:ascii="Arial" w:hAnsi="Arial" w:cs="Arial"/>
              </w:rPr>
            </w:pPr>
            <w:r w:rsidRPr="00F7228F">
              <w:rPr>
                <w:rFonts w:ascii="Arial" w:hAnsi="Arial" w:cs="Arial"/>
              </w:rPr>
              <w:t>0.113</w:t>
            </w:r>
          </w:p>
        </w:tc>
        <w:tc>
          <w:tcPr>
            <w:tcW w:w="501" w:type="pct"/>
          </w:tcPr>
          <w:p w14:paraId="5B2F3E7B" w14:textId="77777777" w:rsidR="00236A5B" w:rsidRPr="00F7228F" w:rsidRDefault="00236A5B" w:rsidP="000B242D">
            <w:pPr>
              <w:spacing w:line="276" w:lineRule="auto"/>
              <w:rPr>
                <w:rFonts w:ascii="Arial" w:hAnsi="Arial" w:cs="Arial"/>
              </w:rPr>
            </w:pPr>
            <w:r w:rsidRPr="00F7228F">
              <w:rPr>
                <w:rFonts w:ascii="Arial" w:hAnsi="Arial" w:cs="Arial"/>
              </w:rPr>
              <w:t>0.462</w:t>
            </w:r>
          </w:p>
        </w:tc>
        <w:tc>
          <w:tcPr>
            <w:tcW w:w="505" w:type="pct"/>
          </w:tcPr>
          <w:p w14:paraId="3E7CE1A1" w14:textId="77777777" w:rsidR="00236A5B" w:rsidRPr="00F7228F" w:rsidRDefault="00236A5B" w:rsidP="000B242D">
            <w:pPr>
              <w:spacing w:line="276" w:lineRule="auto"/>
              <w:rPr>
                <w:rFonts w:ascii="Arial" w:hAnsi="Arial" w:cs="Arial"/>
              </w:rPr>
            </w:pPr>
            <w:r w:rsidRPr="00F7228F">
              <w:rPr>
                <w:rFonts w:ascii="Arial" w:hAnsi="Arial" w:cs="Arial"/>
              </w:rPr>
              <w:t>0.286</w:t>
            </w:r>
          </w:p>
        </w:tc>
      </w:tr>
      <w:tr w:rsidR="00236A5B" w:rsidRPr="00F7228F" w14:paraId="25B19D8B" w14:textId="77777777" w:rsidTr="00CB0BB6">
        <w:tc>
          <w:tcPr>
            <w:tcW w:w="459" w:type="pct"/>
            <w:vMerge w:val="restart"/>
            <w:vAlign w:val="center"/>
          </w:tcPr>
          <w:p w14:paraId="16691C35" w14:textId="77777777" w:rsidR="00236A5B" w:rsidRPr="00F7228F" w:rsidRDefault="00236A5B" w:rsidP="000B242D">
            <w:pPr>
              <w:spacing w:line="276" w:lineRule="auto"/>
              <w:rPr>
                <w:rFonts w:ascii="Arial" w:hAnsi="Arial" w:cs="Arial"/>
              </w:rPr>
            </w:pPr>
            <w:r w:rsidRPr="00F7228F">
              <w:rPr>
                <w:rFonts w:ascii="Arial" w:hAnsi="Arial" w:cs="Arial"/>
              </w:rPr>
              <w:t>Plasma IL-10</w:t>
            </w:r>
          </w:p>
          <w:p w14:paraId="596BD7EC" w14:textId="77777777" w:rsidR="00236A5B" w:rsidRPr="00F7228F" w:rsidRDefault="00236A5B" w:rsidP="000B242D">
            <w:pPr>
              <w:spacing w:line="276" w:lineRule="auto"/>
              <w:rPr>
                <w:rFonts w:ascii="Arial" w:hAnsi="Arial" w:cs="Arial"/>
              </w:rPr>
            </w:pPr>
          </w:p>
        </w:tc>
        <w:tc>
          <w:tcPr>
            <w:tcW w:w="525" w:type="pct"/>
          </w:tcPr>
          <w:p w14:paraId="19475B31"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61823433" w14:textId="77777777" w:rsidR="00236A5B" w:rsidRPr="00F7228F" w:rsidRDefault="00236A5B" w:rsidP="000B242D">
            <w:pPr>
              <w:spacing w:line="276" w:lineRule="auto"/>
              <w:rPr>
                <w:rFonts w:ascii="Arial" w:hAnsi="Arial" w:cs="Arial"/>
              </w:rPr>
            </w:pPr>
            <w:r w:rsidRPr="00F7228F">
              <w:rPr>
                <w:rFonts w:ascii="Arial" w:hAnsi="Arial" w:cs="Arial"/>
              </w:rPr>
              <w:t>1.102</w:t>
            </w:r>
          </w:p>
          <w:p w14:paraId="5B197AB7" w14:textId="77777777" w:rsidR="00236A5B" w:rsidRPr="00F7228F" w:rsidRDefault="00236A5B" w:rsidP="000B242D">
            <w:pPr>
              <w:spacing w:line="276" w:lineRule="auto"/>
              <w:rPr>
                <w:rFonts w:ascii="Arial" w:hAnsi="Arial" w:cs="Arial"/>
              </w:rPr>
            </w:pPr>
            <w:r w:rsidRPr="00F7228F">
              <w:rPr>
                <w:rFonts w:ascii="Arial" w:hAnsi="Arial" w:cs="Arial"/>
              </w:rPr>
              <w:t>(0.846 – 1.436)</w:t>
            </w:r>
          </w:p>
        </w:tc>
        <w:tc>
          <w:tcPr>
            <w:tcW w:w="509" w:type="pct"/>
          </w:tcPr>
          <w:p w14:paraId="7B85B7C9" w14:textId="77777777" w:rsidR="00236A5B" w:rsidRPr="00F7228F" w:rsidRDefault="00236A5B" w:rsidP="000B242D">
            <w:pPr>
              <w:spacing w:line="276" w:lineRule="auto"/>
              <w:rPr>
                <w:rFonts w:ascii="Arial" w:hAnsi="Arial" w:cs="Arial"/>
                <w:color w:val="FF0000"/>
              </w:rPr>
            </w:pPr>
            <w:r w:rsidRPr="00F7228F">
              <w:rPr>
                <w:rFonts w:ascii="Arial" w:hAnsi="Arial" w:cs="Arial"/>
              </w:rPr>
              <w:t>0.957 (0.796 – 1.150)</w:t>
            </w:r>
          </w:p>
        </w:tc>
        <w:tc>
          <w:tcPr>
            <w:tcW w:w="509" w:type="pct"/>
          </w:tcPr>
          <w:p w14:paraId="53E89D25" w14:textId="77777777" w:rsidR="00236A5B" w:rsidRPr="00F7228F" w:rsidRDefault="00236A5B" w:rsidP="000B242D">
            <w:pPr>
              <w:spacing w:line="276" w:lineRule="auto"/>
              <w:rPr>
                <w:rFonts w:ascii="Arial" w:hAnsi="Arial" w:cs="Arial"/>
              </w:rPr>
            </w:pPr>
            <w:r w:rsidRPr="00F7228F">
              <w:rPr>
                <w:rFonts w:ascii="Arial" w:hAnsi="Arial" w:cs="Arial"/>
              </w:rPr>
              <w:t>1.029 (0.860 – 1.231)</w:t>
            </w:r>
          </w:p>
        </w:tc>
        <w:tc>
          <w:tcPr>
            <w:tcW w:w="509" w:type="pct"/>
          </w:tcPr>
          <w:p w14:paraId="1DE1697D" w14:textId="77777777" w:rsidR="00236A5B" w:rsidRPr="00F7228F" w:rsidRDefault="00236A5B" w:rsidP="000B242D">
            <w:pPr>
              <w:spacing w:line="276" w:lineRule="auto"/>
              <w:rPr>
                <w:rFonts w:ascii="Arial" w:hAnsi="Arial" w:cs="Arial"/>
              </w:rPr>
            </w:pPr>
            <w:r w:rsidRPr="00F7228F">
              <w:rPr>
                <w:rFonts w:ascii="Arial" w:hAnsi="Arial" w:cs="Arial"/>
              </w:rPr>
              <w:t>0.953 (0.796 – 1.141)</w:t>
            </w:r>
          </w:p>
        </w:tc>
        <w:tc>
          <w:tcPr>
            <w:tcW w:w="511" w:type="pct"/>
          </w:tcPr>
          <w:p w14:paraId="6B989A1A" w14:textId="77777777" w:rsidR="00236A5B" w:rsidRPr="00F7228F" w:rsidRDefault="00236A5B" w:rsidP="000B242D">
            <w:pPr>
              <w:spacing w:line="276" w:lineRule="auto"/>
              <w:rPr>
                <w:rFonts w:ascii="Arial" w:hAnsi="Arial" w:cs="Arial"/>
              </w:rPr>
            </w:pPr>
            <w:r w:rsidRPr="00F7228F">
              <w:rPr>
                <w:rFonts w:ascii="Arial" w:hAnsi="Arial" w:cs="Arial"/>
              </w:rPr>
              <w:t>0.954 (0.769 – 1.184)</w:t>
            </w:r>
          </w:p>
        </w:tc>
        <w:tc>
          <w:tcPr>
            <w:tcW w:w="463" w:type="pct"/>
          </w:tcPr>
          <w:p w14:paraId="585CD267" w14:textId="77777777" w:rsidR="00236A5B" w:rsidRPr="00F7228F" w:rsidRDefault="00236A5B" w:rsidP="000B242D">
            <w:pPr>
              <w:spacing w:line="276" w:lineRule="auto"/>
              <w:rPr>
                <w:rFonts w:ascii="Arial" w:hAnsi="Arial" w:cs="Arial"/>
              </w:rPr>
            </w:pPr>
            <w:r w:rsidRPr="00F7228F">
              <w:rPr>
                <w:rFonts w:ascii="Arial" w:hAnsi="Arial" w:cs="Arial"/>
              </w:rPr>
              <w:t>1.018 (0.866 – 1.198)</w:t>
            </w:r>
          </w:p>
        </w:tc>
        <w:tc>
          <w:tcPr>
            <w:tcW w:w="501" w:type="pct"/>
          </w:tcPr>
          <w:p w14:paraId="7C00961A" w14:textId="77777777" w:rsidR="00236A5B" w:rsidRPr="00F7228F" w:rsidRDefault="00236A5B" w:rsidP="000B242D">
            <w:pPr>
              <w:spacing w:line="276" w:lineRule="auto"/>
              <w:rPr>
                <w:rFonts w:ascii="Arial" w:hAnsi="Arial" w:cs="Arial"/>
              </w:rPr>
            </w:pPr>
            <w:r w:rsidRPr="00F7228F">
              <w:rPr>
                <w:rFonts w:ascii="Arial" w:hAnsi="Arial" w:cs="Arial"/>
              </w:rPr>
              <w:t>1.037 (0.876 – 1.228)</w:t>
            </w:r>
          </w:p>
        </w:tc>
        <w:tc>
          <w:tcPr>
            <w:tcW w:w="505" w:type="pct"/>
          </w:tcPr>
          <w:p w14:paraId="3D8B57BC" w14:textId="77777777" w:rsidR="00236A5B" w:rsidRPr="00F7228F" w:rsidRDefault="00236A5B" w:rsidP="000B242D">
            <w:pPr>
              <w:spacing w:line="276" w:lineRule="auto"/>
              <w:rPr>
                <w:rFonts w:ascii="Arial" w:hAnsi="Arial" w:cs="Arial"/>
              </w:rPr>
            </w:pPr>
            <w:r w:rsidRPr="00F7228F">
              <w:rPr>
                <w:rFonts w:ascii="Arial" w:hAnsi="Arial" w:cs="Arial"/>
              </w:rPr>
              <w:t>0.981 (0.829 – 1.161)</w:t>
            </w:r>
          </w:p>
        </w:tc>
      </w:tr>
      <w:tr w:rsidR="00236A5B" w:rsidRPr="00F7228F" w14:paraId="19D5472F" w14:textId="77777777" w:rsidTr="00CB0BB6">
        <w:tc>
          <w:tcPr>
            <w:tcW w:w="459" w:type="pct"/>
            <w:vMerge/>
            <w:vAlign w:val="center"/>
          </w:tcPr>
          <w:p w14:paraId="29F59399" w14:textId="77777777" w:rsidR="00236A5B" w:rsidRPr="00F7228F" w:rsidRDefault="00236A5B" w:rsidP="000B242D">
            <w:pPr>
              <w:spacing w:line="276" w:lineRule="auto"/>
              <w:rPr>
                <w:rFonts w:ascii="Arial" w:hAnsi="Arial" w:cs="Arial"/>
              </w:rPr>
            </w:pPr>
          </w:p>
        </w:tc>
        <w:tc>
          <w:tcPr>
            <w:tcW w:w="525" w:type="pct"/>
          </w:tcPr>
          <w:p w14:paraId="4D2C0D9A"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2E12AF8D" w14:textId="77777777" w:rsidR="00236A5B" w:rsidRPr="00F7228F" w:rsidRDefault="00236A5B" w:rsidP="000B242D">
            <w:pPr>
              <w:spacing w:line="276" w:lineRule="auto"/>
              <w:rPr>
                <w:rFonts w:ascii="Arial" w:hAnsi="Arial" w:cs="Arial"/>
              </w:rPr>
            </w:pPr>
            <w:r w:rsidRPr="00F7228F">
              <w:rPr>
                <w:rFonts w:ascii="Arial" w:hAnsi="Arial" w:cs="Arial"/>
              </w:rPr>
              <w:t>0.472</w:t>
            </w:r>
          </w:p>
        </w:tc>
        <w:tc>
          <w:tcPr>
            <w:tcW w:w="509" w:type="pct"/>
          </w:tcPr>
          <w:p w14:paraId="1DE58F90" w14:textId="77777777" w:rsidR="00236A5B" w:rsidRPr="00F7228F" w:rsidRDefault="00236A5B" w:rsidP="000B242D">
            <w:pPr>
              <w:spacing w:line="276" w:lineRule="auto"/>
              <w:rPr>
                <w:rFonts w:ascii="Arial" w:hAnsi="Arial" w:cs="Arial"/>
                <w:color w:val="FF0000"/>
              </w:rPr>
            </w:pPr>
            <w:r w:rsidRPr="00F7228F">
              <w:rPr>
                <w:rFonts w:ascii="Arial" w:hAnsi="Arial" w:cs="Arial"/>
              </w:rPr>
              <w:t>0.636</w:t>
            </w:r>
          </w:p>
        </w:tc>
        <w:tc>
          <w:tcPr>
            <w:tcW w:w="509" w:type="pct"/>
          </w:tcPr>
          <w:p w14:paraId="0AC14AE7" w14:textId="77777777" w:rsidR="00236A5B" w:rsidRPr="00F7228F" w:rsidRDefault="00236A5B" w:rsidP="000B242D">
            <w:pPr>
              <w:spacing w:line="276" w:lineRule="auto"/>
              <w:rPr>
                <w:rFonts w:ascii="Arial" w:hAnsi="Arial" w:cs="Arial"/>
              </w:rPr>
            </w:pPr>
            <w:r w:rsidRPr="00F7228F">
              <w:rPr>
                <w:rFonts w:ascii="Arial" w:hAnsi="Arial" w:cs="Arial"/>
              </w:rPr>
              <w:t>0.757</w:t>
            </w:r>
          </w:p>
        </w:tc>
        <w:tc>
          <w:tcPr>
            <w:tcW w:w="509" w:type="pct"/>
          </w:tcPr>
          <w:p w14:paraId="34632D40" w14:textId="77777777" w:rsidR="00236A5B" w:rsidRPr="00F7228F" w:rsidRDefault="00236A5B" w:rsidP="000B242D">
            <w:pPr>
              <w:spacing w:line="276" w:lineRule="auto"/>
              <w:rPr>
                <w:rFonts w:ascii="Arial" w:hAnsi="Arial" w:cs="Arial"/>
              </w:rPr>
            </w:pPr>
            <w:r w:rsidRPr="00F7228F">
              <w:rPr>
                <w:rFonts w:ascii="Arial" w:hAnsi="Arial" w:cs="Arial"/>
              </w:rPr>
              <w:t>0.597</w:t>
            </w:r>
          </w:p>
        </w:tc>
        <w:tc>
          <w:tcPr>
            <w:tcW w:w="511" w:type="pct"/>
          </w:tcPr>
          <w:p w14:paraId="5BCBC5F7" w14:textId="77777777" w:rsidR="00236A5B" w:rsidRPr="00F7228F" w:rsidRDefault="00236A5B" w:rsidP="000B242D">
            <w:pPr>
              <w:spacing w:line="276" w:lineRule="auto"/>
              <w:rPr>
                <w:rFonts w:ascii="Arial" w:hAnsi="Arial" w:cs="Arial"/>
              </w:rPr>
            </w:pPr>
            <w:r w:rsidRPr="00F7228F">
              <w:rPr>
                <w:rFonts w:ascii="Arial" w:hAnsi="Arial" w:cs="Arial"/>
              </w:rPr>
              <w:t>0.668</w:t>
            </w:r>
          </w:p>
        </w:tc>
        <w:tc>
          <w:tcPr>
            <w:tcW w:w="463" w:type="pct"/>
          </w:tcPr>
          <w:p w14:paraId="33768D24" w14:textId="77777777" w:rsidR="00236A5B" w:rsidRPr="00F7228F" w:rsidRDefault="00236A5B" w:rsidP="000B242D">
            <w:pPr>
              <w:spacing w:line="276" w:lineRule="auto"/>
              <w:rPr>
                <w:rFonts w:ascii="Arial" w:hAnsi="Arial" w:cs="Arial"/>
              </w:rPr>
            </w:pPr>
            <w:r w:rsidRPr="00F7228F">
              <w:rPr>
                <w:rFonts w:ascii="Arial" w:hAnsi="Arial" w:cs="Arial"/>
              </w:rPr>
              <w:t>0.828</w:t>
            </w:r>
          </w:p>
        </w:tc>
        <w:tc>
          <w:tcPr>
            <w:tcW w:w="501" w:type="pct"/>
          </w:tcPr>
          <w:p w14:paraId="661173F2" w14:textId="77777777" w:rsidR="00236A5B" w:rsidRPr="00F7228F" w:rsidRDefault="00236A5B" w:rsidP="000B242D">
            <w:pPr>
              <w:spacing w:line="276" w:lineRule="auto"/>
              <w:rPr>
                <w:rFonts w:ascii="Arial" w:hAnsi="Arial" w:cs="Arial"/>
              </w:rPr>
            </w:pPr>
            <w:r w:rsidRPr="00F7228F">
              <w:rPr>
                <w:rFonts w:ascii="Arial" w:hAnsi="Arial" w:cs="Arial"/>
              </w:rPr>
              <w:t>0.673</w:t>
            </w:r>
          </w:p>
        </w:tc>
        <w:tc>
          <w:tcPr>
            <w:tcW w:w="505" w:type="pct"/>
          </w:tcPr>
          <w:p w14:paraId="4699EAE6" w14:textId="77777777" w:rsidR="00236A5B" w:rsidRPr="00F7228F" w:rsidRDefault="00236A5B" w:rsidP="000B242D">
            <w:pPr>
              <w:spacing w:line="276" w:lineRule="auto"/>
              <w:rPr>
                <w:rFonts w:ascii="Arial" w:hAnsi="Arial" w:cs="Arial"/>
              </w:rPr>
            </w:pPr>
            <w:r w:rsidRPr="00F7228F">
              <w:rPr>
                <w:rFonts w:ascii="Arial" w:hAnsi="Arial" w:cs="Arial"/>
              </w:rPr>
              <w:t>0.826</w:t>
            </w:r>
          </w:p>
        </w:tc>
      </w:tr>
      <w:tr w:rsidR="00236A5B" w:rsidRPr="00F7228F" w14:paraId="0FBD1B1E" w14:textId="77777777" w:rsidTr="00CB0BB6">
        <w:tc>
          <w:tcPr>
            <w:tcW w:w="459" w:type="pct"/>
            <w:vMerge w:val="restart"/>
            <w:vAlign w:val="center"/>
          </w:tcPr>
          <w:p w14:paraId="26189072" w14:textId="77777777" w:rsidR="00236A5B" w:rsidRPr="00F7228F" w:rsidRDefault="00236A5B" w:rsidP="000B242D">
            <w:pPr>
              <w:spacing w:line="276" w:lineRule="auto"/>
              <w:rPr>
                <w:rFonts w:ascii="Arial" w:hAnsi="Arial" w:cs="Arial"/>
              </w:rPr>
            </w:pPr>
            <w:r w:rsidRPr="00F7228F">
              <w:rPr>
                <w:rFonts w:ascii="Arial" w:hAnsi="Arial" w:cs="Arial"/>
              </w:rPr>
              <w:t>Plasma IL-12</w:t>
            </w:r>
          </w:p>
          <w:p w14:paraId="176A2C00" w14:textId="77777777" w:rsidR="00236A5B" w:rsidRPr="00F7228F" w:rsidRDefault="00236A5B" w:rsidP="000B242D">
            <w:pPr>
              <w:spacing w:line="276" w:lineRule="auto"/>
              <w:rPr>
                <w:rFonts w:ascii="Arial" w:hAnsi="Arial" w:cs="Arial"/>
              </w:rPr>
            </w:pPr>
          </w:p>
        </w:tc>
        <w:tc>
          <w:tcPr>
            <w:tcW w:w="525" w:type="pct"/>
          </w:tcPr>
          <w:p w14:paraId="5F26B38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6AC1E602"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34.866</w:t>
            </w:r>
          </w:p>
          <w:p w14:paraId="2BA1BBC3" w14:textId="77777777" w:rsidR="00236A5B" w:rsidRPr="00F7228F" w:rsidRDefault="00236A5B" w:rsidP="000B242D">
            <w:pPr>
              <w:spacing w:line="276" w:lineRule="auto"/>
              <w:rPr>
                <w:rFonts w:ascii="Arial" w:hAnsi="Arial" w:cs="Arial"/>
              </w:rPr>
            </w:pPr>
            <w:r w:rsidRPr="00F7228F">
              <w:rPr>
                <w:rFonts w:ascii="Arial" w:hAnsi="Arial" w:cs="Arial"/>
                <w:color w:val="FF0000"/>
              </w:rPr>
              <w:t>(1.021 – 1190.484)</w:t>
            </w:r>
          </w:p>
        </w:tc>
        <w:tc>
          <w:tcPr>
            <w:tcW w:w="509" w:type="pct"/>
          </w:tcPr>
          <w:p w14:paraId="76ACE3EE" w14:textId="77777777" w:rsidR="00236A5B" w:rsidRPr="00F7228F" w:rsidRDefault="00236A5B" w:rsidP="000B242D">
            <w:pPr>
              <w:spacing w:line="276" w:lineRule="auto"/>
              <w:rPr>
                <w:rFonts w:ascii="Arial" w:hAnsi="Arial" w:cs="Arial"/>
                <w:color w:val="FF0000"/>
              </w:rPr>
            </w:pPr>
            <w:r w:rsidRPr="00F7228F">
              <w:rPr>
                <w:rFonts w:ascii="Arial" w:hAnsi="Arial" w:cs="Arial"/>
              </w:rPr>
              <w:t>0.870 (0.086 – 8.753)</w:t>
            </w:r>
          </w:p>
        </w:tc>
        <w:tc>
          <w:tcPr>
            <w:tcW w:w="509" w:type="pct"/>
          </w:tcPr>
          <w:p w14:paraId="61B11539" w14:textId="77777777" w:rsidR="00236A5B" w:rsidRPr="00F7228F" w:rsidRDefault="00236A5B" w:rsidP="000B242D">
            <w:pPr>
              <w:spacing w:line="276" w:lineRule="auto"/>
              <w:rPr>
                <w:rFonts w:ascii="Arial" w:hAnsi="Arial" w:cs="Arial"/>
                <w:color w:val="FF0000"/>
              </w:rPr>
            </w:pPr>
            <w:r w:rsidRPr="00F7228F">
              <w:rPr>
                <w:rFonts w:ascii="Arial" w:hAnsi="Arial" w:cs="Arial"/>
              </w:rPr>
              <w:t>2.195 (0.190 – 25.364)</w:t>
            </w:r>
          </w:p>
        </w:tc>
        <w:tc>
          <w:tcPr>
            <w:tcW w:w="509" w:type="pct"/>
          </w:tcPr>
          <w:p w14:paraId="61881DF9" w14:textId="77777777" w:rsidR="00236A5B" w:rsidRPr="00F7228F" w:rsidRDefault="00236A5B" w:rsidP="000B242D">
            <w:pPr>
              <w:spacing w:line="276" w:lineRule="auto"/>
              <w:rPr>
                <w:rFonts w:ascii="Arial" w:hAnsi="Arial" w:cs="Arial"/>
              </w:rPr>
            </w:pPr>
            <w:r w:rsidRPr="00F7228F">
              <w:rPr>
                <w:rFonts w:ascii="Arial" w:hAnsi="Arial" w:cs="Arial"/>
              </w:rPr>
              <w:t>5.722 (0.624 – 52.464)</w:t>
            </w:r>
          </w:p>
        </w:tc>
        <w:tc>
          <w:tcPr>
            <w:tcW w:w="511" w:type="pct"/>
          </w:tcPr>
          <w:p w14:paraId="3DF2B35F"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11.306 (1.349 – 94.746)</w:t>
            </w:r>
          </w:p>
        </w:tc>
        <w:tc>
          <w:tcPr>
            <w:tcW w:w="463" w:type="pct"/>
          </w:tcPr>
          <w:p w14:paraId="22D81C27" w14:textId="77777777" w:rsidR="00236A5B" w:rsidRPr="00F7228F" w:rsidRDefault="00236A5B" w:rsidP="000B242D">
            <w:pPr>
              <w:spacing w:line="276" w:lineRule="auto"/>
              <w:rPr>
                <w:rFonts w:ascii="Arial" w:hAnsi="Arial" w:cs="Arial"/>
              </w:rPr>
            </w:pPr>
            <w:r w:rsidRPr="00F7228F">
              <w:rPr>
                <w:rFonts w:ascii="Arial" w:hAnsi="Arial" w:cs="Arial"/>
                <w:color w:val="FFC000"/>
              </w:rPr>
              <w:t>6.185 (0.711 – 53.787)</w:t>
            </w:r>
          </w:p>
        </w:tc>
        <w:tc>
          <w:tcPr>
            <w:tcW w:w="501" w:type="pct"/>
          </w:tcPr>
          <w:p w14:paraId="57BCD96F" w14:textId="77777777" w:rsidR="00236A5B" w:rsidRPr="00F7228F" w:rsidRDefault="00236A5B" w:rsidP="000B242D">
            <w:pPr>
              <w:spacing w:line="276" w:lineRule="auto"/>
              <w:rPr>
                <w:rFonts w:ascii="Arial" w:hAnsi="Arial" w:cs="Arial"/>
              </w:rPr>
            </w:pPr>
            <w:r w:rsidRPr="00F7228F">
              <w:rPr>
                <w:rFonts w:ascii="Arial" w:hAnsi="Arial" w:cs="Arial"/>
                <w:color w:val="FF0000"/>
              </w:rPr>
              <w:t>19.809 (2.1.02 – 186.649)</w:t>
            </w:r>
          </w:p>
        </w:tc>
        <w:tc>
          <w:tcPr>
            <w:tcW w:w="505" w:type="pct"/>
          </w:tcPr>
          <w:p w14:paraId="02EE6C4B" w14:textId="77777777" w:rsidR="00236A5B" w:rsidRPr="00F7228F" w:rsidRDefault="00236A5B" w:rsidP="000B242D">
            <w:pPr>
              <w:spacing w:line="276" w:lineRule="auto"/>
              <w:rPr>
                <w:rFonts w:ascii="Arial" w:hAnsi="Arial" w:cs="Arial"/>
              </w:rPr>
            </w:pPr>
            <w:r w:rsidRPr="00F7228F">
              <w:rPr>
                <w:rFonts w:ascii="Arial" w:hAnsi="Arial" w:cs="Arial"/>
                <w:color w:val="FF0000"/>
              </w:rPr>
              <w:t>57.232 (5.005 – 654.382)</w:t>
            </w:r>
          </w:p>
        </w:tc>
      </w:tr>
      <w:tr w:rsidR="00236A5B" w:rsidRPr="00F7228F" w14:paraId="084105CA" w14:textId="77777777" w:rsidTr="00CB0BB6">
        <w:tc>
          <w:tcPr>
            <w:tcW w:w="459" w:type="pct"/>
            <w:vMerge/>
            <w:vAlign w:val="center"/>
          </w:tcPr>
          <w:p w14:paraId="64C60545" w14:textId="77777777" w:rsidR="00236A5B" w:rsidRPr="00F7228F" w:rsidRDefault="00236A5B" w:rsidP="000B242D">
            <w:pPr>
              <w:spacing w:line="276" w:lineRule="auto"/>
              <w:rPr>
                <w:rFonts w:ascii="Arial" w:hAnsi="Arial" w:cs="Arial"/>
              </w:rPr>
            </w:pPr>
          </w:p>
        </w:tc>
        <w:tc>
          <w:tcPr>
            <w:tcW w:w="525" w:type="pct"/>
          </w:tcPr>
          <w:p w14:paraId="1BC521D4"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74AF7BDB" w14:textId="77777777" w:rsidR="00236A5B" w:rsidRPr="00F7228F" w:rsidRDefault="00236A5B" w:rsidP="000B242D">
            <w:pPr>
              <w:spacing w:line="276" w:lineRule="auto"/>
              <w:rPr>
                <w:rFonts w:ascii="Arial" w:hAnsi="Arial" w:cs="Arial"/>
              </w:rPr>
            </w:pPr>
            <w:r w:rsidRPr="00F7228F">
              <w:rPr>
                <w:rFonts w:ascii="Arial" w:hAnsi="Arial" w:cs="Arial"/>
                <w:color w:val="FF0000"/>
              </w:rPr>
              <w:t>0.049</w:t>
            </w:r>
          </w:p>
        </w:tc>
        <w:tc>
          <w:tcPr>
            <w:tcW w:w="509" w:type="pct"/>
          </w:tcPr>
          <w:p w14:paraId="0B2F8975" w14:textId="77777777" w:rsidR="00236A5B" w:rsidRPr="00F7228F" w:rsidRDefault="00236A5B" w:rsidP="000B242D">
            <w:pPr>
              <w:spacing w:line="276" w:lineRule="auto"/>
              <w:rPr>
                <w:rFonts w:ascii="Arial" w:hAnsi="Arial" w:cs="Arial"/>
                <w:color w:val="FF0000"/>
              </w:rPr>
            </w:pPr>
            <w:r w:rsidRPr="00F7228F">
              <w:rPr>
                <w:rFonts w:ascii="Arial" w:hAnsi="Arial" w:cs="Arial"/>
              </w:rPr>
              <w:t>0.906</w:t>
            </w:r>
          </w:p>
        </w:tc>
        <w:tc>
          <w:tcPr>
            <w:tcW w:w="509" w:type="pct"/>
          </w:tcPr>
          <w:p w14:paraId="39B8FB96" w14:textId="77777777" w:rsidR="00236A5B" w:rsidRPr="00F7228F" w:rsidRDefault="00236A5B" w:rsidP="000B242D">
            <w:pPr>
              <w:spacing w:line="276" w:lineRule="auto"/>
              <w:rPr>
                <w:rFonts w:ascii="Arial" w:hAnsi="Arial" w:cs="Arial"/>
                <w:color w:val="FF0000"/>
              </w:rPr>
            </w:pPr>
            <w:r w:rsidRPr="00F7228F">
              <w:rPr>
                <w:rFonts w:ascii="Arial" w:hAnsi="Arial" w:cs="Arial"/>
              </w:rPr>
              <w:t>0.529</w:t>
            </w:r>
          </w:p>
        </w:tc>
        <w:tc>
          <w:tcPr>
            <w:tcW w:w="509" w:type="pct"/>
          </w:tcPr>
          <w:p w14:paraId="0898782C" w14:textId="77777777" w:rsidR="00236A5B" w:rsidRPr="00F7228F" w:rsidRDefault="00236A5B" w:rsidP="000B242D">
            <w:pPr>
              <w:spacing w:line="276" w:lineRule="auto"/>
              <w:rPr>
                <w:rFonts w:ascii="Arial" w:hAnsi="Arial" w:cs="Arial"/>
              </w:rPr>
            </w:pPr>
            <w:r w:rsidRPr="00F7228F">
              <w:rPr>
                <w:rFonts w:ascii="Arial" w:hAnsi="Arial" w:cs="Arial"/>
              </w:rPr>
              <w:t>0.123</w:t>
            </w:r>
          </w:p>
        </w:tc>
        <w:tc>
          <w:tcPr>
            <w:tcW w:w="511" w:type="pct"/>
          </w:tcPr>
          <w:p w14:paraId="5C46D8D2"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0.025</w:t>
            </w:r>
          </w:p>
        </w:tc>
        <w:tc>
          <w:tcPr>
            <w:tcW w:w="463" w:type="pct"/>
          </w:tcPr>
          <w:p w14:paraId="24F8C9E8" w14:textId="77777777" w:rsidR="00236A5B" w:rsidRPr="00F7228F" w:rsidRDefault="00236A5B" w:rsidP="000B242D">
            <w:pPr>
              <w:spacing w:line="276" w:lineRule="auto"/>
              <w:rPr>
                <w:rFonts w:ascii="Arial" w:hAnsi="Arial" w:cs="Arial"/>
              </w:rPr>
            </w:pPr>
            <w:r w:rsidRPr="00F7228F">
              <w:rPr>
                <w:rFonts w:ascii="Arial" w:hAnsi="Arial" w:cs="Arial"/>
                <w:color w:val="FFC000"/>
              </w:rPr>
              <w:t>0.099</w:t>
            </w:r>
          </w:p>
        </w:tc>
        <w:tc>
          <w:tcPr>
            <w:tcW w:w="501" w:type="pct"/>
          </w:tcPr>
          <w:p w14:paraId="7766860C" w14:textId="77777777" w:rsidR="00236A5B" w:rsidRPr="00F7228F" w:rsidRDefault="00236A5B" w:rsidP="000B242D">
            <w:pPr>
              <w:spacing w:line="276" w:lineRule="auto"/>
              <w:rPr>
                <w:rFonts w:ascii="Arial" w:hAnsi="Arial" w:cs="Arial"/>
              </w:rPr>
            </w:pPr>
            <w:r w:rsidRPr="00F7228F">
              <w:rPr>
                <w:rFonts w:ascii="Arial" w:hAnsi="Arial" w:cs="Arial"/>
                <w:color w:val="FF0000"/>
              </w:rPr>
              <w:t>0.009</w:t>
            </w:r>
          </w:p>
        </w:tc>
        <w:tc>
          <w:tcPr>
            <w:tcW w:w="505" w:type="pct"/>
          </w:tcPr>
          <w:p w14:paraId="3331601D" w14:textId="77777777" w:rsidR="00236A5B" w:rsidRPr="00F7228F" w:rsidRDefault="00236A5B" w:rsidP="000B242D">
            <w:pPr>
              <w:spacing w:line="276" w:lineRule="auto"/>
              <w:rPr>
                <w:rFonts w:ascii="Arial" w:hAnsi="Arial" w:cs="Arial"/>
              </w:rPr>
            </w:pPr>
            <w:r w:rsidRPr="00F7228F">
              <w:rPr>
                <w:rFonts w:ascii="Arial" w:hAnsi="Arial" w:cs="Arial"/>
                <w:color w:val="FF0000"/>
              </w:rPr>
              <w:t>0.001</w:t>
            </w:r>
          </w:p>
        </w:tc>
      </w:tr>
      <w:tr w:rsidR="00236A5B" w:rsidRPr="00F7228F" w14:paraId="6C8B0B08" w14:textId="77777777" w:rsidTr="00CB0BB6">
        <w:tc>
          <w:tcPr>
            <w:tcW w:w="459" w:type="pct"/>
            <w:vMerge w:val="restart"/>
            <w:vAlign w:val="center"/>
          </w:tcPr>
          <w:p w14:paraId="4187D446" w14:textId="77777777" w:rsidR="00236A5B" w:rsidRPr="00F7228F" w:rsidRDefault="00236A5B" w:rsidP="000B242D">
            <w:pPr>
              <w:spacing w:line="276" w:lineRule="auto"/>
              <w:rPr>
                <w:rFonts w:ascii="Arial" w:hAnsi="Arial" w:cs="Arial"/>
              </w:rPr>
            </w:pPr>
            <w:r w:rsidRPr="00F7228F">
              <w:rPr>
                <w:rFonts w:ascii="Arial" w:hAnsi="Arial" w:cs="Arial"/>
              </w:rPr>
              <w:t>Plasma IL-13</w:t>
            </w:r>
          </w:p>
          <w:p w14:paraId="12E75C9F" w14:textId="77777777" w:rsidR="00236A5B" w:rsidRPr="00F7228F" w:rsidRDefault="00236A5B" w:rsidP="000B242D">
            <w:pPr>
              <w:spacing w:line="276" w:lineRule="auto"/>
              <w:rPr>
                <w:rFonts w:ascii="Arial" w:hAnsi="Arial" w:cs="Arial"/>
              </w:rPr>
            </w:pPr>
          </w:p>
        </w:tc>
        <w:tc>
          <w:tcPr>
            <w:tcW w:w="525" w:type="pct"/>
          </w:tcPr>
          <w:p w14:paraId="50D8F569"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2E4B9915" w14:textId="77777777" w:rsidR="00236A5B" w:rsidRPr="00F7228F" w:rsidRDefault="00236A5B" w:rsidP="000B242D">
            <w:pPr>
              <w:spacing w:line="276" w:lineRule="auto"/>
              <w:rPr>
                <w:rFonts w:ascii="Arial" w:hAnsi="Arial" w:cs="Arial"/>
                <w:color w:val="FFC000"/>
              </w:rPr>
            </w:pPr>
            <w:r w:rsidRPr="00F7228F">
              <w:rPr>
                <w:rFonts w:ascii="Arial" w:hAnsi="Arial" w:cs="Arial"/>
                <w:color w:val="FFC000"/>
              </w:rPr>
              <w:t>1.283</w:t>
            </w:r>
          </w:p>
          <w:p w14:paraId="253C8F99" w14:textId="77777777" w:rsidR="00236A5B" w:rsidRPr="00F7228F" w:rsidRDefault="00236A5B" w:rsidP="000B242D">
            <w:pPr>
              <w:spacing w:line="276" w:lineRule="auto"/>
              <w:rPr>
                <w:rFonts w:ascii="Arial" w:hAnsi="Arial" w:cs="Arial"/>
                <w:color w:val="FFC000"/>
              </w:rPr>
            </w:pPr>
            <w:r w:rsidRPr="00F7228F">
              <w:rPr>
                <w:rFonts w:ascii="Arial" w:hAnsi="Arial" w:cs="Arial"/>
                <w:color w:val="FFC000"/>
              </w:rPr>
              <w:t>(0.967 – 1.703)</w:t>
            </w:r>
          </w:p>
        </w:tc>
        <w:tc>
          <w:tcPr>
            <w:tcW w:w="509" w:type="pct"/>
          </w:tcPr>
          <w:p w14:paraId="1F5DB9AD" w14:textId="77777777" w:rsidR="00236A5B" w:rsidRPr="00F7228F" w:rsidRDefault="00236A5B" w:rsidP="000B242D">
            <w:pPr>
              <w:spacing w:line="276" w:lineRule="auto"/>
              <w:rPr>
                <w:rFonts w:ascii="Arial" w:hAnsi="Arial" w:cs="Arial"/>
                <w:color w:val="FF0000"/>
              </w:rPr>
            </w:pPr>
            <w:r w:rsidRPr="00F7228F">
              <w:rPr>
                <w:rFonts w:ascii="Arial" w:hAnsi="Arial" w:cs="Arial"/>
              </w:rPr>
              <w:t>0.981 (0.848 – 1.135)</w:t>
            </w:r>
          </w:p>
        </w:tc>
        <w:tc>
          <w:tcPr>
            <w:tcW w:w="509" w:type="pct"/>
          </w:tcPr>
          <w:p w14:paraId="69A8D432" w14:textId="77777777" w:rsidR="00236A5B" w:rsidRPr="00F7228F" w:rsidRDefault="00236A5B" w:rsidP="000B242D">
            <w:pPr>
              <w:spacing w:line="276" w:lineRule="auto"/>
              <w:rPr>
                <w:rFonts w:ascii="Arial" w:hAnsi="Arial" w:cs="Arial"/>
                <w:color w:val="FF0000"/>
              </w:rPr>
            </w:pPr>
            <w:r w:rsidRPr="00F7228F">
              <w:rPr>
                <w:rFonts w:ascii="Arial" w:hAnsi="Arial" w:cs="Arial"/>
              </w:rPr>
              <w:t>1.057 (0.908 – 1.231)</w:t>
            </w:r>
          </w:p>
        </w:tc>
        <w:tc>
          <w:tcPr>
            <w:tcW w:w="509" w:type="pct"/>
          </w:tcPr>
          <w:p w14:paraId="0CE184C4" w14:textId="77777777" w:rsidR="00236A5B" w:rsidRPr="00F7228F" w:rsidRDefault="00236A5B" w:rsidP="000B242D">
            <w:pPr>
              <w:spacing w:line="276" w:lineRule="auto"/>
              <w:rPr>
                <w:rFonts w:ascii="Arial" w:hAnsi="Arial" w:cs="Arial"/>
              </w:rPr>
            </w:pPr>
            <w:r w:rsidRPr="00F7228F">
              <w:rPr>
                <w:rFonts w:ascii="Arial" w:hAnsi="Arial" w:cs="Arial"/>
              </w:rPr>
              <w:t>1.034 (0.882 – 1.213)</w:t>
            </w:r>
          </w:p>
        </w:tc>
        <w:tc>
          <w:tcPr>
            <w:tcW w:w="511" w:type="pct"/>
          </w:tcPr>
          <w:p w14:paraId="42AF1DAF" w14:textId="77777777" w:rsidR="00236A5B" w:rsidRPr="00F7228F" w:rsidRDefault="00236A5B" w:rsidP="000B242D">
            <w:pPr>
              <w:spacing w:line="276" w:lineRule="auto"/>
              <w:rPr>
                <w:rFonts w:ascii="Arial" w:hAnsi="Arial" w:cs="Arial"/>
                <w:color w:val="FF0000"/>
              </w:rPr>
            </w:pPr>
            <w:r w:rsidRPr="00F7228F">
              <w:rPr>
                <w:rFonts w:ascii="Arial" w:hAnsi="Arial" w:cs="Arial"/>
              </w:rPr>
              <w:t>1.044 (0.895 – 1.218)</w:t>
            </w:r>
          </w:p>
        </w:tc>
        <w:tc>
          <w:tcPr>
            <w:tcW w:w="463" w:type="pct"/>
          </w:tcPr>
          <w:p w14:paraId="53128B2E" w14:textId="77777777" w:rsidR="00236A5B" w:rsidRPr="00F7228F" w:rsidRDefault="00236A5B" w:rsidP="000B242D">
            <w:pPr>
              <w:spacing w:line="276" w:lineRule="auto"/>
              <w:rPr>
                <w:rFonts w:ascii="Arial" w:hAnsi="Arial" w:cs="Arial"/>
              </w:rPr>
            </w:pPr>
            <w:r w:rsidRPr="00F7228F">
              <w:rPr>
                <w:rFonts w:ascii="Arial" w:hAnsi="Arial" w:cs="Arial"/>
              </w:rPr>
              <w:t>1.052 (0.898 – 1.231)</w:t>
            </w:r>
          </w:p>
        </w:tc>
        <w:tc>
          <w:tcPr>
            <w:tcW w:w="501" w:type="pct"/>
          </w:tcPr>
          <w:p w14:paraId="09723DEE" w14:textId="77777777" w:rsidR="00236A5B" w:rsidRPr="00F7228F" w:rsidRDefault="00236A5B" w:rsidP="000B242D">
            <w:pPr>
              <w:spacing w:line="276" w:lineRule="auto"/>
              <w:rPr>
                <w:rFonts w:ascii="Arial" w:hAnsi="Arial" w:cs="Arial"/>
                <w:color w:val="FFC000"/>
              </w:rPr>
            </w:pPr>
            <w:r w:rsidRPr="00F7228F">
              <w:rPr>
                <w:rFonts w:ascii="Arial" w:hAnsi="Arial" w:cs="Arial"/>
              </w:rPr>
              <w:t>1.008 (0.845 – 1.203)</w:t>
            </w:r>
          </w:p>
        </w:tc>
        <w:tc>
          <w:tcPr>
            <w:tcW w:w="505" w:type="pct"/>
          </w:tcPr>
          <w:p w14:paraId="7EBE7B3F" w14:textId="77777777" w:rsidR="00236A5B" w:rsidRPr="00F7228F" w:rsidRDefault="00236A5B" w:rsidP="000B242D">
            <w:pPr>
              <w:spacing w:line="276" w:lineRule="auto"/>
              <w:rPr>
                <w:rFonts w:ascii="Arial" w:hAnsi="Arial" w:cs="Arial"/>
              </w:rPr>
            </w:pPr>
            <w:r w:rsidRPr="00F7228F">
              <w:rPr>
                <w:rFonts w:ascii="Arial" w:hAnsi="Arial" w:cs="Arial"/>
              </w:rPr>
              <w:t>1.076 (0.875 – 1.322)</w:t>
            </w:r>
          </w:p>
        </w:tc>
      </w:tr>
      <w:tr w:rsidR="00236A5B" w:rsidRPr="00F7228F" w14:paraId="4E02B816" w14:textId="77777777" w:rsidTr="00CB0BB6">
        <w:tc>
          <w:tcPr>
            <w:tcW w:w="459" w:type="pct"/>
            <w:vMerge/>
            <w:vAlign w:val="center"/>
          </w:tcPr>
          <w:p w14:paraId="2D332885" w14:textId="77777777" w:rsidR="00236A5B" w:rsidRPr="00F7228F" w:rsidRDefault="00236A5B" w:rsidP="000B242D">
            <w:pPr>
              <w:spacing w:line="276" w:lineRule="auto"/>
              <w:rPr>
                <w:rFonts w:ascii="Arial" w:hAnsi="Arial" w:cs="Arial"/>
              </w:rPr>
            </w:pPr>
          </w:p>
        </w:tc>
        <w:tc>
          <w:tcPr>
            <w:tcW w:w="525" w:type="pct"/>
          </w:tcPr>
          <w:p w14:paraId="1EA63E7A"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6AB77EB9" w14:textId="77777777" w:rsidR="00236A5B" w:rsidRPr="00F7228F" w:rsidRDefault="00236A5B" w:rsidP="000B242D">
            <w:pPr>
              <w:spacing w:line="276" w:lineRule="auto"/>
              <w:rPr>
                <w:rFonts w:ascii="Arial" w:hAnsi="Arial" w:cs="Arial"/>
                <w:color w:val="FFC000"/>
              </w:rPr>
            </w:pPr>
            <w:r w:rsidRPr="00F7228F">
              <w:rPr>
                <w:rFonts w:ascii="Arial" w:hAnsi="Arial" w:cs="Arial"/>
                <w:color w:val="FFC000"/>
              </w:rPr>
              <w:t>0.084</w:t>
            </w:r>
          </w:p>
        </w:tc>
        <w:tc>
          <w:tcPr>
            <w:tcW w:w="509" w:type="pct"/>
          </w:tcPr>
          <w:p w14:paraId="1C856616" w14:textId="77777777" w:rsidR="00236A5B" w:rsidRPr="00F7228F" w:rsidRDefault="00236A5B" w:rsidP="000B242D">
            <w:pPr>
              <w:spacing w:line="276" w:lineRule="auto"/>
              <w:rPr>
                <w:rFonts w:ascii="Arial" w:hAnsi="Arial" w:cs="Arial"/>
                <w:color w:val="FF0000"/>
              </w:rPr>
            </w:pPr>
            <w:r w:rsidRPr="00F7228F">
              <w:rPr>
                <w:rFonts w:ascii="Arial" w:hAnsi="Arial" w:cs="Arial"/>
              </w:rPr>
              <w:t>0.797</w:t>
            </w:r>
          </w:p>
        </w:tc>
        <w:tc>
          <w:tcPr>
            <w:tcW w:w="509" w:type="pct"/>
          </w:tcPr>
          <w:p w14:paraId="44AA1C87" w14:textId="77777777" w:rsidR="00236A5B" w:rsidRPr="00F7228F" w:rsidRDefault="00236A5B" w:rsidP="000B242D">
            <w:pPr>
              <w:spacing w:line="276" w:lineRule="auto"/>
              <w:rPr>
                <w:rFonts w:ascii="Arial" w:hAnsi="Arial" w:cs="Arial"/>
                <w:color w:val="FF0000"/>
              </w:rPr>
            </w:pPr>
            <w:r w:rsidRPr="00F7228F">
              <w:rPr>
                <w:rFonts w:ascii="Arial" w:hAnsi="Arial" w:cs="Arial"/>
              </w:rPr>
              <w:t>0.474</w:t>
            </w:r>
          </w:p>
        </w:tc>
        <w:tc>
          <w:tcPr>
            <w:tcW w:w="509" w:type="pct"/>
          </w:tcPr>
          <w:p w14:paraId="4D154C45" w14:textId="77777777" w:rsidR="00236A5B" w:rsidRPr="00F7228F" w:rsidRDefault="00236A5B" w:rsidP="000B242D">
            <w:pPr>
              <w:spacing w:line="276" w:lineRule="auto"/>
              <w:rPr>
                <w:rFonts w:ascii="Arial" w:hAnsi="Arial" w:cs="Arial"/>
              </w:rPr>
            </w:pPr>
            <w:r w:rsidRPr="00F7228F">
              <w:rPr>
                <w:rFonts w:ascii="Arial" w:hAnsi="Arial" w:cs="Arial"/>
              </w:rPr>
              <w:t>0.677</w:t>
            </w:r>
          </w:p>
        </w:tc>
        <w:tc>
          <w:tcPr>
            <w:tcW w:w="511" w:type="pct"/>
          </w:tcPr>
          <w:p w14:paraId="451BDC1E" w14:textId="77777777" w:rsidR="00236A5B" w:rsidRPr="00F7228F" w:rsidRDefault="00236A5B" w:rsidP="000B242D">
            <w:pPr>
              <w:spacing w:line="276" w:lineRule="auto"/>
              <w:rPr>
                <w:rFonts w:ascii="Arial" w:hAnsi="Arial" w:cs="Arial"/>
                <w:color w:val="FF0000"/>
              </w:rPr>
            </w:pPr>
            <w:r w:rsidRPr="00F7228F">
              <w:rPr>
                <w:rFonts w:ascii="Arial" w:hAnsi="Arial" w:cs="Arial"/>
              </w:rPr>
              <w:t>0.585</w:t>
            </w:r>
          </w:p>
        </w:tc>
        <w:tc>
          <w:tcPr>
            <w:tcW w:w="463" w:type="pct"/>
          </w:tcPr>
          <w:p w14:paraId="58D837B3" w14:textId="77777777" w:rsidR="00236A5B" w:rsidRPr="00F7228F" w:rsidRDefault="00236A5B" w:rsidP="000B242D">
            <w:pPr>
              <w:spacing w:line="276" w:lineRule="auto"/>
              <w:rPr>
                <w:rFonts w:ascii="Arial" w:hAnsi="Arial" w:cs="Arial"/>
              </w:rPr>
            </w:pPr>
            <w:r w:rsidRPr="00F7228F">
              <w:rPr>
                <w:rFonts w:ascii="Arial" w:hAnsi="Arial" w:cs="Arial"/>
              </w:rPr>
              <w:t>0.531</w:t>
            </w:r>
          </w:p>
        </w:tc>
        <w:tc>
          <w:tcPr>
            <w:tcW w:w="501" w:type="pct"/>
          </w:tcPr>
          <w:p w14:paraId="79DDAED5" w14:textId="77777777" w:rsidR="00236A5B" w:rsidRPr="00F7228F" w:rsidRDefault="00236A5B" w:rsidP="000B242D">
            <w:pPr>
              <w:spacing w:line="276" w:lineRule="auto"/>
              <w:rPr>
                <w:rFonts w:ascii="Arial" w:hAnsi="Arial" w:cs="Arial"/>
                <w:color w:val="FFC000"/>
              </w:rPr>
            </w:pPr>
            <w:r w:rsidRPr="00F7228F">
              <w:rPr>
                <w:rFonts w:ascii="Arial" w:hAnsi="Arial" w:cs="Arial"/>
              </w:rPr>
              <w:t>0.925</w:t>
            </w:r>
          </w:p>
        </w:tc>
        <w:tc>
          <w:tcPr>
            <w:tcW w:w="505" w:type="pct"/>
          </w:tcPr>
          <w:p w14:paraId="4889154B" w14:textId="77777777" w:rsidR="00236A5B" w:rsidRPr="00F7228F" w:rsidRDefault="00236A5B" w:rsidP="000B242D">
            <w:pPr>
              <w:spacing w:line="276" w:lineRule="auto"/>
              <w:rPr>
                <w:rFonts w:ascii="Arial" w:hAnsi="Arial" w:cs="Arial"/>
              </w:rPr>
            </w:pPr>
            <w:r w:rsidRPr="00F7228F">
              <w:rPr>
                <w:rFonts w:ascii="Arial" w:hAnsi="Arial" w:cs="Arial"/>
              </w:rPr>
              <w:t>0.488</w:t>
            </w:r>
          </w:p>
        </w:tc>
      </w:tr>
      <w:tr w:rsidR="00236A5B" w:rsidRPr="00F7228F" w14:paraId="54B38B8A" w14:textId="77777777" w:rsidTr="00CB0BB6">
        <w:tc>
          <w:tcPr>
            <w:tcW w:w="459" w:type="pct"/>
            <w:vMerge w:val="restart"/>
            <w:vAlign w:val="center"/>
          </w:tcPr>
          <w:p w14:paraId="595CF5AA" w14:textId="77777777" w:rsidR="00236A5B" w:rsidRPr="00F7228F" w:rsidRDefault="00236A5B" w:rsidP="000B242D">
            <w:pPr>
              <w:spacing w:line="276" w:lineRule="auto"/>
              <w:rPr>
                <w:rFonts w:ascii="Arial" w:hAnsi="Arial" w:cs="Arial"/>
              </w:rPr>
            </w:pPr>
            <w:r w:rsidRPr="00F7228F">
              <w:rPr>
                <w:rFonts w:ascii="Arial" w:hAnsi="Arial" w:cs="Arial"/>
              </w:rPr>
              <w:t xml:space="preserve">Plasma IFN-gamma </w:t>
            </w:r>
          </w:p>
        </w:tc>
        <w:tc>
          <w:tcPr>
            <w:tcW w:w="525" w:type="pct"/>
          </w:tcPr>
          <w:p w14:paraId="5E49542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3E2E0408" w14:textId="77777777" w:rsidR="00236A5B" w:rsidRPr="00F7228F" w:rsidRDefault="00236A5B" w:rsidP="000B242D">
            <w:pPr>
              <w:spacing w:line="276" w:lineRule="auto"/>
              <w:rPr>
                <w:rFonts w:ascii="Arial" w:hAnsi="Arial" w:cs="Arial"/>
              </w:rPr>
            </w:pPr>
            <w:r w:rsidRPr="00F7228F">
              <w:rPr>
                <w:rFonts w:ascii="Arial" w:hAnsi="Arial" w:cs="Arial"/>
              </w:rPr>
              <w:t>0.987</w:t>
            </w:r>
          </w:p>
          <w:p w14:paraId="065D72AA" w14:textId="77777777" w:rsidR="00236A5B" w:rsidRPr="00F7228F" w:rsidRDefault="00236A5B" w:rsidP="000B242D">
            <w:pPr>
              <w:spacing w:line="276" w:lineRule="auto"/>
              <w:rPr>
                <w:rFonts w:ascii="Arial" w:hAnsi="Arial" w:cs="Arial"/>
              </w:rPr>
            </w:pPr>
            <w:r w:rsidRPr="00F7228F">
              <w:rPr>
                <w:rFonts w:ascii="Arial" w:hAnsi="Arial" w:cs="Arial"/>
              </w:rPr>
              <w:t>(0.822 – 1.185)</w:t>
            </w:r>
          </w:p>
        </w:tc>
        <w:tc>
          <w:tcPr>
            <w:tcW w:w="509" w:type="pct"/>
          </w:tcPr>
          <w:p w14:paraId="4A04895F"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0.936</w:t>
            </w:r>
          </w:p>
          <w:p w14:paraId="2B16E265"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(0.878 – 0.999)</w:t>
            </w:r>
          </w:p>
        </w:tc>
        <w:tc>
          <w:tcPr>
            <w:tcW w:w="509" w:type="pct"/>
          </w:tcPr>
          <w:p w14:paraId="27F81136" w14:textId="77777777" w:rsidR="00236A5B" w:rsidRPr="00F7228F" w:rsidRDefault="00236A5B" w:rsidP="000B242D">
            <w:pPr>
              <w:spacing w:line="276" w:lineRule="auto"/>
              <w:rPr>
                <w:rFonts w:ascii="Arial" w:hAnsi="Arial" w:cs="Arial"/>
                <w:color w:val="FF0000"/>
              </w:rPr>
            </w:pPr>
            <w:r w:rsidRPr="00F7228F">
              <w:rPr>
                <w:rFonts w:ascii="Arial" w:hAnsi="Arial" w:cs="Arial"/>
              </w:rPr>
              <w:t>0.988 (0.930 – 1.050)</w:t>
            </w:r>
          </w:p>
        </w:tc>
        <w:tc>
          <w:tcPr>
            <w:tcW w:w="509" w:type="pct"/>
          </w:tcPr>
          <w:p w14:paraId="72B91A42" w14:textId="77777777" w:rsidR="00236A5B" w:rsidRPr="00F7228F" w:rsidRDefault="00236A5B" w:rsidP="000B242D">
            <w:pPr>
              <w:spacing w:line="276" w:lineRule="auto"/>
              <w:rPr>
                <w:rFonts w:ascii="Arial" w:hAnsi="Arial" w:cs="Arial"/>
              </w:rPr>
            </w:pPr>
            <w:r w:rsidRPr="00F7228F">
              <w:rPr>
                <w:rFonts w:ascii="Arial" w:hAnsi="Arial" w:cs="Arial"/>
              </w:rPr>
              <w:t>1.024</w:t>
            </w:r>
          </w:p>
          <w:p w14:paraId="4231476B" w14:textId="77777777" w:rsidR="00236A5B" w:rsidRPr="00F7228F" w:rsidRDefault="00236A5B" w:rsidP="000B242D">
            <w:pPr>
              <w:spacing w:line="276" w:lineRule="auto"/>
              <w:rPr>
                <w:rFonts w:ascii="Arial" w:hAnsi="Arial" w:cs="Arial"/>
                <w:color w:val="FF0000"/>
              </w:rPr>
            </w:pPr>
            <w:r w:rsidRPr="00F7228F">
              <w:rPr>
                <w:rFonts w:ascii="Arial" w:hAnsi="Arial" w:cs="Arial"/>
              </w:rPr>
              <w:t>(0.957 – 1.096)</w:t>
            </w:r>
          </w:p>
        </w:tc>
        <w:tc>
          <w:tcPr>
            <w:tcW w:w="511" w:type="pct"/>
          </w:tcPr>
          <w:p w14:paraId="778DAE02" w14:textId="77777777" w:rsidR="00236A5B" w:rsidRPr="00F7228F" w:rsidRDefault="00236A5B" w:rsidP="000B242D">
            <w:pPr>
              <w:spacing w:line="276" w:lineRule="auto"/>
              <w:rPr>
                <w:rFonts w:ascii="Arial" w:hAnsi="Arial" w:cs="Arial"/>
                <w:color w:val="FFC000"/>
              </w:rPr>
            </w:pPr>
            <w:r w:rsidRPr="00F7228F">
              <w:rPr>
                <w:rFonts w:ascii="Arial" w:hAnsi="Arial" w:cs="Arial"/>
              </w:rPr>
              <w:t>0.989 (0.930 – 1.051)</w:t>
            </w:r>
          </w:p>
        </w:tc>
        <w:tc>
          <w:tcPr>
            <w:tcW w:w="463" w:type="pct"/>
          </w:tcPr>
          <w:p w14:paraId="11597046" w14:textId="77777777" w:rsidR="00236A5B" w:rsidRPr="00F7228F" w:rsidRDefault="00236A5B" w:rsidP="000B242D">
            <w:pPr>
              <w:spacing w:line="276" w:lineRule="auto"/>
              <w:rPr>
                <w:rFonts w:ascii="Arial" w:hAnsi="Arial" w:cs="Arial"/>
                <w:color w:val="FF0000"/>
              </w:rPr>
            </w:pPr>
            <w:r w:rsidRPr="00F7228F">
              <w:rPr>
                <w:rFonts w:ascii="Arial" w:hAnsi="Arial" w:cs="Arial"/>
              </w:rPr>
              <w:t>1.014 (0.954 – 1.078)</w:t>
            </w:r>
          </w:p>
        </w:tc>
        <w:tc>
          <w:tcPr>
            <w:tcW w:w="501" w:type="pct"/>
          </w:tcPr>
          <w:p w14:paraId="2F34F67C" w14:textId="77777777" w:rsidR="00236A5B" w:rsidRPr="00F7228F" w:rsidRDefault="00236A5B" w:rsidP="000B242D">
            <w:pPr>
              <w:spacing w:line="276" w:lineRule="auto"/>
              <w:rPr>
                <w:rFonts w:ascii="Arial" w:hAnsi="Arial" w:cs="Arial"/>
              </w:rPr>
            </w:pPr>
            <w:r w:rsidRPr="00F7228F">
              <w:rPr>
                <w:rFonts w:ascii="Arial" w:hAnsi="Arial" w:cs="Arial"/>
              </w:rPr>
              <w:t>1.043 (0.974 – 1.116)</w:t>
            </w:r>
          </w:p>
        </w:tc>
        <w:tc>
          <w:tcPr>
            <w:tcW w:w="505" w:type="pct"/>
          </w:tcPr>
          <w:p w14:paraId="1DE0D0B6" w14:textId="77777777" w:rsidR="00236A5B" w:rsidRPr="00F7228F" w:rsidRDefault="00236A5B" w:rsidP="000B242D">
            <w:pPr>
              <w:spacing w:line="276" w:lineRule="auto"/>
              <w:rPr>
                <w:rFonts w:ascii="Arial" w:hAnsi="Arial" w:cs="Arial"/>
              </w:rPr>
            </w:pPr>
            <w:r w:rsidRPr="00F7228F">
              <w:rPr>
                <w:rFonts w:ascii="Arial" w:hAnsi="Arial" w:cs="Arial"/>
              </w:rPr>
              <w:t>1.029 (0.962 – 1.099)</w:t>
            </w:r>
          </w:p>
        </w:tc>
      </w:tr>
      <w:tr w:rsidR="00236A5B" w:rsidRPr="00F7228F" w14:paraId="771A4ADD" w14:textId="77777777" w:rsidTr="00CB0BB6">
        <w:tc>
          <w:tcPr>
            <w:tcW w:w="459" w:type="pct"/>
            <w:vMerge/>
            <w:vAlign w:val="center"/>
          </w:tcPr>
          <w:p w14:paraId="06FD1A88" w14:textId="77777777" w:rsidR="00236A5B" w:rsidRPr="00F7228F" w:rsidRDefault="00236A5B" w:rsidP="000B242D">
            <w:pPr>
              <w:spacing w:line="276" w:lineRule="auto"/>
              <w:rPr>
                <w:rFonts w:ascii="Arial" w:hAnsi="Arial" w:cs="Arial"/>
              </w:rPr>
            </w:pPr>
          </w:p>
        </w:tc>
        <w:tc>
          <w:tcPr>
            <w:tcW w:w="525" w:type="pct"/>
          </w:tcPr>
          <w:p w14:paraId="36EF8E60"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1F35D0D8" w14:textId="77777777" w:rsidR="00236A5B" w:rsidRPr="00F7228F" w:rsidRDefault="00236A5B" w:rsidP="000B242D">
            <w:pPr>
              <w:spacing w:line="276" w:lineRule="auto"/>
              <w:rPr>
                <w:rFonts w:ascii="Arial" w:hAnsi="Arial" w:cs="Arial"/>
              </w:rPr>
            </w:pPr>
            <w:r w:rsidRPr="00F7228F">
              <w:rPr>
                <w:rFonts w:ascii="Arial" w:hAnsi="Arial" w:cs="Arial"/>
              </w:rPr>
              <w:t>0.886</w:t>
            </w:r>
          </w:p>
        </w:tc>
        <w:tc>
          <w:tcPr>
            <w:tcW w:w="509" w:type="pct"/>
          </w:tcPr>
          <w:p w14:paraId="6E99AB62"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0.046</w:t>
            </w:r>
          </w:p>
        </w:tc>
        <w:tc>
          <w:tcPr>
            <w:tcW w:w="509" w:type="pct"/>
          </w:tcPr>
          <w:p w14:paraId="1850C24B" w14:textId="77777777" w:rsidR="00236A5B" w:rsidRPr="00F7228F" w:rsidRDefault="00236A5B" w:rsidP="000B242D">
            <w:pPr>
              <w:spacing w:line="276" w:lineRule="auto"/>
              <w:rPr>
                <w:rFonts w:ascii="Arial" w:hAnsi="Arial" w:cs="Arial"/>
                <w:color w:val="FF0000"/>
              </w:rPr>
            </w:pPr>
            <w:r w:rsidRPr="00F7228F">
              <w:rPr>
                <w:rFonts w:ascii="Arial" w:hAnsi="Arial" w:cs="Arial"/>
              </w:rPr>
              <w:t>0.698</w:t>
            </w:r>
          </w:p>
        </w:tc>
        <w:tc>
          <w:tcPr>
            <w:tcW w:w="509" w:type="pct"/>
          </w:tcPr>
          <w:p w14:paraId="6D3A7C1A" w14:textId="77777777" w:rsidR="00236A5B" w:rsidRPr="00F7228F" w:rsidRDefault="00236A5B" w:rsidP="000B242D">
            <w:pPr>
              <w:spacing w:line="276" w:lineRule="auto"/>
              <w:rPr>
                <w:rFonts w:ascii="Arial" w:hAnsi="Arial" w:cs="Arial"/>
                <w:color w:val="FF0000"/>
              </w:rPr>
            </w:pPr>
            <w:r w:rsidRPr="00F7228F">
              <w:rPr>
                <w:rFonts w:ascii="Arial" w:hAnsi="Arial" w:cs="Arial"/>
              </w:rPr>
              <w:t>0.488</w:t>
            </w:r>
          </w:p>
        </w:tc>
        <w:tc>
          <w:tcPr>
            <w:tcW w:w="511" w:type="pct"/>
          </w:tcPr>
          <w:p w14:paraId="77B7EEDF" w14:textId="77777777" w:rsidR="00236A5B" w:rsidRPr="00F7228F" w:rsidRDefault="00236A5B" w:rsidP="000B242D">
            <w:pPr>
              <w:spacing w:line="276" w:lineRule="auto"/>
              <w:rPr>
                <w:rFonts w:ascii="Arial" w:hAnsi="Arial" w:cs="Arial"/>
                <w:color w:val="FFC000"/>
              </w:rPr>
            </w:pPr>
            <w:r w:rsidRPr="00F7228F">
              <w:rPr>
                <w:rFonts w:ascii="Arial" w:hAnsi="Arial" w:cs="Arial"/>
              </w:rPr>
              <w:t>0.719</w:t>
            </w:r>
          </w:p>
        </w:tc>
        <w:tc>
          <w:tcPr>
            <w:tcW w:w="463" w:type="pct"/>
          </w:tcPr>
          <w:p w14:paraId="6653E3E9" w14:textId="77777777" w:rsidR="00236A5B" w:rsidRPr="00F7228F" w:rsidRDefault="00236A5B" w:rsidP="000B242D">
            <w:pPr>
              <w:spacing w:line="276" w:lineRule="auto"/>
              <w:rPr>
                <w:rFonts w:ascii="Arial" w:hAnsi="Arial" w:cs="Arial"/>
                <w:color w:val="FF0000"/>
              </w:rPr>
            </w:pPr>
            <w:r w:rsidRPr="00F7228F">
              <w:rPr>
                <w:rFonts w:ascii="Arial" w:hAnsi="Arial" w:cs="Arial"/>
              </w:rPr>
              <w:t>0.650</w:t>
            </w:r>
          </w:p>
        </w:tc>
        <w:tc>
          <w:tcPr>
            <w:tcW w:w="501" w:type="pct"/>
          </w:tcPr>
          <w:p w14:paraId="3B5B4812" w14:textId="77777777" w:rsidR="00236A5B" w:rsidRPr="00F7228F" w:rsidRDefault="00236A5B" w:rsidP="000B242D">
            <w:pPr>
              <w:spacing w:line="276" w:lineRule="auto"/>
              <w:rPr>
                <w:rFonts w:ascii="Arial" w:hAnsi="Arial" w:cs="Arial"/>
              </w:rPr>
            </w:pPr>
            <w:r w:rsidRPr="00F7228F">
              <w:rPr>
                <w:rFonts w:ascii="Arial" w:hAnsi="Arial" w:cs="Arial"/>
              </w:rPr>
              <w:t>0.228</w:t>
            </w:r>
          </w:p>
        </w:tc>
        <w:tc>
          <w:tcPr>
            <w:tcW w:w="505" w:type="pct"/>
          </w:tcPr>
          <w:p w14:paraId="37E8BFFE" w14:textId="77777777" w:rsidR="00236A5B" w:rsidRPr="00F7228F" w:rsidRDefault="00236A5B" w:rsidP="000B242D">
            <w:pPr>
              <w:spacing w:line="276" w:lineRule="auto"/>
              <w:rPr>
                <w:rFonts w:ascii="Arial" w:hAnsi="Arial" w:cs="Arial"/>
              </w:rPr>
            </w:pPr>
            <w:r w:rsidRPr="00F7228F">
              <w:rPr>
                <w:rFonts w:ascii="Arial" w:hAnsi="Arial" w:cs="Arial"/>
              </w:rPr>
              <w:t>0.406</w:t>
            </w:r>
          </w:p>
        </w:tc>
      </w:tr>
      <w:tr w:rsidR="00236A5B" w:rsidRPr="00F7228F" w14:paraId="392E9955" w14:textId="77777777" w:rsidTr="00CB0BB6">
        <w:tc>
          <w:tcPr>
            <w:tcW w:w="459" w:type="pct"/>
            <w:vMerge w:val="restart"/>
            <w:vAlign w:val="center"/>
          </w:tcPr>
          <w:p w14:paraId="46B6E716" w14:textId="77777777" w:rsidR="00236A5B" w:rsidRPr="00F7228F" w:rsidRDefault="00236A5B" w:rsidP="000B242D">
            <w:pPr>
              <w:spacing w:line="276" w:lineRule="auto"/>
              <w:rPr>
                <w:rFonts w:ascii="Arial" w:hAnsi="Arial" w:cs="Arial"/>
              </w:rPr>
            </w:pPr>
            <w:r w:rsidRPr="00F7228F">
              <w:rPr>
                <w:rFonts w:ascii="Arial" w:hAnsi="Arial" w:cs="Arial"/>
              </w:rPr>
              <w:t>Plasma TNF-alpha</w:t>
            </w:r>
          </w:p>
        </w:tc>
        <w:tc>
          <w:tcPr>
            <w:tcW w:w="525" w:type="pct"/>
          </w:tcPr>
          <w:p w14:paraId="71CC18EC"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509" w:type="pct"/>
          </w:tcPr>
          <w:p w14:paraId="3DE4FF16" w14:textId="77777777" w:rsidR="00236A5B" w:rsidRPr="00F7228F" w:rsidRDefault="00236A5B" w:rsidP="000B242D">
            <w:pPr>
              <w:spacing w:line="276" w:lineRule="auto"/>
              <w:rPr>
                <w:rFonts w:ascii="Arial" w:hAnsi="Arial" w:cs="Arial"/>
              </w:rPr>
            </w:pPr>
            <w:r w:rsidRPr="00F7228F">
              <w:rPr>
                <w:rFonts w:ascii="Arial" w:hAnsi="Arial" w:cs="Arial"/>
              </w:rPr>
              <w:t>1.911</w:t>
            </w:r>
          </w:p>
          <w:p w14:paraId="151AB175" w14:textId="77777777" w:rsidR="00236A5B" w:rsidRPr="00F7228F" w:rsidRDefault="00236A5B" w:rsidP="000B242D">
            <w:pPr>
              <w:spacing w:line="276" w:lineRule="auto"/>
              <w:rPr>
                <w:rFonts w:ascii="Arial" w:hAnsi="Arial" w:cs="Arial"/>
                <w:color w:val="FF0000"/>
              </w:rPr>
            </w:pPr>
            <w:r w:rsidRPr="00F7228F">
              <w:rPr>
                <w:rFonts w:ascii="Arial" w:hAnsi="Arial" w:cs="Arial"/>
              </w:rPr>
              <w:t>(0.366 – 9.977)</w:t>
            </w:r>
          </w:p>
        </w:tc>
        <w:tc>
          <w:tcPr>
            <w:tcW w:w="509" w:type="pct"/>
          </w:tcPr>
          <w:p w14:paraId="3C168D67" w14:textId="77777777" w:rsidR="00236A5B" w:rsidRPr="00F7228F" w:rsidRDefault="00236A5B" w:rsidP="000B242D">
            <w:pPr>
              <w:spacing w:line="276" w:lineRule="auto"/>
              <w:rPr>
                <w:rFonts w:ascii="Arial" w:hAnsi="Arial" w:cs="Arial"/>
              </w:rPr>
            </w:pPr>
            <w:r w:rsidRPr="00F7228F">
              <w:rPr>
                <w:rFonts w:ascii="Arial" w:hAnsi="Arial" w:cs="Arial"/>
                <w:color w:val="FFC000"/>
              </w:rPr>
              <w:t>0.483 (0.218 – 1.071)</w:t>
            </w:r>
          </w:p>
        </w:tc>
        <w:tc>
          <w:tcPr>
            <w:tcW w:w="509" w:type="pct"/>
          </w:tcPr>
          <w:p w14:paraId="483B6F3A" w14:textId="77777777" w:rsidR="00236A5B" w:rsidRPr="00F7228F" w:rsidRDefault="00236A5B" w:rsidP="000B242D">
            <w:pPr>
              <w:spacing w:line="276" w:lineRule="auto"/>
              <w:rPr>
                <w:rFonts w:ascii="Arial" w:hAnsi="Arial" w:cs="Arial"/>
                <w:color w:val="FFC000"/>
              </w:rPr>
            </w:pPr>
            <w:r w:rsidRPr="00F7228F">
              <w:rPr>
                <w:rFonts w:ascii="Arial" w:hAnsi="Arial" w:cs="Arial"/>
              </w:rPr>
              <w:t>0.653 (0.300 – 1.419)</w:t>
            </w:r>
          </w:p>
        </w:tc>
        <w:tc>
          <w:tcPr>
            <w:tcW w:w="509" w:type="pct"/>
          </w:tcPr>
          <w:p w14:paraId="2B26D080" w14:textId="77777777" w:rsidR="00236A5B" w:rsidRPr="00F7228F" w:rsidRDefault="00236A5B" w:rsidP="000B242D">
            <w:pPr>
              <w:spacing w:line="276" w:lineRule="auto"/>
              <w:rPr>
                <w:rFonts w:ascii="Arial" w:hAnsi="Arial" w:cs="Arial"/>
                <w:color w:val="FF0000"/>
              </w:rPr>
            </w:pPr>
            <w:r w:rsidRPr="00F7228F">
              <w:rPr>
                <w:rFonts w:ascii="Arial" w:hAnsi="Arial" w:cs="Arial"/>
              </w:rPr>
              <w:t>0.744 (0.328 – 1.690)</w:t>
            </w:r>
          </w:p>
        </w:tc>
        <w:tc>
          <w:tcPr>
            <w:tcW w:w="511" w:type="pct"/>
          </w:tcPr>
          <w:p w14:paraId="0B197C78" w14:textId="77777777" w:rsidR="00236A5B" w:rsidRPr="00F7228F" w:rsidRDefault="00236A5B" w:rsidP="000B242D">
            <w:pPr>
              <w:spacing w:line="276" w:lineRule="auto"/>
              <w:rPr>
                <w:rFonts w:ascii="Arial" w:hAnsi="Arial" w:cs="Arial"/>
              </w:rPr>
            </w:pPr>
            <w:r w:rsidRPr="00F7228F">
              <w:rPr>
                <w:rFonts w:ascii="Arial" w:hAnsi="Arial" w:cs="Arial"/>
              </w:rPr>
              <w:t>1.046 (0.481 – 2.276)</w:t>
            </w:r>
          </w:p>
        </w:tc>
        <w:tc>
          <w:tcPr>
            <w:tcW w:w="463" w:type="pct"/>
          </w:tcPr>
          <w:p w14:paraId="6BC8C362" w14:textId="77777777" w:rsidR="00236A5B" w:rsidRPr="00F7228F" w:rsidRDefault="00236A5B" w:rsidP="000B242D">
            <w:pPr>
              <w:spacing w:line="276" w:lineRule="auto"/>
              <w:rPr>
                <w:rFonts w:ascii="Arial" w:hAnsi="Arial" w:cs="Arial"/>
                <w:color w:val="FFC000"/>
              </w:rPr>
            </w:pPr>
            <w:r w:rsidRPr="00F7228F">
              <w:rPr>
                <w:rFonts w:ascii="Arial" w:hAnsi="Arial" w:cs="Arial"/>
              </w:rPr>
              <w:t>0.713 (0.324 – 1.571)</w:t>
            </w:r>
          </w:p>
        </w:tc>
        <w:tc>
          <w:tcPr>
            <w:tcW w:w="501" w:type="pct"/>
          </w:tcPr>
          <w:p w14:paraId="0FFC84DC" w14:textId="77777777" w:rsidR="00236A5B" w:rsidRPr="00F7228F" w:rsidRDefault="00236A5B" w:rsidP="000B242D">
            <w:pPr>
              <w:spacing w:line="276" w:lineRule="auto"/>
              <w:rPr>
                <w:rFonts w:ascii="Arial" w:hAnsi="Arial" w:cs="Arial"/>
              </w:rPr>
            </w:pPr>
            <w:r w:rsidRPr="00F7228F">
              <w:rPr>
                <w:rFonts w:ascii="Arial" w:hAnsi="Arial" w:cs="Arial"/>
              </w:rPr>
              <w:t>0.836 (0.362 – 1.931)</w:t>
            </w:r>
          </w:p>
        </w:tc>
        <w:tc>
          <w:tcPr>
            <w:tcW w:w="505" w:type="pct"/>
          </w:tcPr>
          <w:p w14:paraId="6581A1F1" w14:textId="77777777" w:rsidR="00236A5B" w:rsidRPr="00F7228F" w:rsidRDefault="00236A5B" w:rsidP="000B242D">
            <w:pPr>
              <w:spacing w:line="276" w:lineRule="auto"/>
              <w:rPr>
                <w:rFonts w:ascii="Arial" w:hAnsi="Arial" w:cs="Arial"/>
              </w:rPr>
            </w:pPr>
            <w:r w:rsidRPr="00F7228F">
              <w:rPr>
                <w:rFonts w:ascii="Arial" w:hAnsi="Arial" w:cs="Arial"/>
              </w:rPr>
              <w:t>0.687 (0.301 – 1.569)</w:t>
            </w:r>
          </w:p>
        </w:tc>
      </w:tr>
      <w:tr w:rsidR="00236A5B" w:rsidRPr="00F7228F" w14:paraId="6AC7AB37" w14:textId="77777777" w:rsidTr="00CB0BB6">
        <w:tc>
          <w:tcPr>
            <w:tcW w:w="459" w:type="pct"/>
            <w:vMerge/>
            <w:vAlign w:val="center"/>
          </w:tcPr>
          <w:p w14:paraId="4BBD123E" w14:textId="77777777" w:rsidR="00236A5B" w:rsidRPr="00F7228F" w:rsidRDefault="00236A5B" w:rsidP="000B242D">
            <w:pPr>
              <w:spacing w:line="276" w:lineRule="auto"/>
              <w:rPr>
                <w:rFonts w:ascii="Arial" w:hAnsi="Arial" w:cs="Arial"/>
              </w:rPr>
            </w:pPr>
          </w:p>
        </w:tc>
        <w:tc>
          <w:tcPr>
            <w:tcW w:w="525" w:type="pct"/>
          </w:tcPr>
          <w:p w14:paraId="2F71AF7D"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509" w:type="pct"/>
          </w:tcPr>
          <w:p w14:paraId="37661585" w14:textId="77777777" w:rsidR="00236A5B" w:rsidRPr="00F7228F" w:rsidRDefault="00236A5B" w:rsidP="000B242D">
            <w:pPr>
              <w:spacing w:line="276" w:lineRule="auto"/>
              <w:rPr>
                <w:rFonts w:ascii="Arial" w:hAnsi="Arial" w:cs="Arial"/>
                <w:color w:val="FF0000"/>
              </w:rPr>
            </w:pPr>
            <w:r w:rsidRPr="00F7228F">
              <w:rPr>
                <w:rFonts w:ascii="Arial" w:hAnsi="Arial" w:cs="Arial"/>
              </w:rPr>
              <w:t>0.443</w:t>
            </w:r>
          </w:p>
        </w:tc>
        <w:tc>
          <w:tcPr>
            <w:tcW w:w="509" w:type="pct"/>
          </w:tcPr>
          <w:p w14:paraId="62545140" w14:textId="77777777" w:rsidR="00236A5B" w:rsidRPr="00F7228F" w:rsidRDefault="00236A5B" w:rsidP="000B242D">
            <w:pPr>
              <w:spacing w:line="276" w:lineRule="auto"/>
              <w:rPr>
                <w:rFonts w:ascii="Arial" w:hAnsi="Arial" w:cs="Arial"/>
              </w:rPr>
            </w:pPr>
            <w:r w:rsidRPr="00F7228F">
              <w:rPr>
                <w:rFonts w:ascii="Arial" w:hAnsi="Arial" w:cs="Arial"/>
                <w:color w:val="FFC000"/>
              </w:rPr>
              <w:t>0.073</w:t>
            </w:r>
          </w:p>
        </w:tc>
        <w:tc>
          <w:tcPr>
            <w:tcW w:w="509" w:type="pct"/>
          </w:tcPr>
          <w:p w14:paraId="57BDFE75" w14:textId="77777777" w:rsidR="00236A5B" w:rsidRPr="00F7228F" w:rsidRDefault="00236A5B" w:rsidP="000B242D">
            <w:pPr>
              <w:spacing w:line="276" w:lineRule="auto"/>
              <w:rPr>
                <w:rFonts w:ascii="Arial" w:hAnsi="Arial" w:cs="Arial"/>
                <w:color w:val="FFC000"/>
              </w:rPr>
            </w:pPr>
            <w:r w:rsidRPr="00F7228F">
              <w:rPr>
                <w:rFonts w:ascii="Arial" w:hAnsi="Arial" w:cs="Arial"/>
              </w:rPr>
              <w:t>0.282</w:t>
            </w:r>
          </w:p>
        </w:tc>
        <w:tc>
          <w:tcPr>
            <w:tcW w:w="509" w:type="pct"/>
          </w:tcPr>
          <w:p w14:paraId="2ED7B229" w14:textId="77777777" w:rsidR="00236A5B" w:rsidRPr="00F7228F" w:rsidRDefault="00236A5B" w:rsidP="000B242D">
            <w:pPr>
              <w:spacing w:line="276" w:lineRule="auto"/>
              <w:rPr>
                <w:rFonts w:ascii="Arial" w:hAnsi="Arial" w:cs="Arial"/>
                <w:color w:val="FF0000"/>
              </w:rPr>
            </w:pPr>
            <w:r w:rsidRPr="00F7228F">
              <w:rPr>
                <w:rFonts w:ascii="Arial" w:hAnsi="Arial" w:cs="Arial"/>
              </w:rPr>
              <w:t>0.480</w:t>
            </w:r>
          </w:p>
        </w:tc>
        <w:tc>
          <w:tcPr>
            <w:tcW w:w="511" w:type="pct"/>
          </w:tcPr>
          <w:p w14:paraId="23DA98B3" w14:textId="77777777" w:rsidR="00236A5B" w:rsidRPr="00F7228F" w:rsidRDefault="00236A5B" w:rsidP="000B242D">
            <w:pPr>
              <w:spacing w:line="276" w:lineRule="auto"/>
              <w:rPr>
                <w:rFonts w:ascii="Arial" w:hAnsi="Arial" w:cs="Arial"/>
              </w:rPr>
            </w:pPr>
            <w:r w:rsidRPr="00F7228F">
              <w:rPr>
                <w:rFonts w:ascii="Arial" w:hAnsi="Arial" w:cs="Arial"/>
              </w:rPr>
              <w:t>0.910</w:t>
            </w:r>
          </w:p>
        </w:tc>
        <w:tc>
          <w:tcPr>
            <w:tcW w:w="463" w:type="pct"/>
          </w:tcPr>
          <w:p w14:paraId="1420E1A6" w14:textId="77777777" w:rsidR="00236A5B" w:rsidRPr="00F7228F" w:rsidRDefault="00236A5B" w:rsidP="000B242D">
            <w:pPr>
              <w:spacing w:line="276" w:lineRule="auto"/>
              <w:rPr>
                <w:rFonts w:ascii="Arial" w:hAnsi="Arial" w:cs="Arial"/>
                <w:color w:val="FFC000"/>
              </w:rPr>
            </w:pPr>
            <w:r w:rsidRPr="00F7228F">
              <w:rPr>
                <w:rFonts w:ascii="Arial" w:hAnsi="Arial" w:cs="Arial"/>
              </w:rPr>
              <w:t>0.402</w:t>
            </w:r>
          </w:p>
        </w:tc>
        <w:tc>
          <w:tcPr>
            <w:tcW w:w="501" w:type="pct"/>
          </w:tcPr>
          <w:p w14:paraId="4C7D4FE1" w14:textId="77777777" w:rsidR="00236A5B" w:rsidRPr="00F7228F" w:rsidRDefault="00236A5B" w:rsidP="000B242D">
            <w:pPr>
              <w:spacing w:line="276" w:lineRule="auto"/>
              <w:rPr>
                <w:rFonts w:ascii="Arial" w:hAnsi="Arial" w:cs="Arial"/>
              </w:rPr>
            </w:pPr>
            <w:r w:rsidRPr="00F7228F">
              <w:rPr>
                <w:rFonts w:ascii="Arial" w:hAnsi="Arial" w:cs="Arial"/>
              </w:rPr>
              <w:t>0.675</w:t>
            </w:r>
          </w:p>
        </w:tc>
        <w:tc>
          <w:tcPr>
            <w:tcW w:w="505" w:type="pct"/>
          </w:tcPr>
          <w:p w14:paraId="7E6E5BE0" w14:textId="77777777" w:rsidR="00236A5B" w:rsidRPr="00F7228F" w:rsidRDefault="00236A5B" w:rsidP="000B242D">
            <w:pPr>
              <w:spacing w:line="276" w:lineRule="auto"/>
              <w:rPr>
                <w:rFonts w:ascii="Arial" w:hAnsi="Arial" w:cs="Arial"/>
              </w:rPr>
            </w:pPr>
            <w:r w:rsidRPr="00F7228F">
              <w:rPr>
                <w:rFonts w:ascii="Arial" w:hAnsi="Arial" w:cs="Arial"/>
              </w:rPr>
              <w:t>0.373</w:t>
            </w:r>
          </w:p>
        </w:tc>
      </w:tr>
    </w:tbl>
    <w:p w14:paraId="09004D27" w14:textId="77777777" w:rsidR="00236A5B" w:rsidRPr="00F7228F" w:rsidRDefault="00236A5B" w:rsidP="000B242D">
      <w:pPr>
        <w:spacing w:after="0" w:line="276" w:lineRule="auto"/>
        <w:rPr>
          <w:rFonts w:ascii="Arial" w:hAnsi="Arial" w:cs="Arial"/>
          <w:b/>
          <w:bCs/>
        </w:rPr>
        <w:sectPr w:rsidR="00236A5B" w:rsidRPr="00F7228F" w:rsidSect="00CC00D1">
          <w:pgSz w:w="16838" w:h="11906" w:orient="landscape"/>
          <w:pgMar w:top="1440" w:right="1440" w:bottom="1440" w:left="1440" w:header="708" w:footer="708" w:gutter="0"/>
          <w:cols w:space="708"/>
          <w:docGrid w:linePitch="360"/>
        </w:sectPr>
      </w:pPr>
    </w:p>
    <w:p w14:paraId="6B9C817F" w14:textId="77777777" w:rsidR="00236A5B" w:rsidRPr="00F7228F" w:rsidRDefault="00236A5B" w:rsidP="000B242D">
      <w:pPr>
        <w:spacing w:after="0" w:line="276" w:lineRule="auto"/>
        <w:rPr>
          <w:rFonts w:ascii="Arial" w:hAnsi="Arial" w:cs="Arial"/>
        </w:rPr>
      </w:pPr>
      <w:r w:rsidRPr="00F7228F">
        <w:rPr>
          <w:rFonts w:ascii="Arial" w:hAnsi="Arial" w:cs="Arial"/>
          <w:b/>
          <w:bCs/>
        </w:rPr>
        <w:lastRenderedPageBreak/>
        <w:t xml:space="preserve">Supplementary Figure 1 </w:t>
      </w:r>
      <w:r w:rsidRPr="00F7228F">
        <w:rPr>
          <w:rFonts w:ascii="Arial" w:hAnsi="Arial" w:cs="Arial"/>
        </w:rPr>
        <w:t>– Association of cytokines in the (A) cerebrospinal fluid (CSF) and (B) plasma of patients with subarachnoid haemorrhage with death, delayed cerebral ischaemia (DCI), modified Rankin Scale (</w:t>
      </w:r>
      <w:proofErr w:type="spellStart"/>
      <w:r w:rsidRPr="00F7228F">
        <w:rPr>
          <w:rFonts w:ascii="Arial" w:hAnsi="Arial" w:cs="Arial"/>
        </w:rPr>
        <w:t>mRS</w:t>
      </w:r>
      <w:proofErr w:type="spellEnd"/>
      <w:r w:rsidRPr="00F7228F">
        <w:rPr>
          <w:rFonts w:ascii="Arial" w:hAnsi="Arial" w:cs="Arial"/>
        </w:rPr>
        <w:t>), and SAH Outcome Tool (SAHOT) variables after adjusting for the effects of cytokines within the same compartment with p&lt;0.1 on univariable analysis. White &gt; 0.1; 0.1 &gt; Purple &gt; 0.05; Black &lt; 0.05.</w:t>
      </w:r>
    </w:p>
    <w:p w14:paraId="6E20C50B" w14:textId="77777777" w:rsidR="00236A5B" w:rsidRPr="00F7228F" w:rsidRDefault="00236A5B" w:rsidP="000B242D">
      <w:pPr>
        <w:spacing w:after="0" w:line="276" w:lineRule="auto"/>
        <w:rPr>
          <w:rFonts w:ascii="Arial" w:hAnsi="Arial" w:cs="Arial"/>
          <w:b/>
          <w:bCs/>
        </w:rPr>
      </w:pPr>
      <w:r w:rsidRPr="00F7228F">
        <w:rPr>
          <w:rFonts w:ascii="Arial" w:hAnsi="Arial" w:cs="Arial"/>
          <w:b/>
          <w:bCs/>
          <w:noProof/>
          <w14:ligatures w14:val="standardContextual"/>
        </w:rPr>
        <w:object w:dxaOrig="16006" w:dyaOrig="12367" w14:anchorId="21BB72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689pt;height:387.65pt;mso-width-percent:0;mso-height-percent:0;mso-width-percent:0;mso-height-percent:0" o:ole="" filled="t">
            <v:imagedata r:id="rId8" o:title=""/>
          </v:shape>
          <o:OLEObject Type="Embed" ProgID="Prism10.Document" ShapeID="_x0000_i1025" DrawAspect="Content" ObjectID="_1801972776" r:id="rId9"/>
        </w:object>
      </w:r>
    </w:p>
    <w:p w14:paraId="7A342403" w14:textId="77777777" w:rsidR="00236A5B" w:rsidRPr="00F7228F" w:rsidRDefault="00236A5B" w:rsidP="000B242D">
      <w:pPr>
        <w:spacing w:after="0" w:line="276" w:lineRule="auto"/>
        <w:rPr>
          <w:rFonts w:ascii="Arial" w:hAnsi="Arial" w:cs="Arial"/>
          <w:b/>
          <w:bCs/>
        </w:rPr>
        <w:sectPr w:rsidR="00236A5B" w:rsidRPr="00F7228F" w:rsidSect="00CC00D1">
          <w:pgSz w:w="16838" w:h="11906" w:orient="landscape"/>
          <w:pgMar w:top="1440" w:right="1440" w:bottom="1440" w:left="1440" w:header="708" w:footer="708" w:gutter="0"/>
          <w:cols w:space="708"/>
          <w:docGrid w:linePitch="360"/>
        </w:sectPr>
      </w:pPr>
    </w:p>
    <w:p w14:paraId="3D569262" w14:textId="77777777" w:rsidR="00236A5B" w:rsidRPr="00F7228F" w:rsidRDefault="00236A5B" w:rsidP="000B242D">
      <w:pPr>
        <w:spacing w:after="0" w:line="276" w:lineRule="auto"/>
        <w:rPr>
          <w:rFonts w:ascii="Arial" w:hAnsi="Arial" w:cs="Arial"/>
          <w:b/>
          <w:bCs/>
        </w:rPr>
      </w:pPr>
      <w:r w:rsidRPr="00F7228F">
        <w:rPr>
          <w:rFonts w:ascii="Arial" w:hAnsi="Arial" w:cs="Arial"/>
          <w:b/>
          <w:bCs/>
        </w:rPr>
        <w:lastRenderedPageBreak/>
        <w:t>Appendix S1 – Sensitivity Analyses of Regression Models for Cytokines</w:t>
      </w:r>
    </w:p>
    <w:p w14:paraId="3D3A86DA" w14:textId="77777777" w:rsidR="00236A5B" w:rsidRPr="00F7228F" w:rsidRDefault="00236A5B" w:rsidP="000B242D">
      <w:pPr>
        <w:spacing w:after="0" w:line="276" w:lineRule="auto"/>
        <w:rPr>
          <w:rFonts w:ascii="Arial" w:hAnsi="Arial" w:cs="Arial"/>
        </w:rPr>
      </w:pPr>
    </w:p>
    <w:p w14:paraId="09543D74" w14:textId="77777777" w:rsidR="00236A5B" w:rsidRPr="00F7228F" w:rsidRDefault="00236A5B" w:rsidP="000B242D">
      <w:pPr>
        <w:spacing w:after="0" w:line="276" w:lineRule="auto"/>
        <w:rPr>
          <w:rFonts w:ascii="Arial" w:hAnsi="Arial" w:cs="Arial"/>
        </w:rPr>
      </w:pPr>
      <w:bookmarkStart w:id="2" w:name="_Hlk151481776"/>
      <w:r w:rsidRPr="00F7228F">
        <w:rPr>
          <w:rFonts w:ascii="Arial" w:hAnsi="Arial" w:cs="Arial"/>
        </w:rPr>
        <w:t xml:space="preserve">Multivariable regression was conducted for each outcome measure and each individual cytokine adjusting for blood volume. Among CSF cytokines, the significant associations were between CSF IL-8 and </w:t>
      </w:r>
      <w:proofErr w:type="spellStart"/>
      <w:r w:rsidRPr="00F7228F">
        <w:rPr>
          <w:rFonts w:ascii="Arial" w:hAnsi="Arial" w:cs="Arial"/>
        </w:rPr>
        <w:t>mRS</w:t>
      </w:r>
      <w:proofErr w:type="spellEnd"/>
      <w:r w:rsidRPr="00F7228F">
        <w:rPr>
          <w:rFonts w:ascii="Arial" w:hAnsi="Arial" w:cs="Arial"/>
        </w:rPr>
        <w:t xml:space="preserve"> score at day 7, CSF IL-12 and </w:t>
      </w:r>
      <w:proofErr w:type="spellStart"/>
      <w:r w:rsidRPr="00F7228F">
        <w:rPr>
          <w:rFonts w:ascii="Arial" w:hAnsi="Arial" w:cs="Arial"/>
        </w:rPr>
        <w:t>mRS</w:t>
      </w:r>
      <w:proofErr w:type="spellEnd"/>
      <w:r w:rsidRPr="00F7228F">
        <w:rPr>
          <w:rFonts w:ascii="Arial" w:hAnsi="Arial" w:cs="Arial"/>
        </w:rPr>
        <w:t xml:space="preserve"> score at day 28, CSF IL-13 and </w:t>
      </w:r>
      <w:proofErr w:type="spellStart"/>
      <w:r w:rsidRPr="00F7228F">
        <w:rPr>
          <w:rFonts w:ascii="Arial" w:hAnsi="Arial" w:cs="Arial"/>
        </w:rPr>
        <w:t>mRS</w:t>
      </w:r>
      <w:proofErr w:type="spellEnd"/>
      <w:r w:rsidRPr="00F7228F">
        <w:rPr>
          <w:rFonts w:ascii="Arial" w:hAnsi="Arial" w:cs="Arial"/>
        </w:rPr>
        <w:t xml:space="preserve"> score at day 7, and CSF</w:t>
      </w:r>
      <w:r w:rsidRPr="00F7228F">
        <w:t xml:space="preserve"> </w:t>
      </w:r>
      <w:r w:rsidRPr="00F7228F">
        <w:rPr>
          <w:rFonts w:ascii="Arial" w:hAnsi="Arial" w:cs="Arial"/>
        </w:rPr>
        <w:t xml:space="preserve">TNF-α and death. Among plasma cytokines, only plasma IL-6 was significantly associated with all outcomes at all time points: death (OR 1.415 [95% CI: 1.104 – 1.812; p = 0.006]) </w:t>
      </w:r>
      <w:proofErr w:type="spellStart"/>
      <w:r w:rsidRPr="00F7228F">
        <w:rPr>
          <w:rFonts w:ascii="Arial" w:hAnsi="Arial" w:cs="Arial"/>
        </w:rPr>
        <w:t>mRS</w:t>
      </w:r>
      <w:proofErr w:type="spellEnd"/>
      <w:r w:rsidRPr="00F7228F">
        <w:rPr>
          <w:rFonts w:ascii="Arial" w:hAnsi="Arial" w:cs="Arial"/>
        </w:rPr>
        <w:t xml:space="preserve"> day 7 (OR 1.248 [95% CI: 1.102 – 1.412; p&lt;0.001]), </w:t>
      </w:r>
      <w:proofErr w:type="spellStart"/>
      <w:r w:rsidRPr="00F7228F">
        <w:rPr>
          <w:rFonts w:ascii="Arial" w:hAnsi="Arial" w:cs="Arial"/>
        </w:rPr>
        <w:t>mRS</w:t>
      </w:r>
      <w:proofErr w:type="spellEnd"/>
      <w:r w:rsidRPr="00F7228F">
        <w:rPr>
          <w:rFonts w:ascii="Arial" w:hAnsi="Arial" w:cs="Arial"/>
        </w:rPr>
        <w:t xml:space="preserve"> day 28 (OR 1.147 [95% CI: 1.052 – 1.252; p = 0.002]), </w:t>
      </w:r>
      <w:proofErr w:type="spellStart"/>
      <w:r w:rsidRPr="00F7228F">
        <w:rPr>
          <w:rFonts w:ascii="Arial" w:hAnsi="Arial" w:cs="Arial"/>
        </w:rPr>
        <w:t>mRS</w:t>
      </w:r>
      <w:proofErr w:type="spellEnd"/>
      <w:r w:rsidRPr="00F7228F">
        <w:rPr>
          <w:rFonts w:ascii="Arial" w:hAnsi="Arial" w:cs="Arial"/>
        </w:rPr>
        <w:t xml:space="preserve"> day 90 (OR 1.127 [95% CI: 1.029 – 1.235; p = 0.010]), </w:t>
      </w:r>
      <w:proofErr w:type="spellStart"/>
      <w:r w:rsidRPr="00F7228F">
        <w:rPr>
          <w:rFonts w:ascii="Arial" w:hAnsi="Arial" w:cs="Arial"/>
        </w:rPr>
        <w:t>mRS</w:t>
      </w:r>
      <w:proofErr w:type="spellEnd"/>
      <w:r w:rsidRPr="00F7228F">
        <w:rPr>
          <w:rFonts w:ascii="Arial" w:hAnsi="Arial" w:cs="Arial"/>
        </w:rPr>
        <w:t xml:space="preserve"> day 180 (OR 1.195 [95% CI: 1.083 – 1.318; p&lt;0.001]), SAHOT day 28 (OR 1.133 [95% CI: 1.044 – 1.230; p = 0.003]), SAHOT day 90 (OR 1.088 [95% CI: 1.007 – 1.176; p = 0.033]), and SAHOT day 180 (OR 1.118 [95% CI: 1.015 – 1.231; p = 0.023]). Among the other plasma cytokines, the only other significant associations were between plasma IL-12 and </w:t>
      </w:r>
      <w:proofErr w:type="spellStart"/>
      <w:r w:rsidRPr="00F7228F">
        <w:rPr>
          <w:rFonts w:ascii="Arial" w:hAnsi="Arial" w:cs="Arial"/>
        </w:rPr>
        <w:t>mRS</w:t>
      </w:r>
      <w:proofErr w:type="spellEnd"/>
      <w:r w:rsidRPr="00F7228F">
        <w:rPr>
          <w:rFonts w:ascii="Arial" w:hAnsi="Arial" w:cs="Arial"/>
        </w:rPr>
        <w:t xml:space="preserve"> score at day 180 and SAHOT scores at days 90 and 180. </w:t>
      </w:r>
    </w:p>
    <w:p w14:paraId="7FC63FF6" w14:textId="77777777" w:rsidR="00236A5B" w:rsidRPr="00F7228F" w:rsidRDefault="00236A5B" w:rsidP="000B242D">
      <w:pPr>
        <w:spacing w:after="0" w:line="276" w:lineRule="auto"/>
        <w:rPr>
          <w:rFonts w:ascii="Arial" w:hAnsi="Arial" w:cs="Arial"/>
        </w:rPr>
      </w:pPr>
    </w:p>
    <w:p w14:paraId="7390C2BD" w14:textId="77777777" w:rsidR="00236A5B" w:rsidRPr="00F7228F" w:rsidRDefault="00236A5B" w:rsidP="000B242D">
      <w:pPr>
        <w:spacing w:after="0" w:line="276" w:lineRule="auto"/>
        <w:rPr>
          <w:rFonts w:ascii="Arial" w:hAnsi="Arial" w:cs="Arial"/>
        </w:rPr>
      </w:pPr>
      <w:r w:rsidRPr="00F7228F">
        <w:rPr>
          <w:rFonts w:ascii="Arial" w:hAnsi="Arial" w:cs="Arial"/>
        </w:rPr>
        <w:t xml:space="preserve">Multivariable regression was conducted for each outcome measure and each individual cytokine adjusting for WFNS grade. Among CSF cytokines, the significant associations were between CSF IL-2 and </w:t>
      </w:r>
      <w:proofErr w:type="spellStart"/>
      <w:r w:rsidRPr="00F7228F">
        <w:rPr>
          <w:rFonts w:ascii="Arial" w:hAnsi="Arial" w:cs="Arial"/>
        </w:rPr>
        <w:t>mRS</w:t>
      </w:r>
      <w:proofErr w:type="spellEnd"/>
      <w:r w:rsidRPr="00F7228F">
        <w:rPr>
          <w:rFonts w:ascii="Arial" w:hAnsi="Arial" w:cs="Arial"/>
        </w:rPr>
        <w:t xml:space="preserve"> score at day 7, CSF IL-8 and </w:t>
      </w:r>
      <w:proofErr w:type="spellStart"/>
      <w:r w:rsidRPr="00F7228F">
        <w:rPr>
          <w:rFonts w:ascii="Arial" w:hAnsi="Arial" w:cs="Arial"/>
        </w:rPr>
        <w:t>mRS</w:t>
      </w:r>
      <w:proofErr w:type="spellEnd"/>
      <w:r w:rsidRPr="00F7228F">
        <w:rPr>
          <w:rFonts w:ascii="Arial" w:hAnsi="Arial" w:cs="Arial"/>
        </w:rPr>
        <w:t xml:space="preserve"> score at day 7, CSF IL-12 and </w:t>
      </w:r>
      <w:proofErr w:type="spellStart"/>
      <w:r w:rsidRPr="00F7228F">
        <w:rPr>
          <w:rFonts w:ascii="Arial" w:hAnsi="Arial" w:cs="Arial"/>
        </w:rPr>
        <w:t>mRS</w:t>
      </w:r>
      <w:proofErr w:type="spellEnd"/>
      <w:r w:rsidRPr="00F7228F">
        <w:rPr>
          <w:rFonts w:ascii="Arial" w:hAnsi="Arial" w:cs="Arial"/>
        </w:rPr>
        <w:t xml:space="preserve"> score at day 28, CSF</w:t>
      </w:r>
      <w:r w:rsidRPr="00F7228F">
        <w:t xml:space="preserve"> </w:t>
      </w:r>
      <w:r w:rsidRPr="00F7228F">
        <w:rPr>
          <w:rFonts w:ascii="Arial" w:hAnsi="Arial" w:cs="Arial"/>
        </w:rPr>
        <w:t>IL-13 and death, and CSF</w:t>
      </w:r>
      <w:r w:rsidRPr="00F7228F">
        <w:t xml:space="preserve"> </w:t>
      </w:r>
      <w:r w:rsidRPr="00F7228F">
        <w:rPr>
          <w:rFonts w:ascii="Arial" w:hAnsi="Arial" w:cs="Arial"/>
        </w:rPr>
        <w:t xml:space="preserve">TNF-α and death. Among plasma cytokines, only plasma IL-6 was significantly associated with all outcomes at all time points: death (OR 1.415 [95% CI: 1.107 – 1.809; p = 0.006]), </w:t>
      </w:r>
      <w:proofErr w:type="spellStart"/>
      <w:r w:rsidRPr="00F7228F">
        <w:rPr>
          <w:rFonts w:ascii="Arial" w:hAnsi="Arial" w:cs="Arial"/>
        </w:rPr>
        <w:t>mRS</w:t>
      </w:r>
      <w:proofErr w:type="spellEnd"/>
      <w:r w:rsidRPr="00F7228F">
        <w:rPr>
          <w:rFonts w:ascii="Arial" w:hAnsi="Arial" w:cs="Arial"/>
        </w:rPr>
        <w:t xml:space="preserve"> day 7 (OR 1.156 [95% CI: 1.035 – 1.292; p = 0.010]), </w:t>
      </w:r>
      <w:proofErr w:type="spellStart"/>
      <w:r w:rsidRPr="00F7228F">
        <w:rPr>
          <w:rFonts w:ascii="Arial" w:hAnsi="Arial" w:cs="Arial"/>
        </w:rPr>
        <w:t>mRS</w:t>
      </w:r>
      <w:proofErr w:type="spellEnd"/>
      <w:r w:rsidRPr="00F7228F">
        <w:rPr>
          <w:rFonts w:ascii="Arial" w:hAnsi="Arial" w:cs="Arial"/>
        </w:rPr>
        <w:t xml:space="preserve"> day 28 (OR 1.128 [95% CI: 1.048 – 1.213; p = 0.001]), </w:t>
      </w:r>
      <w:proofErr w:type="spellStart"/>
      <w:r w:rsidRPr="00F7228F">
        <w:rPr>
          <w:rFonts w:ascii="Arial" w:hAnsi="Arial" w:cs="Arial"/>
        </w:rPr>
        <w:t>mRS</w:t>
      </w:r>
      <w:proofErr w:type="spellEnd"/>
      <w:r w:rsidRPr="00F7228F">
        <w:rPr>
          <w:rFonts w:ascii="Arial" w:hAnsi="Arial" w:cs="Arial"/>
        </w:rPr>
        <w:t xml:space="preserve"> day 90 (OR 1.119 [95% CI: 1.034 – 1.211; p = 0.005]), </w:t>
      </w:r>
      <w:proofErr w:type="spellStart"/>
      <w:r w:rsidRPr="00F7228F">
        <w:rPr>
          <w:rFonts w:ascii="Arial" w:hAnsi="Arial" w:cs="Arial"/>
        </w:rPr>
        <w:t>mRS</w:t>
      </w:r>
      <w:proofErr w:type="spellEnd"/>
      <w:r w:rsidRPr="00F7228F">
        <w:rPr>
          <w:rFonts w:ascii="Arial" w:hAnsi="Arial" w:cs="Arial"/>
        </w:rPr>
        <w:t xml:space="preserve"> day 180 (OR 1.171 [95% CI: 1.063 – 1.289; p = 0.001]), SAHOT day 28 (OR 1.118 [95% CI: 1.039 – 1.203; p = 0.003]), SAHOT day 90 (OR 1.086 [95% CI: 1.010 – 1.168; p = 0.027]), and SAHOT day 180 (OR 1.129 [95% CI: 1.024 – 1.245; p = 0.015]). Among the other plasma cytokines, the only other significant associations were between plasma IL-8 and </w:t>
      </w:r>
      <w:proofErr w:type="spellStart"/>
      <w:r w:rsidRPr="00F7228F">
        <w:rPr>
          <w:rFonts w:ascii="Arial" w:hAnsi="Arial" w:cs="Arial"/>
        </w:rPr>
        <w:t>mRS</w:t>
      </w:r>
      <w:proofErr w:type="spellEnd"/>
      <w:r w:rsidRPr="00F7228F">
        <w:rPr>
          <w:rFonts w:ascii="Arial" w:hAnsi="Arial" w:cs="Arial"/>
        </w:rPr>
        <w:t xml:space="preserve"> score at day 180 and death, plasma IL-12 and death, </w:t>
      </w:r>
      <w:proofErr w:type="spellStart"/>
      <w:r w:rsidRPr="00F7228F">
        <w:rPr>
          <w:rFonts w:ascii="Arial" w:hAnsi="Arial" w:cs="Arial"/>
        </w:rPr>
        <w:t>mRS</w:t>
      </w:r>
      <w:proofErr w:type="spellEnd"/>
      <w:r w:rsidRPr="00F7228F">
        <w:rPr>
          <w:rFonts w:ascii="Arial" w:hAnsi="Arial" w:cs="Arial"/>
        </w:rPr>
        <w:t xml:space="preserve"> score at day 180 and SAHOT scores at days 90 and 180, and plasma IL-13 and death.</w:t>
      </w:r>
    </w:p>
    <w:p w14:paraId="138BCEF7" w14:textId="77777777" w:rsidR="00236A5B" w:rsidRPr="00F7228F" w:rsidRDefault="00236A5B" w:rsidP="000B242D">
      <w:pPr>
        <w:spacing w:after="0" w:line="276" w:lineRule="auto"/>
        <w:rPr>
          <w:rFonts w:ascii="Arial" w:hAnsi="Arial" w:cs="Arial"/>
        </w:rPr>
      </w:pPr>
    </w:p>
    <w:p w14:paraId="758F8868" w14:textId="77777777" w:rsidR="00236A5B" w:rsidRPr="00F7228F" w:rsidRDefault="00236A5B" w:rsidP="000B242D">
      <w:pPr>
        <w:spacing w:after="0" w:line="276" w:lineRule="auto"/>
        <w:rPr>
          <w:rFonts w:ascii="Arial" w:hAnsi="Arial" w:cs="Arial"/>
        </w:rPr>
      </w:pPr>
      <w:r w:rsidRPr="00F7228F">
        <w:rPr>
          <w:rFonts w:ascii="Arial" w:hAnsi="Arial" w:cs="Arial"/>
        </w:rPr>
        <w:t xml:space="preserve">Multivariable models were created that assessed the association between each outcome and cytokines that were p&lt;0.1 on univariable analysis, CT blood volume and WFNS grade. For example, no cytokine was significantly associated with death. The AIC of this model was 26.217. The model was simplified sequentially until the best AIC was achieved: 21.022. The predictors of death in this model were CSF IL-1, CSF IL-13, plasma IL-6, plasma IL-8, and CT blood volume; no cytokine was significantly associated with death. The model was simplified sequentially further until all predictors were significantly associated with the outcome. The AIC of this model was 23.913. The predictor of death in this model was only plasma IL-6 (p = 0.002). To take another example, only plasma IL-6 (OR 1.156 [95% CI: 1.036 – 1.290; p = 0.009]) was significantly associated with </w:t>
      </w:r>
      <w:proofErr w:type="spellStart"/>
      <w:r w:rsidRPr="00F7228F">
        <w:rPr>
          <w:rFonts w:ascii="Arial" w:hAnsi="Arial" w:cs="Arial"/>
        </w:rPr>
        <w:t>mRS</w:t>
      </w:r>
      <w:proofErr w:type="spellEnd"/>
      <w:r w:rsidRPr="00F7228F">
        <w:rPr>
          <w:rFonts w:ascii="Arial" w:hAnsi="Arial" w:cs="Arial"/>
        </w:rPr>
        <w:t xml:space="preserve"> 180 score. The AIC of this model was 279.964. The model was simplified sequentially until the best AIC was achieved: 269.993. The predictors of </w:t>
      </w:r>
      <w:proofErr w:type="spellStart"/>
      <w:r w:rsidRPr="00F7228F">
        <w:rPr>
          <w:rFonts w:ascii="Arial" w:hAnsi="Arial" w:cs="Arial"/>
        </w:rPr>
        <w:t>mRS</w:t>
      </w:r>
      <w:proofErr w:type="spellEnd"/>
      <w:r w:rsidRPr="00F7228F">
        <w:rPr>
          <w:rFonts w:ascii="Arial" w:hAnsi="Arial" w:cs="Arial"/>
        </w:rPr>
        <w:t xml:space="preserve"> 180 score in this model were CSF IL-6, plasma IL-6, and CT blood volume; only plasma IL-6 was significantly associated with </w:t>
      </w:r>
      <w:proofErr w:type="spellStart"/>
      <w:r w:rsidRPr="00F7228F">
        <w:rPr>
          <w:rFonts w:ascii="Arial" w:hAnsi="Arial" w:cs="Arial"/>
        </w:rPr>
        <w:t>mRS</w:t>
      </w:r>
      <w:proofErr w:type="spellEnd"/>
      <w:r w:rsidRPr="00F7228F">
        <w:rPr>
          <w:rFonts w:ascii="Arial" w:hAnsi="Arial" w:cs="Arial"/>
        </w:rPr>
        <w:t xml:space="preserve"> 180 score (OR 1.174 [95% CI: 1.060 – 1.300; p = 0.002]). The model was simplified sequentially further until all predictors were significantly associated with the outcome. The AIC of this model was 303.844. The predictor of </w:t>
      </w:r>
      <w:proofErr w:type="spellStart"/>
      <w:r w:rsidRPr="00F7228F">
        <w:rPr>
          <w:rFonts w:ascii="Arial" w:hAnsi="Arial" w:cs="Arial"/>
        </w:rPr>
        <w:t>mRS</w:t>
      </w:r>
      <w:proofErr w:type="spellEnd"/>
      <w:r w:rsidRPr="00F7228F">
        <w:rPr>
          <w:rFonts w:ascii="Arial" w:hAnsi="Arial" w:cs="Arial"/>
        </w:rPr>
        <w:t xml:space="preserve"> 180 score in this model was plasma IL-6 (p&lt;0.001) and CT blood volume (p = 0.007). </w:t>
      </w:r>
      <w:bookmarkEnd w:id="2"/>
    </w:p>
    <w:p w14:paraId="1E710434" w14:textId="77777777" w:rsidR="00236A5B" w:rsidRPr="00F7228F" w:rsidRDefault="00236A5B" w:rsidP="000B242D">
      <w:pPr>
        <w:spacing w:after="0" w:line="276" w:lineRule="auto"/>
        <w:rPr>
          <w:rFonts w:ascii="Arial" w:hAnsi="Arial" w:cs="Arial"/>
        </w:rPr>
        <w:sectPr w:rsidR="00236A5B" w:rsidRPr="00F7228F" w:rsidSect="00CC00D1">
          <w:pgSz w:w="11906" w:h="16838"/>
          <w:pgMar w:top="1440" w:right="1440" w:bottom="1440" w:left="1440" w:header="708" w:footer="708" w:gutter="0"/>
          <w:cols w:space="708"/>
          <w:docGrid w:linePitch="360"/>
        </w:sectPr>
      </w:pPr>
    </w:p>
    <w:p w14:paraId="70BB13A2" w14:textId="1862EEE7" w:rsidR="00236A5B" w:rsidRPr="00F7228F" w:rsidRDefault="00236A5B" w:rsidP="000B242D">
      <w:pPr>
        <w:spacing w:after="0" w:line="276" w:lineRule="auto"/>
        <w:rPr>
          <w:rFonts w:ascii="Arial" w:hAnsi="Arial" w:cs="Arial"/>
          <w:b/>
          <w:bCs/>
        </w:rPr>
      </w:pPr>
      <w:r w:rsidRPr="00F7228F">
        <w:rPr>
          <w:rFonts w:ascii="Arial" w:hAnsi="Arial" w:cs="Arial"/>
          <w:b/>
          <w:bCs/>
        </w:rPr>
        <w:lastRenderedPageBreak/>
        <w:t xml:space="preserve">Supplementary Figure 2 – </w:t>
      </w:r>
      <w:r w:rsidRPr="00F7228F">
        <w:rPr>
          <w:rFonts w:ascii="Arial" w:hAnsi="Arial" w:cs="Arial"/>
        </w:rPr>
        <w:t>a) A scree plot of the principal components for cerebrospinal fluid (CSF) cytokines. b) Heat map of the eigenvectors that form each component of the CSF cytokine principal components</w:t>
      </w:r>
      <w:r w:rsidR="00934EEC" w:rsidRPr="00F7228F">
        <w:rPr>
          <w:rFonts w:ascii="Arial" w:hAnsi="Arial" w:cs="Arial"/>
        </w:rPr>
        <w:t>. Green = magnitude &gt; 0.3; Yellow = magnitude &gt; 0.1; Red = magnitude &lt; 0.1.</w:t>
      </w:r>
    </w:p>
    <w:p w14:paraId="53ED1866" w14:textId="77777777" w:rsidR="00236A5B" w:rsidRPr="00F7228F" w:rsidRDefault="00236A5B" w:rsidP="000B242D">
      <w:pPr>
        <w:spacing w:after="0" w:line="276" w:lineRule="auto"/>
        <w:rPr>
          <w:rFonts w:ascii="Arial" w:hAnsi="Arial" w:cs="Arial"/>
        </w:rPr>
      </w:pPr>
      <w:r w:rsidRPr="00F7228F">
        <w:rPr>
          <w:rFonts w:ascii="Arial" w:hAnsi="Arial" w:cs="Arial"/>
          <w:noProof/>
          <w14:ligatures w14:val="standardContextual"/>
        </w:rPr>
        <mc:AlternateContent>
          <mc:Choice Requires="wps">
            <w:drawing>
              <wp:inline distT="0" distB="0" distL="0" distR="0" wp14:anchorId="78B39387" wp14:editId="1C2F91D7">
                <wp:extent cx="284480" cy="254000"/>
                <wp:effectExtent l="0" t="0" r="1270" b="0"/>
                <wp:docPr id="2090809042" name="Text Box 2090809042"/>
                <wp:cNvGraphicFramePr/>
                <a:graphic xmlns:a="http://schemas.openxmlformats.org/drawingml/2006/main">
                  <a:graphicData uri="http://schemas.microsoft.com/office/word/2010/wordprocessingShape">
                    <wps:wsp>
                      <wps:cNvSpPr txBox="1"/>
                      <wps:spPr>
                        <a:xfrm>
                          <a:off x="0" y="0"/>
                          <a:ext cx="284480" cy="254000"/>
                        </a:xfrm>
                        <a:prstGeom prst="rect">
                          <a:avLst/>
                        </a:prstGeom>
                        <a:solidFill>
                          <a:schemeClr val="lt1"/>
                        </a:solidFill>
                        <a:ln w="6350">
                          <a:noFill/>
                        </a:ln>
                      </wps:spPr>
                      <wps:txbx>
                        <w:txbxContent>
                          <w:p w14:paraId="438CDAA9" w14:textId="77777777" w:rsidR="00236A5B" w:rsidRPr="00DC09F1" w:rsidRDefault="00236A5B" w:rsidP="00236A5B">
                            <w:pPr>
                              <w:rPr>
                                <w:b/>
                                <w:bCs/>
                              </w:rPr>
                            </w:pPr>
                            <w:r w:rsidRPr="00DC09F1">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8B39387" id="_x0000_t202" coordsize="21600,21600" o:spt="202" path="m,l,21600r21600,l21600,xe">
                <v:stroke joinstyle="miter"/>
                <v:path gradientshapeok="t" o:connecttype="rect"/>
              </v:shapetype>
              <v:shape id="Text Box 2090809042" o:spid="_x0000_s1026" type="#_x0000_t202" style="width:22.4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" fillcolor="white [3201]" stroked="f" strokeweight=".5pt">
                <v:textbox>
                  <w:txbxContent>
                    <w:p w14:paraId="438CDAA9" w14:textId="77777777" w:rsidR="00236A5B" w:rsidRPr="00DC09F1" w:rsidRDefault="00236A5B" w:rsidP="00236A5B">
                      <w:pPr>
                        <w:rPr>
                          <w:b/>
                          <w:bCs/>
                        </w:rPr>
                      </w:pPr>
                      <w:r w:rsidRPr="00DC09F1">
                        <w:rPr>
                          <w:b/>
                          <w:bCs/>
                        </w:rPr>
                        <w:t>A</w:t>
                      </w:r>
                    </w:p>
                  </w:txbxContent>
                </v:textbox>
                <w10:anchorlock/>
              </v:shape>
            </w:pict>
          </mc:Fallback>
        </mc:AlternateContent>
      </w:r>
    </w:p>
    <w:p w14:paraId="49CDE648" w14:textId="6C298438" w:rsidR="00236A5B" w:rsidRPr="00F7228F" w:rsidRDefault="000D37D1" w:rsidP="000B242D">
      <w:pPr>
        <w:spacing w:after="0" w:line="276" w:lineRule="auto"/>
        <w:rPr>
          <w:rFonts w:ascii="Arial" w:hAnsi="Arial" w:cs="Arial"/>
        </w:rPr>
      </w:pPr>
      <w:r w:rsidRPr="00F7228F">
        <w:rPr>
          <w:rFonts w:ascii="Arial" w:hAnsi="Arial" w:cs="Arial"/>
          <w:noProof/>
        </w:rPr>
        <w:drawing>
          <wp:inline distT="0" distB="0" distL="0" distR="0" wp14:anchorId="44B21E87" wp14:editId="4DD3DEEF">
            <wp:extent cx="5731510" cy="3439160"/>
            <wp:effectExtent l="0" t="0" r="2540" b="8890"/>
            <wp:docPr id="5520097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7B084134" w14:textId="77777777" w:rsidR="00236A5B" w:rsidRPr="00F7228F" w:rsidRDefault="00236A5B" w:rsidP="000B242D">
      <w:pPr>
        <w:spacing w:after="0" w:line="276" w:lineRule="auto"/>
        <w:rPr>
          <w:rFonts w:ascii="Arial" w:hAnsi="Arial" w:cs="Arial"/>
        </w:rPr>
      </w:pPr>
      <w:r w:rsidRPr="00F7228F">
        <w:rPr>
          <w:rFonts w:ascii="Arial" w:hAnsi="Arial" w:cs="Arial"/>
          <w:noProof/>
          <w14:ligatures w14:val="standardContextual"/>
        </w:rPr>
        <w:t xml:space="preserve"> </w:t>
      </w:r>
      <w:r w:rsidRPr="00F7228F">
        <w:rPr>
          <w:rFonts w:ascii="Arial" w:hAnsi="Arial" w:cs="Arial"/>
          <w:noProof/>
          <w14:ligatures w14:val="standardContextual"/>
        </w:rPr>
        <mc:AlternateContent>
          <mc:Choice Requires="wps">
            <w:drawing>
              <wp:inline distT="0" distB="0" distL="0" distR="0" wp14:anchorId="7581026C" wp14:editId="7146DF52">
                <wp:extent cx="284480" cy="254000"/>
                <wp:effectExtent l="0" t="0" r="1270" b="0"/>
                <wp:docPr id="1346291017" name="Text Box 1346291017"/>
                <wp:cNvGraphicFramePr/>
                <a:graphic xmlns:a="http://schemas.openxmlformats.org/drawingml/2006/main">
                  <a:graphicData uri="http://schemas.microsoft.com/office/word/2010/wordprocessingShape">
                    <wps:wsp>
                      <wps:cNvSpPr txBox="1"/>
                      <wps:spPr>
                        <a:xfrm>
                          <a:off x="0" y="0"/>
                          <a:ext cx="284480" cy="254000"/>
                        </a:xfrm>
                        <a:prstGeom prst="rect">
                          <a:avLst/>
                        </a:prstGeom>
                        <a:solidFill>
                          <a:schemeClr val="lt1"/>
                        </a:solidFill>
                        <a:ln w="6350">
                          <a:noFill/>
                        </a:ln>
                      </wps:spPr>
                      <wps:txbx>
                        <w:txbxContent>
                          <w:p w14:paraId="0DAD6322" w14:textId="77777777" w:rsidR="00236A5B" w:rsidRPr="00DC09F1" w:rsidRDefault="00236A5B" w:rsidP="00236A5B">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81026C" id="Text Box 1346291017" o:spid="_x0000_s1027" type="#_x0000_t202" style="width:22.4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" fillcolor="white [3201]" stroked="f" strokeweight=".5pt">
                <v:textbox>
                  <w:txbxContent>
                    <w:p w14:paraId="0DAD6322" w14:textId="77777777" w:rsidR="00236A5B" w:rsidRPr="00DC09F1" w:rsidRDefault="00236A5B" w:rsidP="00236A5B">
                      <w:pPr>
                        <w:rPr>
                          <w:b/>
                          <w:bCs/>
                        </w:rPr>
                      </w:pPr>
                      <w:r>
                        <w:rPr>
                          <w:b/>
                          <w:bCs/>
                        </w:rPr>
                        <w:t>B</w:t>
                      </w:r>
                    </w:p>
                  </w:txbxContent>
                </v:textbox>
                <w10:anchorlock/>
              </v:shape>
            </w:pict>
          </mc:Fallback>
        </mc:AlternateContent>
      </w:r>
    </w:p>
    <w:tbl>
      <w:tblPr>
        <w:tblW w:w="5000" w:type="pct"/>
        <w:tblLook w:val="04A0" w:firstRow="1" w:lastRow="0" w:firstColumn="1" w:lastColumn="0" w:noHBand="0" w:noVBand="1"/>
      </w:tblPr>
      <w:tblGrid>
        <w:gridCol w:w="2100"/>
        <w:gridCol w:w="2306"/>
        <w:gridCol w:w="2306"/>
        <w:gridCol w:w="2304"/>
      </w:tblGrid>
      <w:tr w:rsidR="00F544A0" w:rsidRPr="00F7228F" w14:paraId="25D230BF" w14:textId="77777777" w:rsidTr="000D37D1">
        <w:trPr>
          <w:trHeight w:val="288"/>
        </w:trPr>
        <w:tc>
          <w:tcPr>
            <w:tcW w:w="1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BA5B0F"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Variable</w:t>
            </w:r>
          </w:p>
        </w:tc>
        <w:tc>
          <w:tcPr>
            <w:tcW w:w="1279" w:type="pct"/>
            <w:tcBorders>
              <w:top w:val="single" w:sz="4" w:space="0" w:color="auto"/>
              <w:left w:val="nil"/>
              <w:bottom w:val="single" w:sz="4" w:space="0" w:color="auto"/>
              <w:right w:val="single" w:sz="4" w:space="0" w:color="auto"/>
            </w:tcBorders>
            <w:shd w:val="clear" w:color="auto" w:fill="auto"/>
            <w:noWrap/>
            <w:vAlign w:val="center"/>
            <w:hideMark/>
          </w:tcPr>
          <w:p w14:paraId="364408F8"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1</w:t>
            </w:r>
          </w:p>
        </w:tc>
        <w:tc>
          <w:tcPr>
            <w:tcW w:w="1279" w:type="pct"/>
            <w:tcBorders>
              <w:top w:val="single" w:sz="4" w:space="0" w:color="auto"/>
              <w:left w:val="nil"/>
              <w:bottom w:val="single" w:sz="4" w:space="0" w:color="auto"/>
              <w:right w:val="single" w:sz="4" w:space="0" w:color="auto"/>
            </w:tcBorders>
            <w:shd w:val="clear" w:color="auto" w:fill="auto"/>
            <w:noWrap/>
            <w:vAlign w:val="center"/>
            <w:hideMark/>
          </w:tcPr>
          <w:p w14:paraId="6B18E69C"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2</w:t>
            </w:r>
          </w:p>
        </w:tc>
        <w:tc>
          <w:tcPr>
            <w:tcW w:w="1279" w:type="pct"/>
            <w:tcBorders>
              <w:top w:val="single" w:sz="4" w:space="0" w:color="auto"/>
              <w:left w:val="nil"/>
              <w:bottom w:val="single" w:sz="4" w:space="0" w:color="auto"/>
              <w:right w:val="single" w:sz="4" w:space="0" w:color="auto"/>
            </w:tcBorders>
            <w:shd w:val="clear" w:color="auto" w:fill="auto"/>
            <w:noWrap/>
            <w:vAlign w:val="center"/>
            <w:hideMark/>
          </w:tcPr>
          <w:p w14:paraId="3553EAAE"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3</w:t>
            </w:r>
          </w:p>
        </w:tc>
      </w:tr>
      <w:tr w:rsidR="00F544A0" w:rsidRPr="00F7228F" w14:paraId="7CCAED5A"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0BA4C4AA"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IL-1β</w:t>
            </w:r>
          </w:p>
        </w:tc>
        <w:tc>
          <w:tcPr>
            <w:tcW w:w="1279" w:type="pct"/>
            <w:tcBorders>
              <w:top w:val="nil"/>
              <w:left w:val="nil"/>
              <w:bottom w:val="single" w:sz="4" w:space="0" w:color="auto"/>
              <w:right w:val="single" w:sz="4" w:space="0" w:color="auto"/>
            </w:tcBorders>
            <w:shd w:val="clear" w:color="000000" w:fill="92D050"/>
            <w:noWrap/>
            <w:vAlign w:val="center"/>
            <w:hideMark/>
          </w:tcPr>
          <w:p w14:paraId="4B1966D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0.3877</w:t>
            </w:r>
          </w:p>
        </w:tc>
        <w:tc>
          <w:tcPr>
            <w:tcW w:w="1279" w:type="pct"/>
            <w:tcBorders>
              <w:top w:val="nil"/>
              <w:left w:val="nil"/>
              <w:bottom w:val="single" w:sz="4" w:space="0" w:color="auto"/>
              <w:right w:val="single" w:sz="4" w:space="0" w:color="auto"/>
            </w:tcBorders>
            <w:shd w:val="clear" w:color="000000" w:fill="FFFF00"/>
            <w:noWrap/>
            <w:vAlign w:val="center"/>
            <w:hideMark/>
          </w:tcPr>
          <w:p w14:paraId="288BA2C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0.1344</w:t>
            </w:r>
          </w:p>
        </w:tc>
        <w:tc>
          <w:tcPr>
            <w:tcW w:w="1279" w:type="pct"/>
            <w:tcBorders>
              <w:top w:val="nil"/>
              <w:left w:val="nil"/>
              <w:bottom w:val="single" w:sz="4" w:space="0" w:color="auto"/>
              <w:right w:val="single" w:sz="4" w:space="0" w:color="auto"/>
            </w:tcBorders>
            <w:shd w:val="clear" w:color="000000" w:fill="92D050"/>
            <w:noWrap/>
            <w:vAlign w:val="center"/>
            <w:hideMark/>
          </w:tcPr>
          <w:p w14:paraId="0FF036C9"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0.3029</w:t>
            </w:r>
          </w:p>
        </w:tc>
      </w:tr>
      <w:tr w:rsidR="00F544A0" w:rsidRPr="00F7228F" w14:paraId="63A40B46"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1000A38A"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IL-2</w:t>
            </w:r>
          </w:p>
        </w:tc>
        <w:tc>
          <w:tcPr>
            <w:tcW w:w="1279" w:type="pct"/>
            <w:tcBorders>
              <w:top w:val="nil"/>
              <w:left w:val="nil"/>
              <w:bottom w:val="single" w:sz="4" w:space="0" w:color="auto"/>
              <w:right w:val="single" w:sz="4" w:space="0" w:color="auto"/>
            </w:tcBorders>
            <w:shd w:val="clear" w:color="000000" w:fill="92D050"/>
            <w:noWrap/>
            <w:vAlign w:val="center"/>
            <w:hideMark/>
          </w:tcPr>
          <w:p w14:paraId="038E92C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0.3449</w:t>
            </w:r>
          </w:p>
        </w:tc>
        <w:tc>
          <w:tcPr>
            <w:tcW w:w="1279" w:type="pct"/>
            <w:tcBorders>
              <w:top w:val="nil"/>
              <w:left w:val="nil"/>
              <w:bottom w:val="single" w:sz="4" w:space="0" w:color="auto"/>
              <w:right w:val="single" w:sz="4" w:space="0" w:color="auto"/>
            </w:tcBorders>
            <w:shd w:val="clear" w:color="000000" w:fill="FFFF00"/>
            <w:noWrap/>
            <w:vAlign w:val="center"/>
            <w:hideMark/>
          </w:tcPr>
          <w:p w14:paraId="0FA1346F"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0.1771</w:t>
            </w:r>
          </w:p>
        </w:tc>
        <w:tc>
          <w:tcPr>
            <w:tcW w:w="1279" w:type="pct"/>
            <w:tcBorders>
              <w:top w:val="nil"/>
              <w:left w:val="nil"/>
              <w:bottom w:val="single" w:sz="4" w:space="0" w:color="auto"/>
              <w:right w:val="single" w:sz="4" w:space="0" w:color="auto"/>
            </w:tcBorders>
            <w:shd w:val="clear" w:color="000000" w:fill="FFFF00"/>
            <w:noWrap/>
            <w:vAlign w:val="center"/>
            <w:hideMark/>
          </w:tcPr>
          <w:p w14:paraId="366547E3"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-0.1755</w:t>
            </w:r>
          </w:p>
        </w:tc>
      </w:tr>
      <w:tr w:rsidR="00F544A0" w:rsidRPr="00F7228F" w14:paraId="3883AC20"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27516ABA"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IL-4</w:t>
            </w:r>
          </w:p>
        </w:tc>
        <w:tc>
          <w:tcPr>
            <w:tcW w:w="1279" w:type="pct"/>
            <w:tcBorders>
              <w:top w:val="nil"/>
              <w:left w:val="nil"/>
              <w:bottom w:val="single" w:sz="4" w:space="0" w:color="auto"/>
              <w:right w:val="single" w:sz="4" w:space="0" w:color="auto"/>
            </w:tcBorders>
            <w:shd w:val="clear" w:color="000000" w:fill="92D050"/>
            <w:noWrap/>
            <w:vAlign w:val="center"/>
            <w:hideMark/>
          </w:tcPr>
          <w:p w14:paraId="7978236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0.3471</w:t>
            </w:r>
          </w:p>
        </w:tc>
        <w:tc>
          <w:tcPr>
            <w:tcW w:w="1279" w:type="pct"/>
            <w:tcBorders>
              <w:top w:val="nil"/>
              <w:left w:val="nil"/>
              <w:bottom w:val="single" w:sz="4" w:space="0" w:color="auto"/>
              <w:right w:val="single" w:sz="4" w:space="0" w:color="auto"/>
            </w:tcBorders>
            <w:shd w:val="clear" w:color="000000" w:fill="92D050"/>
            <w:noWrap/>
            <w:vAlign w:val="center"/>
            <w:hideMark/>
          </w:tcPr>
          <w:p w14:paraId="10F42634"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-0.4032</w:t>
            </w:r>
          </w:p>
        </w:tc>
        <w:tc>
          <w:tcPr>
            <w:tcW w:w="1279" w:type="pct"/>
            <w:tcBorders>
              <w:top w:val="nil"/>
              <w:left w:val="nil"/>
              <w:bottom w:val="single" w:sz="4" w:space="0" w:color="auto"/>
              <w:right w:val="single" w:sz="4" w:space="0" w:color="auto"/>
            </w:tcBorders>
            <w:shd w:val="clear" w:color="000000" w:fill="FF0000"/>
            <w:noWrap/>
            <w:vAlign w:val="center"/>
            <w:hideMark/>
          </w:tcPr>
          <w:p w14:paraId="016A5A7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-0.0391</w:t>
            </w:r>
          </w:p>
        </w:tc>
      </w:tr>
      <w:tr w:rsidR="00F544A0" w:rsidRPr="00F7228F" w14:paraId="089F441D"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2E6F1B06"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IL-6</w:t>
            </w:r>
          </w:p>
        </w:tc>
        <w:tc>
          <w:tcPr>
            <w:tcW w:w="1279" w:type="pct"/>
            <w:tcBorders>
              <w:top w:val="nil"/>
              <w:left w:val="nil"/>
              <w:bottom w:val="single" w:sz="4" w:space="0" w:color="auto"/>
              <w:right w:val="single" w:sz="4" w:space="0" w:color="auto"/>
            </w:tcBorders>
            <w:shd w:val="clear" w:color="000000" w:fill="92D050"/>
            <w:noWrap/>
            <w:vAlign w:val="center"/>
            <w:hideMark/>
          </w:tcPr>
          <w:p w14:paraId="776C6F0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0.3311</w:t>
            </w:r>
          </w:p>
        </w:tc>
        <w:tc>
          <w:tcPr>
            <w:tcW w:w="1279" w:type="pct"/>
            <w:tcBorders>
              <w:top w:val="nil"/>
              <w:left w:val="nil"/>
              <w:bottom w:val="single" w:sz="4" w:space="0" w:color="auto"/>
              <w:right w:val="single" w:sz="4" w:space="0" w:color="auto"/>
            </w:tcBorders>
            <w:shd w:val="clear" w:color="000000" w:fill="92D050"/>
            <w:noWrap/>
            <w:vAlign w:val="center"/>
            <w:hideMark/>
          </w:tcPr>
          <w:p w14:paraId="15EC1BB7"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-0.3872</w:t>
            </w:r>
          </w:p>
        </w:tc>
        <w:tc>
          <w:tcPr>
            <w:tcW w:w="1279" w:type="pct"/>
            <w:tcBorders>
              <w:top w:val="nil"/>
              <w:left w:val="nil"/>
              <w:bottom w:val="single" w:sz="4" w:space="0" w:color="auto"/>
              <w:right w:val="single" w:sz="4" w:space="0" w:color="auto"/>
            </w:tcBorders>
            <w:shd w:val="clear" w:color="000000" w:fill="FF0000"/>
            <w:noWrap/>
            <w:vAlign w:val="center"/>
            <w:hideMark/>
          </w:tcPr>
          <w:p w14:paraId="1DEFE990"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0.0021</w:t>
            </w:r>
          </w:p>
        </w:tc>
      </w:tr>
      <w:tr w:rsidR="00F544A0" w:rsidRPr="00F7228F" w14:paraId="179B2311"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6104BFC9"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IL-8</w:t>
            </w:r>
          </w:p>
        </w:tc>
        <w:tc>
          <w:tcPr>
            <w:tcW w:w="1279" w:type="pct"/>
            <w:tcBorders>
              <w:top w:val="nil"/>
              <w:left w:val="nil"/>
              <w:bottom w:val="single" w:sz="4" w:space="0" w:color="auto"/>
              <w:right w:val="single" w:sz="4" w:space="0" w:color="auto"/>
            </w:tcBorders>
            <w:shd w:val="clear" w:color="000000" w:fill="FFFF00"/>
            <w:noWrap/>
            <w:vAlign w:val="center"/>
            <w:hideMark/>
          </w:tcPr>
          <w:p w14:paraId="0E3E6527"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0.2620</w:t>
            </w:r>
          </w:p>
        </w:tc>
        <w:tc>
          <w:tcPr>
            <w:tcW w:w="1279" w:type="pct"/>
            <w:tcBorders>
              <w:top w:val="nil"/>
              <w:left w:val="nil"/>
              <w:bottom w:val="single" w:sz="4" w:space="0" w:color="auto"/>
              <w:right w:val="single" w:sz="4" w:space="0" w:color="auto"/>
            </w:tcBorders>
            <w:shd w:val="clear" w:color="000000" w:fill="92D050"/>
            <w:noWrap/>
            <w:vAlign w:val="center"/>
            <w:hideMark/>
          </w:tcPr>
          <w:p w14:paraId="0ABB4890"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0.4476</w:t>
            </w:r>
          </w:p>
        </w:tc>
        <w:tc>
          <w:tcPr>
            <w:tcW w:w="1279" w:type="pct"/>
            <w:tcBorders>
              <w:top w:val="nil"/>
              <w:left w:val="nil"/>
              <w:bottom w:val="single" w:sz="4" w:space="0" w:color="auto"/>
              <w:right w:val="single" w:sz="4" w:space="0" w:color="auto"/>
            </w:tcBorders>
            <w:shd w:val="clear" w:color="000000" w:fill="FF0000"/>
            <w:noWrap/>
            <w:vAlign w:val="center"/>
            <w:hideMark/>
          </w:tcPr>
          <w:p w14:paraId="4DDB630D"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-0.0288</w:t>
            </w:r>
          </w:p>
        </w:tc>
      </w:tr>
      <w:tr w:rsidR="00F544A0" w:rsidRPr="00F7228F" w14:paraId="794E2BBC"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359CF827"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IL-10</w:t>
            </w:r>
          </w:p>
        </w:tc>
        <w:tc>
          <w:tcPr>
            <w:tcW w:w="1279" w:type="pct"/>
            <w:tcBorders>
              <w:top w:val="nil"/>
              <w:left w:val="nil"/>
              <w:bottom w:val="single" w:sz="4" w:space="0" w:color="auto"/>
              <w:right w:val="single" w:sz="4" w:space="0" w:color="auto"/>
            </w:tcBorders>
            <w:shd w:val="clear" w:color="000000" w:fill="FFFF00"/>
            <w:noWrap/>
            <w:vAlign w:val="center"/>
            <w:hideMark/>
          </w:tcPr>
          <w:p w14:paraId="61E8B3C0"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0.1343</w:t>
            </w:r>
          </w:p>
        </w:tc>
        <w:tc>
          <w:tcPr>
            <w:tcW w:w="1279" w:type="pct"/>
            <w:tcBorders>
              <w:top w:val="nil"/>
              <w:left w:val="nil"/>
              <w:bottom w:val="single" w:sz="4" w:space="0" w:color="auto"/>
              <w:right w:val="single" w:sz="4" w:space="0" w:color="auto"/>
            </w:tcBorders>
            <w:shd w:val="clear" w:color="000000" w:fill="FF0000"/>
            <w:noWrap/>
            <w:vAlign w:val="center"/>
            <w:hideMark/>
          </w:tcPr>
          <w:p w14:paraId="3744C6CF"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0.0302</w:t>
            </w:r>
          </w:p>
        </w:tc>
        <w:tc>
          <w:tcPr>
            <w:tcW w:w="1279" w:type="pct"/>
            <w:tcBorders>
              <w:top w:val="nil"/>
              <w:left w:val="nil"/>
              <w:bottom w:val="single" w:sz="4" w:space="0" w:color="auto"/>
              <w:right w:val="single" w:sz="4" w:space="0" w:color="auto"/>
            </w:tcBorders>
            <w:shd w:val="clear" w:color="000000" w:fill="92D050"/>
            <w:noWrap/>
            <w:vAlign w:val="center"/>
            <w:hideMark/>
          </w:tcPr>
          <w:p w14:paraId="648BC8E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0.8961</w:t>
            </w:r>
          </w:p>
        </w:tc>
      </w:tr>
      <w:tr w:rsidR="00F544A0" w:rsidRPr="00F7228F" w14:paraId="681F8012"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46F0D1A5"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IL-12</w:t>
            </w:r>
          </w:p>
        </w:tc>
        <w:tc>
          <w:tcPr>
            <w:tcW w:w="1279" w:type="pct"/>
            <w:tcBorders>
              <w:top w:val="nil"/>
              <w:left w:val="nil"/>
              <w:bottom w:val="single" w:sz="4" w:space="0" w:color="auto"/>
              <w:right w:val="single" w:sz="4" w:space="0" w:color="auto"/>
            </w:tcBorders>
            <w:shd w:val="clear" w:color="000000" w:fill="92D050"/>
            <w:noWrap/>
            <w:vAlign w:val="center"/>
            <w:hideMark/>
          </w:tcPr>
          <w:p w14:paraId="1FA774A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0.3430</w:t>
            </w:r>
          </w:p>
        </w:tc>
        <w:tc>
          <w:tcPr>
            <w:tcW w:w="1279" w:type="pct"/>
            <w:tcBorders>
              <w:top w:val="nil"/>
              <w:left w:val="nil"/>
              <w:bottom w:val="single" w:sz="4" w:space="0" w:color="auto"/>
              <w:right w:val="single" w:sz="4" w:space="0" w:color="auto"/>
            </w:tcBorders>
            <w:shd w:val="clear" w:color="000000" w:fill="92D050"/>
            <w:noWrap/>
            <w:vAlign w:val="center"/>
            <w:hideMark/>
          </w:tcPr>
          <w:p w14:paraId="76329F47"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-0.3762</w:t>
            </w:r>
          </w:p>
        </w:tc>
        <w:tc>
          <w:tcPr>
            <w:tcW w:w="1279" w:type="pct"/>
            <w:tcBorders>
              <w:top w:val="nil"/>
              <w:left w:val="nil"/>
              <w:bottom w:val="single" w:sz="4" w:space="0" w:color="auto"/>
              <w:right w:val="single" w:sz="4" w:space="0" w:color="auto"/>
            </w:tcBorders>
            <w:shd w:val="clear" w:color="000000" w:fill="FF0000"/>
            <w:noWrap/>
            <w:vAlign w:val="center"/>
            <w:hideMark/>
          </w:tcPr>
          <w:p w14:paraId="0F154F9F"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-0.0671</w:t>
            </w:r>
          </w:p>
        </w:tc>
      </w:tr>
      <w:tr w:rsidR="00F544A0" w:rsidRPr="00F7228F" w14:paraId="42E64ECC"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1B812136"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IL-13</w:t>
            </w:r>
          </w:p>
        </w:tc>
        <w:tc>
          <w:tcPr>
            <w:tcW w:w="1279" w:type="pct"/>
            <w:tcBorders>
              <w:top w:val="nil"/>
              <w:left w:val="nil"/>
              <w:bottom w:val="single" w:sz="4" w:space="0" w:color="auto"/>
              <w:right w:val="single" w:sz="4" w:space="0" w:color="auto"/>
            </w:tcBorders>
            <w:shd w:val="clear" w:color="000000" w:fill="92D050"/>
            <w:noWrap/>
            <w:vAlign w:val="center"/>
            <w:hideMark/>
          </w:tcPr>
          <w:p w14:paraId="43E3D2F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0.3444</w:t>
            </w:r>
          </w:p>
        </w:tc>
        <w:tc>
          <w:tcPr>
            <w:tcW w:w="1279" w:type="pct"/>
            <w:tcBorders>
              <w:top w:val="nil"/>
              <w:left w:val="nil"/>
              <w:bottom w:val="single" w:sz="4" w:space="0" w:color="auto"/>
              <w:right w:val="single" w:sz="4" w:space="0" w:color="auto"/>
            </w:tcBorders>
            <w:shd w:val="clear" w:color="000000" w:fill="FFFF00"/>
            <w:noWrap/>
            <w:vAlign w:val="center"/>
            <w:hideMark/>
          </w:tcPr>
          <w:p w14:paraId="1620DFA4"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0.2702</w:t>
            </w:r>
          </w:p>
        </w:tc>
        <w:tc>
          <w:tcPr>
            <w:tcW w:w="1279" w:type="pct"/>
            <w:tcBorders>
              <w:top w:val="nil"/>
              <w:left w:val="nil"/>
              <w:bottom w:val="single" w:sz="4" w:space="0" w:color="auto"/>
              <w:right w:val="single" w:sz="4" w:space="0" w:color="auto"/>
            </w:tcBorders>
            <w:shd w:val="clear" w:color="000000" w:fill="FFFF00"/>
            <w:noWrap/>
            <w:vAlign w:val="center"/>
            <w:hideMark/>
          </w:tcPr>
          <w:p w14:paraId="063059D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-0.2134</w:t>
            </w:r>
          </w:p>
        </w:tc>
      </w:tr>
      <w:tr w:rsidR="00F544A0" w:rsidRPr="00F7228F" w14:paraId="16548E93"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1869B8A9"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 xml:space="preserve">CSF IFN-γ </w:t>
            </w:r>
          </w:p>
        </w:tc>
        <w:tc>
          <w:tcPr>
            <w:tcW w:w="1279" w:type="pct"/>
            <w:tcBorders>
              <w:top w:val="nil"/>
              <w:left w:val="nil"/>
              <w:bottom w:val="single" w:sz="4" w:space="0" w:color="auto"/>
              <w:right w:val="single" w:sz="4" w:space="0" w:color="auto"/>
            </w:tcBorders>
            <w:shd w:val="clear" w:color="000000" w:fill="FFFF00"/>
            <w:noWrap/>
            <w:vAlign w:val="center"/>
            <w:hideMark/>
          </w:tcPr>
          <w:p w14:paraId="2ADDE8FD"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0.2971</w:t>
            </w:r>
          </w:p>
        </w:tc>
        <w:tc>
          <w:tcPr>
            <w:tcW w:w="1279" w:type="pct"/>
            <w:tcBorders>
              <w:top w:val="nil"/>
              <w:left w:val="nil"/>
              <w:bottom w:val="single" w:sz="4" w:space="0" w:color="auto"/>
              <w:right w:val="single" w:sz="4" w:space="0" w:color="auto"/>
            </w:tcBorders>
            <w:shd w:val="clear" w:color="000000" w:fill="FFFF00"/>
            <w:noWrap/>
            <w:vAlign w:val="center"/>
            <w:hideMark/>
          </w:tcPr>
          <w:p w14:paraId="1E3FF13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-0.1969</w:t>
            </w:r>
          </w:p>
        </w:tc>
        <w:tc>
          <w:tcPr>
            <w:tcW w:w="1279" w:type="pct"/>
            <w:tcBorders>
              <w:top w:val="nil"/>
              <w:left w:val="nil"/>
              <w:bottom w:val="single" w:sz="4" w:space="0" w:color="auto"/>
              <w:right w:val="single" w:sz="4" w:space="0" w:color="auto"/>
            </w:tcBorders>
            <w:shd w:val="clear" w:color="000000" w:fill="FFFF00"/>
            <w:noWrap/>
            <w:vAlign w:val="center"/>
            <w:hideMark/>
          </w:tcPr>
          <w:p w14:paraId="1616043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-0.1288</w:t>
            </w:r>
          </w:p>
        </w:tc>
      </w:tr>
      <w:tr w:rsidR="00F544A0" w:rsidRPr="00F7228F" w14:paraId="75AD5134" w14:textId="77777777" w:rsidTr="000D37D1">
        <w:trPr>
          <w:trHeight w:val="288"/>
        </w:trPr>
        <w:tc>
          <w:tcPr>
            <w:tcW w:w="1164" w:type="pct"/>
            <w:tcBorders>
              <w:top w:val="nil"/>
              <w:left w:val="single" w:sz="4" w:space="0" w:color="auto"/>
              <w:bottom w:val="single" w:sz="4" w:space="0" w:color="auto"/>
              <w:right w:val="single" w:sz="4" w:space="0" w:color="auto"/>
            </w:tcBorders>
            <w:shd w:val="clear" w:color="auto" w:fill="auto"/>
            <w:noWrap/>
            <w:vAlign w:val="center"/>
            <w:hideMark/>
          </w:tcPr>
          <w:p w14:paraId="44EE55D3"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CSF TNF-α  </w:t>
            </w:r>
          </w:p>
        </w:tc>
        <w:tc>
          <w:tcPr>
            <w:tcW w:w="1279" w:type="pct"/>
            <w:tcBorders>
              <w:top w:val="nil"/>
              <w:left w:val="nil"/>
              <w:bottom w:val="single" w:sz="4" w:space="0" w:color="auto"/>
              <w:right w:val="single" w:sz="4" w:space="0" w:color="auto"/>
            </w:tcBorders>
            <w:shd w:val="clear" w:color="000000" w:fill="FFFF00"/>
            <w:noWrap/>
            <w:vAlign w:val="center"/>
            <w:hideMark/>
          </w:tcPr>
          <w:p w14:paraId="065F50E1"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0.2990</w:t>
            </w:r>
          </w:p>
        </w:tc>
        <w:tc>
          <w:tcPr>
            <w:tcW w:w="1279" w:type="pct"/>
            <w:tcBorders>
              <w:top w:val="nil"/>
              <w:left w:val="nil"/>
              <w:bottom w:val="single" w:sz="4" w:space="0" w:color="auto"/>
              <w:right w:val="single" w:sz="4" w:space="0" w:color="auto"/>
            </w:tcBorders>
            <w:shd w:val="clear" w:color="000000" w:fill="92D050"/>
            <w:noWrap/>
            <w:vAlign w:val="center"/>
            <w:hideMark/>
          </w:tcPr>
          <w:p w14:paraId="11AE7752"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0.4285</w:t>
            </w:r>
          </w:p>
        </w:tc>
        <w:tc>
          <w:tcPr>
            <w:tcW w:w="1279" w:type="pct"/>
            <w:tcBorders>
              <w:top w:val="nil"/>
              <w:left w:val="nil"/>
              <w:bottom w:val="single" w:sz="4" w:space="0" w:color="auto"/>
              <w:right w:val="single" w:sz="4" w:space="0" w:color="auto"/>
            </w:tcBorders>
            <w:shd w:val="clear" w:color="000000" w:fill="FF0000"/>
            <w:noWrap/>
            <w:vAlign w:val="center"/>
            <w:hideMark/>
          </w:tcPr>
          <w:p w14:paraId="6D244560"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-0.0739</w:t>
            </w:r>
          </w:p>
        </w:tc>
      </w:tr>
    </w:tbl>
    <w:p w14:paraId="15112849" w14:textId="77777777" w:rsidR="00236A5B" w:rsidRPr="00F7228F" w:rsidRDefault="00236A5B" w:rsidP="000B242D">
      <w:pPr>
        <w:spacing w:after="0" w:line="276" w:lineRule="auto"/>
        <w:rPr>
          <w:rFonts w:ascii="Arial" w:hAnsi="Arial" w:cs="Arial"/>
          <w:b/>
          <w:bCs/>
        </w:rPr>
      </w:pPr>
    </w:p>
    <w:p w14:paraId="0A72A201" w14:textId="77777777" w:rsidR="00236A5B" w:rsidRPr="00F7228F" w:rsidRDefault="00236A5B" w:rsidP="000B242D">
      <w:pPr>
        <w:spacing w:after="0" w:line="276" w:lineRule="auto"/>
        <w:rPr>
          <w:rFonts w:ascii="Arial" w:hAnsi="Arial" w:cs="Arial"/>
          <w:b/>
          <w:bCs/>
        </w:rPr>
      </w:pPr>
    </w:p>
    <w:p w14:paraId="3FCBB0C4" w14:textId="77777777" w:rsidR="000D37D1" w:rsidRPr="00F7228F" w:rsidRDefault="000D37D1" w:rsidP="000B242D">
      <w:pPr>
        <w:spacing w:after="0" w:line="276" w:lineRule="auto"/>
        <w:rPr>
          <w:rFonts w:ascii="Arial" w:hAnsi="Arial" w:cs="Arial"/>
          <w:b/>
          <w:bCs/>
        </w:rPr>
      </w:pPr>
    </w:p>
    <w:p w14:paraId="05D7FB40" w14:textId="77777777" w:rsidR="000D37D1" w:rsidRPr="00F7228F" w:rsidRDefault="000D37D1" w:rsidP="000B242D">
      <w:pPr>
        <w:spacing w:after="0" w:line="276" w:lineRule="auto"/>
        <w:rPr>
          <w:rFonts w:ascii="Arial" w:hAnsi="Arial" w:cs="Arial"/>
          <w:b/>
          <w:bCs/>
        </w:rPr>
      </w:pPr>
    </w:p>
    <w:p w14:paraId="1004130C" w14:textId="77777777" w:rsidR="000D37D1" w:rsidRPr="00F7228F" w:rsidRDefault="000D37D1" w:rsidP="000B242D">
      <w:pPr>
        <w:spacing w:after="0" w:line="276" w:lineRule="auto"/>
        <w:rPr>
          <w:rFonts w:ascii="Arial" w:hAnsi="Arial" w:cs="Arial"/>
          <w:b/>
          <w:bCs/>
        </w:rPr>
      </w:pPr>
    </w:p>
    <w:p w14:paraId="5C19E828" w14:textId="77777777" w:rsidR="000D37D1" w:rsidRPr="00F7228F" w:rsidRDefault="000D37D1" w:rsidP="000B242D">
      <w:pPr>
        <w:spacing w:after="0" w:line="276" w:lineRule="auto"/>
        <w:rPr>
          <w:rFonts w:ascii="Arial" w:hAnsi="Arial" w:cs="Arial"/>
          <w:b/>
          <w:bCs/>
        </w:rPr>
      </w:pPr>
    </w:p>
    <w:p w14:paraId="49C75E76" w14:textId="77777777" w:rsidR="000D37D1" w:rsidRPr="00F7228F" w:rsidRDefault="000D37D1" w:rsidP="000B242D">
      <w:pPr>
        <w:spacing w:after="0" w:line="276" w:lineRule="auto"/>
        <w:rPr>
          <w:rFonts w:ascii="Arial" w:hAnsi="Arial" w:cs="Arial"/>
          <w:b/>
          <w:bCs/>
        </w:rPr>
      </w:pPr>
    </w:p>
    <w:p w14:paraId="3F60B047" w14:textId="77777777" w:rsidR="000D37D1" w:rsidRPr="00F7228F" w:rsidRDefault="000D37D1" w:rsidP="000B242D">
      <w:pPr>
        <w:spacing w:after="0" w:line="276" w:lineRule="auto"/>
        <w:rPr>
          <w:rFonts w:ascii="Arial" w:hAnsi="Arial" w:cs="Arial"/>
          <w:b/>
          <w:bCs/>
        </w:rPr>
      </w:pPr>
    </w:p>
    <w:p w14:paraId="62B42CE5" w14:textId="77777777" w:rsidR="000D37D1" w:rsidRPr="00F7228F" w:rsidRDefault="000D37D1" w:rsidP="000B242D">
      <w:pPr>
        <w:spacing w:after="0" w:line="276" w:lineRule="auto"/>
        <w:rPr>
          <w:rFonts w:ascii="Arial" w:hAnsi="Arial" w:cs="Arial"/>
          <w:b/>
          <w:bCs/>
        </w:rPr>
      </w:pPr>
    </w:p>
    <w:p w14:paraId="5379B018" w14:textId="77777777" w:rsidR="000D37D1" w:rsidRPr="00F7228F" w:rsidRDefault="000D37D1" w:rsidP="000B242D">
      <w:pPr>
        <w:spacing w:after="0" w:line="276" w:lineRule="auto"/>
        <w:rPr>
          <w:rFonts w:ascii="Arial" w:hAnsi="Arial" w:cs="Arial"/>
          <w:b/>
          <w:bCs/>
        </w:rPr>
      </w:pPr>
    </w:p>
    <w:p w14:paraId="6ABDA899" w14:textId="77777777" w:rsidR="00236A5B" w:rsidRPr="00F7228F" w:rsidRDefault="00236A5B" w:rsidP="000B242D">
      <w:pPr>
        <w:spacing w:after="0" w:line="276" w:lineRule="auto"/>
        <w:rPr>
          <w:rFonts w:ascii="Arial" w:hAnsi="Arial" w:cs="Arial"/>
          <w:b/>
          <w:bCs/>
        </w:rPr>
      </w:pPr>
    </w:p>
    <w:p w14:paraId="08F9E42E" w14:textId="1EA39741" w:rsidR="00236A5B" w:rsidRPr="00F7228F" w:rsidRDefault="00236A5B" w:rsidP="000B242D">
      <w:pPr>
        <w:spacing w:after="0" w:line="276" w:lineRule="auto"/>
        <w:rPr>
          <w:rFonts w:ascii="Arial" w:hAnsi="Arial" w:cs="Arial"/>
        </w:rPr>
      </w:pPr>
      <w:r w:rsidRPr="00F7228F">
        <w:rPr>
          <w:rFonts w:ascii="Arial" w:hAnsi="Arial" w:cs="Arial"/>
          <w:b/>
          <w:bCs/>
        </w:rPr>
        <w:lastRenderedPageBreak/>
        <w:t xml:space="preserve">Supplementary Figure 3 – </w:t>
      </w:r>
      <w:r w:rsidRPr="00F7228F">
        <w:rPr>
          <w:rFonts w:ascii="Arial" w:hAnsi="Arial" w:cs="Arial"/>
        </w:rPr>
        <w:t>a) A scree plot of the principal components for plasma cytokines. b) Heat map of the eigenvectors that form each component of the plasma cytokine principal components</w:t>
      </w:r>
      <w:r w:rsidR="00934EEC" w:rsidRPr="00F7228F">
        <w:rPr>
          <w:rFonts w:ascii="Arial" w:hAnsi="Arial" w:cs="Arial"/>
        </w:rPr>
        <w:t>. Green = magnitude &gt; 0.3; Yellow = magnitude &gt; 0.1; Red = magnitude &lt; 0.1.</w:t>
      </w:r>
    </w:p>
    <w:p w14:paraId="75B37014" w14:textId="77777777" w:rsidR="00236A5B" w:rsidRPr="00F7228F" w:rsidRDefault="00236A5B" w:rsidP="000B242D">
      <w:pPr>
        <w:spacing w:after="0" w:line="276" w:lineRule="auto"/>
        <w:rPr>
          <w:rFonts w:ascii="Arial" w:hAnsi="Arial" w:cs="Arial"/>
        </w:rPr>
      </w:pPr>
      <w:r w:rsidRPr="00F7228F">
        <w:rPr>
          <w:rFonts w:ascii="Arial" w:hAnsi="Arial" w:cs="Arial"/>
          <w:noProof/>
          <w14:ligatures w14:val="standardContextual"/>
        </w:rPr>
        <mc:AlternateContent>
          <mc:Choice Requires="wps">
            <w:drawing>
              <wp:inline distT="0" distB="0" distL="0" distR="0" wp14:anchorId="46F230D1" wp14:editId="5447AEA5">
                <wp:extent cx="284480" cy="254000"/>
                <wp:effectExtent l="0" t="0" r="1270" b="0"/>
                <wp:docPr id="556232892" name="Text Box 556232892"/>
                <wp:cNvGraphicFramePr/>
                <a:graphic xmlns:a="http://schemas.openxmlformats.org/drawingml/2006/main">
                  <a:graphicData uri="http://schemas.microsoft.com/office/word/2010/wordprocessingShape">
                    <wps:wsp>
                      <wps:cNvSpPr txBox="1"/>
                      <wps:spPr>
                        <a:xfrm>
                          <a:off x="0" y="0"/>
                          <a:ext cx="284480" cy="254000"/>
                        </a:xfrm>
                        <a:prstGeom prst="rect">
                          <a:avLst/>
                        </a:prstGeom>
                        <a:solidFill>
                          <a:schemeClr val="lt1"/>
                        </a:solidFill>
                        <a:ln w="6350">
                          <a:noFill/>
                        </a:ln>
                      </wps:spPr>
                      <wps:txbx>
                        <w:txbxContent>
                          <w:p w14:paraId="4FC0CBBE" w14:textId="77777777" w:rsidR="00236A5B" w:rsidRPr="00DC09F1" w:rsidRDefault="00236A5B" w:rsidP="00236A5B">
                            <w:pPr>
                              <w:rPr>
                                <w:b/>
                                <w:bCs/>
                              </w:rPr>
                            </w:pPr>
                            <w:r w:rsidRPr="00DC09F1">
                              <w:rPr>
                                <w:b/>
                                <w:bC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F230D1" id="Text Box 556232892" o:spid="_x0000_s1028" type="#_x0000_t202" style="width:22.4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" fillcolor="white [3201]" stroked="f" strokeweight=".5pt">
                <v:textbox>
                  <w:txbxContent>
                    <w:p w14:paraId="4FC0CBBE" w14:textId="77777777" w:rsidR="00236A5B" w:rsidRPr="00DC09F1" w:rsidRDefault="00236A5B" w:rsidP="00236A5B">
                      <w:pPr>
                        <w:rPr>
                          <w:b/>
                          <w:bCs/>
                        </w:rPr>
                      </w:pPr>
                      <w:r w:rsidRPr="00DC09F1">
                        <w:rPr>
                          <w:b/>
                          <w:bCs/>
                        </w:rPr>
                        <w:t>A</w:t>
                      </w:r>
                    </w:p>
                  </w:txbxContent>
                </v:textbox>
                <w10:anchorlock/>
              </v:shape>
            </w:pict>
          </mc:Fallback>
        </mc:AlternateContent>
      </w:r>
    </w:p>
    <w:p w14:paraId="7FDFB861" w14:textId="351CA191" w:rsidR="00236A5B" w:rsidRPr="00F7228F" w:rsidRDefault="000D37D1" w:rsidP="000B242D">
      <w:pPr>
        <w:spacing w:after="0" w:line="276" w:lineRule="auto"/>
        <w:rPr>
          <w:rFonts w:ascii="Arial" w:hAnsi="Arial" w:cs="Arial"/>
        </w:rPr>
      </w:pPr>
      <w:r w:rsidRPr="00F7228F">
        <w:rPr>
          <w:rFonts w:ascii="Arial" w:hAnsi="Arial" w:cs="Arial"/>
          <w:noProof/>
        </w:rPr>
        <w:drawing>
          <wp:inline distT="0" distB="0" distL="0" distR="0" wp14:anchorId="34FBEAC4" wp14:editId="012BE3C6">
            <wp:extent cx="5731510" cy="3439160"/>
            <wp:effectExtent l="0" t="0" r="2540" b="8890"/>
            <wp:docPr id="9842525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439160"/>
                    </a:xfrm>
                    <a:prstGeom prst="rect">
                      <a:avLst/>
                    </a:prstGeom>
                    <a:noFill/>
                    <a:ln>
                      <a:noFill/>
                    </a:ln>
                  </pic:spPr>
                </pic:pic>
              </a:graphicData>
            </a:graphic>
          </wp:inline>
        </w:drawing>
      </w:r>
    </w:p>
    <w:p w14:paraId="44B17107" w14:textId="77777777" w:rsidR="00236A5B" w:rsidRPr="00F7228F" w:rsidRDefault="00236A5B" w:rsidP="000B242D">
      <w:pPr>
        <w:spacing w:after="0" w:line="276" w:lineRule="auto"/>
        <w:rPr>
          <w:rFonts w:ascii="Arial" w:hAnsi="Arial" w:cs="Arial"/>
        </w:rPr>
      </w:pPr>
      <w:r w:rsidRPr="00F7228F">
        <w:rPr>
          <w:rFonts w:ascii="Arial" w:hAnsi="Arial" w:cs="Arial"/>
          <w:noProof/>
          <w14:ligatures w14:val="standardContextual"/>
        </w:rPr>
        <mc:AlternateContent>
          <mc:Choice Requires="wps">
            <w:drawing>
              <wp:inline distT="0" distB="0" distL="0" distR="0" wp14:anchorId="3EEF5987" wp14:editId="7F4A56B2">
                <wp:extent cx="284480" cy="254000"/>
                <wp:effectExtent l="0" t="0" r="1270" b="0"/>
                <wp:docPr id="302998348" name="Text Box 302998348"/>
                <wp:cNvGraphicFramePr/>
                <a:graphic xmlns:a="http://schemas.openxmlformats.org/drawingml/2006/main">
                  <a:graphicData uri="http://schemas.microsoft.com/office/word/2010/wordprocessingShape">
                    <wps:wsp>
                      <wps:cNvSpPr txBox="1"/>
                      <wps:spPr>
                        <a:xfrm>
                          <a:off x="0" y="0"/>
                          <a:ext cx="284480" cy="254000"/>
                        </a:xfrm>
                        <a:prstGeom prst="rect">
                          <a:avLst/>
                        </a:prstGeom>
                        <a:solidFill>
                          <a:schemeClr val="lt1"/>
                        </a:solidFill>
                        <a:ln w="6350">
                          <a:noFill/>
                        </a:ln>
                      </wps:spPr>
                      <wps:txbx>
                        <w:txbxContent>
                          <w:p w14:paraId="3255214D" w14:textId="77777777" w:rsidR="00236A5B" w:rsidRPr="00DC09F1" w:rsidRDefault="00236A5B" w:rsidP="00236A5B">
                            <w:pPr>
                              <w:rPr>
                                <w:b/>
                                <w:bCs/>
                              </w:rPr>
                            </w:pPr>
                            <w:r>
                              <w:rPr>
                                <w:b/>
                                <w:bC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EF5987" id="Text Box 302998348" o:spid="_x0000_s1029" type="#_x0000_t202" style="width:22.4pt;height:2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" fillcolor="white [3201]" stroked="f" strokeweight=".5pt">
                <v:textbox>
                  <w:txbxContent>
                    <w:p w14:paraId="3255214D" w14:textId="77777777" w:rsidR="00236A5B" w:rsidRPr="00DC09F1" w:rsidRDefault="00236A5B" w:rsidP="00236A5B">
                      <w:pPr>
                        <w:rPr>
                          <w:b/>
                          <w:bCs/>
                        </w:rPr>
                      </w:pPr>
                      <w:r>
                        <w:rPr>
                          <w:b/>
                          <w:bCs/>
                        </w:rPr>
                        <w:t>B</w:t>
                      </w:r>
                    </w:p>
                  </w:txbxContent>
                </v:textbox>
                <w10:anchorlock/>
              </v:shape>
            </w:pict>
          </mc:Fallback>
        </mc:AlternateContent>
      </w:r>
    </w:p>
    <w:tbl>
      <w:tblPr>
        <w:tblW w:w="5000" w:type="pct"/>
        <w:tblLook w:val="04A0" w:firstRow="1" w:lastRow="0" w:firstColumn="1" w:lastColumn="0" w:noHBand="0" w:noVBand="1"/>
      </w:tblPr>
      <w:tblGrid>
        <w:gridCol w:w="1856"/>
        <w:gridCol w:w="1788"/>
        <w:gridCol w:w="1788"/>
        <w:gridCol w:w="1787"/>
        <w:gridCol w:w="1787"/>
      </w:tblGrid>
      <w:tr w:rsidR="00F544A0" w:rsidRPr="00F7228F" w14:paraId="02E32AC9" w14:textId="77777777" w:rsidTr="000D37D1">
        <w:trPr>
          <w:trHeight w:val="300"/>
        </w:trPr>
        <w:tc>
          <w:tcPr>
            <w:tcW w:w="103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49E2E5"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Variable</w:t>
            </w:r>
          </w:p>
        </w:tc>
        <w:tc>
          <w:tcPr>
            <w:tcW w:w="992" w:type="pct"/>
            <w:tcBorders>
              <w:top w:val="single" w:sz="8" w:space="0" w:color="auto"/>
              <w:left w:val="nil"/>
              <w:bottom w:val="single" w:sz="8" w:space="0" w:color="auto"/>
              <w:right w:val="single" w:sz="8" w:space="0" w:color="auto"/>
            </w:tcBorders>
            <w:shd w:val="clear" w:color="auto" w:fill="auto"/>
            <w:noWrap/>
            <w:vAlign w:val="center"/>
            <w:hideMark/>
          </w:tcPr>
          <w:p w14:paraId="3B9264BA"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1</w:t>
            </w:r>
          </w:p>
        </w:tc>
        <w:tc>
          <w:tcPr>
            <w:tcW w:w="992" w:type="pct"/>
            <w:tcBorders>
              <w:top w:val="single" w:sz="8" w:space="0" w:color="auto"/>
              <w:left w:val="nil"/>
              <w:bottom w:val="single" w:sz="8" w:space="0" w:color="auto"/>
              <w:right w:val="single" w:sz="8" w:space="0" w:color="auto"/>
            </w:tcBorders>
            <w:shd w:val="clear" w:color="auto" w:fill="auto"/>
            <w:noWrap/>
            <w:vAlign w:val="center"/>
            <w:hideMark/>
          </w:tcPr>
          <w:p w14:paraId="7A2EFEDF"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2</w:t>
            </w:r>
          </w:p>
        </w:tc>
        <w:tc>
          <w:tcPr>
            <w:tcW w:w="992" w:type="pct"/>
            <w:tcBorders>
              <w:top w:val="single" w:sz="8" w:space="0" w:color="auto"/>
              <w:left w:val="nil"/>
              <w:bottom w:val="single" w:sz="8" w:space="0" w:color="auto"/>
              <w:right w:val="single" w:sz="8" w:space="0" w:color="auto"/>
            </w:tcBorders>
            <w:shd w:val="clear" w:color="auto" w:fill="auto"/>
            <w:noWrap/>
            <w:vAlign w:val="center"/>
            <w:hideMark/>
          </w:tcPr>
          <w:p w14:paraId="77F49FE7"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3</w:t>
            </w:r>
          </w:p>
        </w:tc>
        <w:tc>
          <w:tcPr>
            <w:tcW w:w="992" w:type="pct"/>
            <w:tcBorders>
              <w:top w:val="single" w:sz="8" w:space="0" w:color="auto"/>
              <w:left w:val="nil"/>
              <w:bottom w:val="single" w:sz="8" w:space="0" w:color="auto"/>
              <w:right w:val="single" w:sz="8" w:space="0" w:color="auto"/>
            </w:tcBorders>
            <w:shd w:val="clear" w:color="auto" w:fill="auto"/>
            <w:noWrap/>
            <w:vAlign w:val="center"/>
            <w:hideMark/>
          </w:tcPr>
          <w:p w14:paraId="7EA75A86"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Component 4</w:t>
            </w:r>
          </w:p>
        </w:tc>
      </w:tr>
      <w:tr w:rsidR="00F544A0" w:rsidRPr="00F7228F" w14:paraId="51A54459"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5FED1132"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IL-1β</w:t>
            </w:r>
          </w:p>
        </w:tc>
        <w:tc>
          <w:tcPr>
            <w:tcW w:w="992" w:type="pct"/>
            <w:tcBorders>
              <w:top w:val="nil"/>
              <w:left w:val="nil"/>
              <w:bottom w:val="single" w:sz="8" w:space="0" w:color="auto"/>
              <w:right w:val="single" w:sz="8" w:space="0" w:color="auto"/>
            </w:tcBorders>
            <w:shd w:val="clear" w:color="000000" w:fill="FFFF00"/>
            <w:noWrap/>
            <w:vAlign w:val="center"/>
            <w:hideMark/>
          </w:tcPr>
          <w:p w14:paraId="24B9A381"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0.2596</w:t>
            </w:r>
          </w:p>
        </w:tc>
        <w:tc>
          <w:tcPr>
            <w:tcW w:w="992" w:type="pct"/>
            <w:tcBorders>
              <w:top w:val="nil"/>
              <w:left w:val="nil"/>
              <w:bottom w:val="single" w:sz="8" w:space="0" w:color="auto"/>
              <w:right w:val="single" w:sz="8" w:space="0" w:color="auto"/>
            </w:tcBorders>
            <w:shd w:val="clear" w:color="000000" w:fill="92D050"/>
            <w:noWrap/>
            <w:vAlign w:val="center"/>
            <w:hideMark/>
          </w:tcPr>
          <w:p w14:paraId="00C24B68"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0.5220</w:t>
            </w:r>
          </w:p>
        </w:tc>
        <w:tc>
          <w:tcPr>
            <w:tcW w:w="992" w:type="pct"/>
            <w:tcBorders>
              <w:top w:val="nil"/>
              <w:left w:val="nil"/>
              <w:bottom w:val="single" w:sz="8" w:space="0" w:color="auto"/>
              <w:right w:val="single" w:sz="8" w:space="0" w:color="auto"/>
            </w:tcBorders>
            <w:shd w:val="clear" w:color="000000" w:fill="FF0000"/>
            <w:noWrap/>
            <w:vAlign w:val="center"/>
            <w:hideMark/>
          </w:tcPr>
          <w:p w14:paraId="38D3897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-0.0888</w:t>
            </w:r>
          </w:p>
        </w:tc>
        <w:tc>
          <w:tcPr>
            <w:tcW w:w="992" w:type="pct"/>
            <w:tcBorders>
              <w:top w:val="nil"/>
              <w:left w:val="nil"/>
              <w:bottom w:val="single" w:sz="8" w:space="0" w:color="auto"/>
              <w:right w:val="single" w:sz="8" w:space="0" w:color="auto"/>
            </w:tcBorders>
            <w:shd w:val="clear" w:color="000000" w:fill="FF0000"/>
            <w:noWrap/>
            <w:vAlign w:val="center"/>
            <w:hideMark/>
          </w:tcPr>
          <w:p w14:paraId="264D1B9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-0.0995</w:t>
            </w:r>
          </w:p>
        </w:tc>
      </w:tr>
      <w:tr w:rsidR="00F544A0" w:rsidRPr="00F7228F" w14:paraId="08BF5B1A"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4C3BD9D5"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IL-2</w:t>
            </w:r>
          </w:p>
        </w:tc>
        <w:tc>
          <w:tcPr>
            <w:tcW w:w="992" w:type="pct"/>
            <w:tcBorders>
              <w:top w:val="nil"/>
              <w:left w:val="nil"/>
              <w:bottom w:val="single" w:sz="8" w:space="0" w:color="auto"/>
              <w:right w:val="single" w:sz="8" w:space="0" w:color="auto"/>
            </w:tcBorders>
            <w:shd w:val="clear" w:color="000000" w:fill="FF0000"/>
            <w:noWrap/>
            <w:vAlign w:val="center"/>
            <w:hideMark/>
          </w:tcPr>
          <w:p w14:paraId="2F208F81"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0.0081</w:t>
            </w:r>
          </w:p>
        </w:tc>
        <w:tc>
          <w:tcPr>
            <w:tcW w:w="992" w:type="pct"/>
            <w:tcBorders>
              <w:top w:val="nil"/>
              <w:left w:val="nil"/>
              <w:bottom w:val="single" w:sz="8" w:space="0" w:color="auto"/>
              <w:right w:val="single" w:sz="8" w:space="0" w:color="auto"/>
            </w:tcBorders>
            <w:shd w:val="clear" w:color="000000" w:fill="92D050"/>
            <w:noWrap/>
            <w:vAlign w:val="center"/>
            <w:hideMark/>
          </w:tcPr>
          <w:p w14:paraId="0F2E1A83"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0.4985</w:t>
            </w:r>
          </w:p>
        </w:tc>
        <w:tc>
          <w:tcPr>
            <w:tcW w:w="992" w:type="pct"/>
            <w:tcBorders>
              <w:top w:val="nil"/>
              <w:left w:val="nil"/>
              <w:bottom w:val="single" w:sz="8" w:space="0" w:color="auto"/>
              <w:right w:val="single" w:sz="8" w:space="0" w:color="auto"/>
            </w:tcBorders>
            <w:shd w:val="clear" w:color="000000" w:fill="FFFF00"/>
            <w:noWrap/>
            <w:vAlign w:val="center"/>
            <w:hideMark/>
          </w:tcPr>
          <w:p w14:paraId="76BBD47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0.1021</w:t>
            </w:r>
          </w:p>
        </w:tc>
        <w:tc>
          <w:tcPr>
            <w:tcW w:w="992" w:type="pct"/>
            <w:tcBorders>
              <w:top w:val="nil"/>
              <w:left w:val="nil"/>
              <w:bottom w:val="single" w:sz="8" w:space="0" w:color="auto"/>
              <w:right w:val="single" w:sz="8" w:space="0" w:color="auto"/>
            </w:tcBorders>
            <w:shd w:val="clear" w:color="000000" w:fill="FFFF00"/>
            <w:noWrap/>
            <w:vAlign w:val="center"/>
            <w:hideMark/>
          </w:tcPr>
          <w:p w14:paraId="1ED331B3"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-0.2888</w:t>
            </w:r>
          </w:p>
        </w:tc>
      </w:tr>
      <w:tr w:rsidR="00F544A0" w:rsidRPr="00F7228F" w14:paraId="2B4585E9"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3016AB85"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IL-4</w:t>
            </w:r>
          </w:p>
        </w:tc>
        <w:tc>
          <w:tcPr>
            <w:tcW w:w="992" w:type="pct"/>
            <w:tcBorders>
              <w:top w:val="nil"/>
              <w:left w:val="nil"/>
              <w:bottom w:val="single" w:sz="8" w:space="0" w:color="auto"/>
              <w:right w:val="single" w:sz="8" w:space="0" w:color="auto"/>
            </w:tcBorders>
            <w:shd w:val="clear" w:color="000000" w:fill="FFFF00"/>
            <w:noWrap/>
            <w:vAlign w:val="center"/>
            <w:hideMark/>
          </w:tcPr>
          <w:p w14:paraId="70BED432"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0.2003</w:t>
            </w:r>
          </w:p>
        </w:tc>
        <w:tc>
          <w:tcPr>
            <w:tcW w:w="992" w:type="pct"/>
            <w:tcBorders>
              <w:top w:val="nil"/>
              <w:left w:val="nil"/>
              <w:bottom w:val="single" w:sz="8" w:space="0" w:color="auto"/>
              <w:right w:val="single" w:sz="8" w:space="0" w:color="auto"/>
            </w:tcBorders>
            <w:shd w:val="clear" w:color="000000" w:fill="92D050"/>
            <w:noWrap/>
            <w:vAlign w:val="center"/>
            <w:hideMark/>
          </w:tcPr>
          <w:p w14:paraId="63DF7BEC"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0.4219</w:t>
            </w:r>
          </w:p>
        </w:tc>
        <w:tc>
          <w:tcPr>
            <w:tcW w:w="992" w:type="pct"/>
            <w:tcBorders>
              <w:top w:val="nil"/>
              <w:left w:val="nil"/>
              <w:bottom w:val="single" w:sz="8" w:space="0" w:color="auto"/>
              <w:right w:val="single" w:sz="8" w:space="0" w:color="auto"/>
            </w:tcBorders>
            <w:shd w:val="clear" w:color="000000" w:fill="FFFF00"/>
            <w:noWrap/>
            <w:vAlign w:val="center"/>
            <w:hideMark/>
          </w:tcPr>
          <w:p w14:paraId="0FA1ED0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0.1355</w:t>
            </w:r>
          </w:p>
        </w:tc>
        <w:tc>
          <w:tcPr>
            <w:tcW w:w="992" w:type="pct"/>
            <w:tcBorders>
              <w:top w:val="nil"/>
              <w:left w:val="nil"/>
              <w:bottom w:val="single" w:sz="8" w:space="0" w:color="auto"/>
              <w:right w:val="single" w:sz="8" w:space="0" w:color="auto"/>
            </w:tcBorders>
            <w:shd w:val="clear" w:color="000000" w:fill="92D050"/>
            <w:noWrap/>
            <w:vAlign w:val="center"/>
            <w:hideMark/>
          </w:tcPr>
          <w:p w14:paraId="520E9BF4"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0.3758</w:t>
            </w:r>
          </w:p>
        </w:tc>
      </w:tr>
      <w:tr w:rsidR="00F544A0" w:rsidRPr="00F7228F" w14:paraId="1B704CAA"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252F0B72"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IL-6</w:t>
            </w:r>
          </w:p>
        </w:tc>
        <w:tc>
          <w:tcPr>
            <w:tcW w:w="992" w:type="pct"/>
            <w:tcBorders>
              <w:top w:val="nil"/>
              <w:left w:val="nil"/>
              <w:bottom w:val="single" w:sz="8" w:space="0" w:color="auto"/>
              <w:right w:val="single" w:sz="8" w:space="0" w:color="auto"/>
            </w:tcBorders>
            <w:shd w:val="clear" w:color="000000" w:fill="92D050"/>
            <w:noWrap/>
            <w:vAlign w:val="center"/>
            <w:hideMark/>
          </w:tcPr>
          <w:p w14:paraId="18D6D90D"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0.3984</w:t>
            </w:r>
          </w:p>
        </w:tc>
        <w:tc>
          <w:tcPr>
            <w:tcW w:w="992" w:type="pct"/>
            <w:tcBorders>
              <w:top w:val="nil"/>
              <w:left w:val="nil"/>
              <w:bottom w:val="single" w:sz="8" w:space="0" w:color="auto"/>
              <w:right w:val="single" w:sz="8" w:space="0" w:color="auto"/>
            </w:tcBorders>
            <w:shd w:val="clear" w:color="000000" w:fill="FFFF00"/>
            <w:noWrap/>
            <w:vAlign w:val="center"/>
            <w:hideMark/>
          </w:tcPr>
          <w:p w14:paraId="055189E3"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0.1051</w:t>
            </w:r>
          </w:p>
        </w:tc>
        <w:tc>
          <w:tcPr>
            <w:tcW w:w="992" w:type="pct"/>
            <w:tcBorders>
              <w:top w:val="nil"/>
              <w:left w:val="nil"/>
              <w:bottom w:val="single" w:sz="8" w:space="0" w:color="auto"/>
              <w:right w:val="single" w:sz="8" w:space="0" w:color="auto"/>
            </w:tcBorders>
            <w:shd w:val="clear" w:color="000000" w:fill="FFFF00"/>
            <w:noWrap/>
            <w:vAlign w:val="center"/>
            <w:hideMark/>
          </w:tcPr>
          <w:p w14:paraId="24238BD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-0.2790</w:t>
            </w:r>
          </w:p>
        </w:tc>
        <w:tc>
          <w:tcPr>
            <w:tcW w:w="992" w:type="pct"/>
            <w:tcBorders>
              <w:top w:val="nil"/>
              <w:left w:val="nil"/>
              <w:bottom w:val="single" w:sz="8" w:space="0" w:color="auto"/>
              <w:right w:val="single" w:sz="8" w:space="0" w:color="auto"/>
            </w:tcBorders>
            <w:shd w:val="clear" w:color="000000" w:fill="FFFF00"/>
            <w:noWrap/>
            <w:vAlign w:val="center"/>
            <w:hideMark/>
          </w:tcPr>
          <w:p w14:paraId="02B9017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-0.1741</w:t>
            </w:r>
          </w:p>
        </w:tc>
      </w:tr>
      <w:tr w:rsidR="00F544A0" w:rsidRPr="00F7228F" w14:paraId="67AEEC53"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3E39C7E3"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IL-8</w:t>
            </w:r>
          </w:p>
        </w:tc>
        <w:tc>
          <w:tcPr>
            <w:tcW w:w="992" w:type="pct"/>
            <w:tcBorders>
              <w:top w:val="nil"/>
              <w:left w:val="nil"/>
              <w:bottom w:val="single" w:sz="8" w:space="0" w:color="auto"/>
              <w:right w:val="single" w:sz="8" w:space="0" w:color="auto"/>
            </w:tcBorders>
            <w:shd w:val="clear" w:color="000000" w:fill="92D050"/>
            <w:noWrap/>
            <w:vAlign w:val="center"/>
            <w:hideMark/>
          </w:tcPr>
          <w:p w14:paraId="49B616CC"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0.4007</w:t>
            </w:r>
          </w:p>
        </w:tc>
        <w:tc>
          <w:tcPr>
            <w:tcW w:w="992" w:type="pct"/>
            <w:tcBorders>
              <w:top w:val="nil"/>
              <w:left w:val="nil"/>
              <w:bottom w:val="single" w:sz="8" w:space="0" w:color="auto"/>
              <w:right w:val="single" w:sz="8" w:space="0" w:color="auto"/>
            </w:tcBorders>
            <w:shd w:val="clear" w:color="000000" w:fill="FFFF00"/>
            <w:noWrap/>
            <w:vAlign w:val="center"/>
            <w:hideMark/>
          </w:tcPr>
          <w:p w14:paraId="699566F3"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-0.2829</w:t>
            </w:r>
          </w:p>
        </w:tc>
        <w:tc>
          <w:tcPr>
            <w:tcW w:w="992" w:type="pct"/>
            <w:tcBorders>
              <w:top w:val="nil"/>
              <w:left w:val="nil"/>
              <w:bottom w:val="single" w:sz="8" w:space="0" w:color="auto"/>
              <w:right w:val="single" w:sz="8" w:space="0" w:color="auto"/>
            </w:tcBorders>
            <w:shd w:val="clear" w:color="000000" w:fill="92D050"/>
            <w:noWrap/>
            <w:vAlign w:val="center"/>
            <w:hideMark/>
          </w:tcPr>
          <w:p w14:paraId="239B6620"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-0.3974</w:t>
            </w:r>
          </w:p>
        </w:tc>
        <w:tc>
          <w:tcPr>
            <w:tcW w:w="992" w:type="pct"/>
            <w:tcBorders>
              <w:top w:val="nil"/>
              <w:left w:val="nil"/>
              <w:bottom w:val="single" w:sz="8" w:space="0" w:color="auto"/>
              <w:right w:val="single" w:sz="8" w:space="0" w:color="auto"/>
            </w:tcBorders>
            <w:shd w:val="clear" w:color="000000" w:fill="FF0000"/>
            <w:noWrap/>
            <w:vAlign w:val="center"/>
            <w:hideMark/>
          </w:tcPr>
          <w:p w14:paraId="1BA9980B"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0.0146</w:t>
            </w:r>
          </w:p>
        </w:tc>
      </w:tr>
      <w:tr w:rsidR="00F544A0" w:rsidRPr="00F7228F" w14:paraId="7CA847DA"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3CAD0AB6"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IL-10</w:t>
            </w:r>
          </w:p>
        </w:tc>
        <w:tc>
          <w:tcPr>
            <w:tcW w:w="992" w:type="pct"/>
            <w:tcBorders>
              <w:top w:val="nil"/>
              <w:left w:val="nil"/>
              <w:bottom w:val="single" w:sz="8" w:space="0" w:color="auto"/>
              <w:right w:val="single" w:sz="8" w:space="0" w:color="auto"/>
            </w:tcBorders>
            <w:shd w:val="clear" w:color="000000" w:fill="FF0000"/>
            <w:noWrap/>
            <w:vAlign w:val="center"/>
            <w:hideMark/>
          </w:tcPr>
          <w:p w14:paraId="5580CACC"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0.0490</w:t>
            </w:r>
          </w:p>
        </w:tc>
        <w:tc>
          <w:tcPr>
            <w:tcW w:w="992" w:type="pct"/>
            <w:tcBorders>
              <w:top w:val="nil"/>
              <w:left w:val="nil"/>
              <w:bottom w:val="single" w:sz="8" w:space="0" w:color="auto"/>
              <w:right w:val="single" w:sz="8" w:space="0" w:color="auto"/>
            </w:tcBorders>
            <w:shd w:val="clear" w:color="000000" w:fill="FFFF00"/>
            <w:noWrap/>
            <w:vAlign w:val="center"/>
            <w:hideMark/>
          </w:tcPr>
          <w:p w14:paraId="48F0D66A"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0.2079</w:t>
            </w:r>
          </w:p>
        </w:tc>
        <w:tc>
          <w:tcPr>
            <w:tcW w:w="992" w:type="pct"/>
            <w:tcBorders>
              <w:top w:val="nil"/>
              <w:left w:val="nil"/>
              <w:bottom w:val="single" w:sz="8" w:space="0" w:color="auto"/>
              <w:right w:val="single" w:sz="8" w:space="0" w:color="auto"/>
            </w:tcBorders>
            <w:shd w:val="clear" w:color="000000" w:fill="92D050"/>
            <w:noWrap/>
            <w:vAlign w:val="center"/>
            <w:hideMark/>
          </w:tcPr>
          <w:p w14:paraId="5A5E8656"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-0.5357</w:t>
            </w:r>
          </w:p>
        </w:tc>
        <w:tc>
          <w:tcPr>
            <w:tcW w:w="992" w:type="pct"/>
            <w:tcBorders>
              <w:top w:val="nil"/>
              <w:left w:val="nil"/>
              <w:bottom w:val="single" w:sz="8" w:space="0" w:color="auto"/>
              <w:right w:val="single" w:sz="8" w:space="0" w:color="auto"/>
            </w:tcBorders>
            <w:shd w:val="clear" w:color="000000" w:fill="92D050"/>
            <w:noWrap/>
            <w:vAlign w:val="center"/>
            <w:hideMark/>
          </w:tcPr>
          <w:p w14:paraId="7754654F"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0.6103</w:t>
            </w:r>
          </w:p>
        </w:tc>
      </w:tr>
      <w:tr w:rsidR="00F544A0" w:rsidRPr="00F7228F" w14:paraId="6E00454E"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5ED97B57"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IL-12</w:t>
            </w:r>
          </w:p>
        </w:tc>
        <w:tc>
          <w:tcPr>
            <w:tcW w:w="992" w:type="pct"/>
            <w:tcBorders>
              <w:top w:val="nil"/>
              <w:left w:val="nil"/>
              <w:bottom w:val="single" w:sz="8" w:space="0" w:color="auto"/>
              <w:right w:val="single" w:sz="8" w:space="0" w:color="auto"/>
            </w:tcBorders>
            <w:shd w:val="clear" w:color="000000" w:fill="92D050"/>
            <w:noWrap/>
            <w:vAlign w:val="center"/>
            <w:hideMark/>
          </w:tcPr>
          <w:p w14:paraId="585DB044"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0.4169</w:t>
            </w:r>
          </w:p>
        </w:tc>
        <w:tc>
          <w:tcPr>
            <w:tcW w:w="992" w:type="pct"/>
            <w:tcBorders>
              <w:top w:val="nil"/>
              <w:left w:val="nil"/>
              <w:bottom w:val="single" w:sz="8" w:space="0" w:color="auto"/>
              <w:right w:val="single" w:sz="8" w:space="0" w:color="auto"/>
            </w:tcBorders>
            <w:shd w:val="clear" w:color="000000" w:fill="FFFF00"/>
            <w:noWrap/>
            <w:vAlign w:val="center"/>
            <w:hideMark/>
          </w:tcPr>
          <w:p w14:paraId="1D3FFD9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0.1234</w:t>
            </w:r>
          </w:p>
        </w:tc>
        <w:tc>
          <w:tcPr>
            <w:tcW w:w="992" w:type="pct"/>
            <w:tcBorders>
              <w:top w:val="nil"/>
              <w:left w:val="nil"/>
              <w:bottom w:val="single" w:sz="8" w:space="0" w:color="auto"/>
              <w:right w:val="single" w:sz="8" w:space="0" w:color="auto"/>
            </w:tcBorders>
            <w:shd w:val="clear" w:color="000000" w:fill="FFFF00"/>
            <w:noWrap/>
            <w:vAlign w:val="center"/>
            <w:hideMark/>
          </w:tcPr>
          <w:p w14:paraId="3AF152D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0.1297</w:t>
            </w:r>
          </w:p>
        </w:tc>
        <w:tc>
          <w:tcPr>
            <w:tcW w:w="992" w:type="pct"/>
            <w:tcBorders>
              <w:top w:val="nil"/>
              <w:left w:val="nil"/>
              <w:bottom w:val="single" w:sz="8" w:space="0" w:color="auto"/>
              <w:right w:val="single" w:sz="8" w:space="0" w:color="auto"/>
            </w:tcBorders>
            <w:shd w:val="clear" w:color="000000" w:fill="92D050"/>
            <w:noWrap/>
            <w:vAlign w:val="center"/>
            <w:hideMark/>
          </w:tcPr>
          <w:p w14:paraId="5704D887"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-0.3777</w:t>
            </w:r>
          </w:p>
        </w:tc>
      </w:tr>
      <w:tr w:rsidR="00F544A0" w:rsidRPr="00F7228F" w14:paraId="3832335B"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1B6FB2DB"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Plasma IL-13</w:t>
            </w:r>
          </w:p>
        </w:tc>
        <w:tc>
          <w:tcPr>
            <w:tcW w:w="992" w:type="pct"/>
            <w:tcBorders>
              <w:top w:val="nil"/>
              <w:left w:val="nil"/>
              <w:bottom w:val="single" w:sz="8" w:space="0" w:color="auto"/>
              <w:right w:val="single" w:sz="8" w:space="0" w:color="auto"/>
            </w:tcBorders>
            <w:shd w:val="clear" w:color="000000" w:fill="92D050"/>
            <w:noWrap/>
            <w:vAlign w:val="center"/>
            <w:hideMark/>
          </w:tcPr>
          <w:p w14:paraId="272D363B"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0.4681</w:t>
            </w:r>
          </w:p>
        </w:tc>
        <w:tc>
          <w:tcPr>
            <w:tcW w:w="992" w:type="pct"/>
            <w:tcBorders>
              <w:top w:val="nil"/>
              <w:left w:val="nil"/>
              <w:bottom w:val="single" w:sz="8" w:space="0" w:color="auto"/>
              <w:right w:val="single" w:sz="8" w:space="0" w:color="auto"/>
            </w:tcBorders>
            <w:shd w:val="clear" w:color="000000" w:fill="FFFF00"/>
            <w:noWrap/>
            <w:vAlign w:val="center"/>
            <w:hideMark/>
          </w:tcPr>
          <w:p w14:paraId="0C863188"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-0.2422</w:t>
            </w:r>
          </w:p>
        </w:tc>
        <w:tc>
          <w:tcPr>
            <w:tcW w:w="992" w:type="pct"/>
            <w:tcBorders>
              <w:top w:val="nil"/>
              <w:left w:val="nil"/>
              <w:bottom w:val="single" w:sz="8" w:space="0" w:color="auto"/>
              <w:right w:val="single" w:sz="8" w:space="0" w:color="auto"/>
            </w:tcBorders>
            <w:shd w:val="clear" w:color="000000" w:fill="FF0000"/>
            <w:noWrap/>
            <w:vAlign w:val="center"/>
            <w:hideMark/>
          </w:tcPr>
          <w:p w14:paraId="1326D572"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0.0841</w:t>
            </w:r>
          </w:p>
        </w:tc>
        <w:tc>
          <w:tcPr>
            <w:tcW w:w="992" w:type="pct"/>
            <w:tcBorders>
              <w:top w:val="nil"/>
              <w:left w:val="nil"/>
              <w:bottom w:val="single" w:sz="8" w:space="0" w:color="auto"/>
              <w:right w:val="single" w:sz="8" w:space="0" w:color="auto"/>
            </w:tcBorders>
            <w:shd w:val="clear" w:color="000000" w:fill="FF0000"/>
            <w:noWrap/>
            <w:vAlign w:val="center"/>
            <w:hideMark/>
          </w:tcPr>
          <w:p w14:paraId="53D7423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0.0024</w:t>
            </w:r>
          </w:p>
        </w:tc>
      </w:tr>
      <w:tr w:rsidR="00F544A0" w:rsidRPr="00F7228F" w14:paraId="60E3BF83"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78E8FEF3"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 xml:space="preserve">Plasma IFN-γ </w:t>
            </w:r>
          </w:p>
        </w:tc>
        <w:tc>
          <w:tcPr>
            <w:tcW w:w="992" w:type="pct"/>
            <w:tcBorders>
              <w:top w:val="nil"/>
              <w:left w:val="nil"/>
              <w:bottom w:val="single" w:sz="8" w:space="0" w:color="auto"/>
              <w:right w:val="single" w:sz="8" w:space="0" w:color="auto"/>
            </w:tcBorders>
            <w:shd w:val="clear" w:color="000000" w:fill="FFFF00"/>
            <w:noWrap/>
            <w:vAlign w:val="center"/>
            <w:hideMark/>
          </w:tcPr>
          <w:p w14:paraId="1D89A8C4"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0.1614</w:t>
            </w:r>
          </w:p>
        </w:tc>
        <w:tc>
          <w:tcPr>
            <w:tcW w:w="992" w:type="pct"/>
            <w:tcBorders>
              <w:top w:val="nil"/>
              <w:left w:val="nil"/>
              <w:bottom w:val="single" w:sz="8" w:space="0" w:color="auto"/>
              <w:right w:val="single" w:sz="8" w:space="0" w:color="auto"/>
            </w:tcBorders>
            <w:shd w:val="clear" w:color="000000" w:fill="FF0000"/>
            <w:noWrap/>
            <w:vAlign w:val="center"/>
            <w:hideMark/>
          </w:tcPr>
          <w:p w14:paraId="451C1DAD"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0.0827</w:t>
            </w:r>
          </w:p>
        </w:tc>
        <w:tc>
          <w:tcPr>
            <w:tcW w:w="992" w:type="pct"/>
            <w:tcBorders>
              <w:top w:val="nil"/>
              <w:left w:val="nil"/>
              <w:bottom w:val="single" w:sz="8" w:space="0" w:color="auto"/>
              <w:right w:val="single" w:sz="8" w:space="0" w:color="auto"/>
            </w:tcBorders>
            <w:shd w:val="clear" w:color="000000" w:fill="92D050"/>
            <w:noWrap/>
            <w:vAlign w:val="center"/>
            <w:hideMark/>
          </w:tcPr>
          <w:p w14:paraId="62AB51B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0.5886</w:t>
            </w:r>
          </w:p>
        </w:tc>
        <w:tc>
          <w:tcPr>
            <w:tcW w:w="992" w:type="pct"/>
            <w:tcBorders>
              <w:top w:val="nil"/>
              <w:left w:val="nil"/>
              <w:bottom w:val="single" w:sz="8" w:space="0" w:color="auto"/>
              <w:right w:val="single" w:sz="8" w:space="0" w:color="auto"/>
            </w:tcBorders>
            <w:shd w:val="clear" w:color="000000" w:fill="92D050"/>
            <w:noWrap/>
            <w:vAlign w:val="center"/>
            <w:hideMark/>
          </w:tcPr>
          <w:p w14:paraId="616A811E"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0.4291</w:t>
            </w:r>
          </w:p>
        </w:tc>
      </w:tr>
      <w:tr w:rsidR="00F544A0" w:rsidRPr="00F7228F" w14:paraId="53AC7B78" w14:textId="77777777" w:rsidTr="000D37D1">
        <w:trPr>
          <w:trHeight w:val="300"/>
        </w:trPr>
        <w:tc>
          <w:tcPr>
            <w:tcW w:w="1030" w:type="pct"/>
            <w:tcBorders>
              <w:top w:val="nil"/>
              <w:left w:val="single" w:sz="8" w:space="0" w:color="auto"/>
              <w:bottom w:val="single" w:sz="8" w:space="0" w:color="auto"/>
              <w:right w:val="single" w:sz="8" w:space="0" w:color="auto"/>
            </w:tcBorders>
            <w:shd w:val="clear" w:color="auto" w:fill="auto"/>
            <w:noWrap/>
            <w:vAlign w:val="center"/>
            <w:hideMark/>
          </w:tcPr>
          <w:p w14:paraId="1C36E45A" w14:textId="77777777" w:rsidR="00F544A0" w:rsidRPr="00F7228F" w:rsidRDefault="00F544A0" w:rsidP="000B242D">
            <w:pPr>
              <w:spacing w:after="0" w:line="240" w:lineRule="auto"/>
              <w:rPr>
                <w:rFonts w:ascii="Arial" w:eastAsia="Times New Roman" w:hAnsi="Arial" w:cs="Arial"/>
                <w:b/>
                <w:bCs/>
                <w:color w:val="000000"/>
              </w:rPr>
            </w:pPr>
            <w:r w:rsidRPr="00F7228F">
              <w:rPr>
                <w:rFonts w:ascii="Arial" w:eastAsia="Times New Roman" w:hAnsi="Arial" w:cs="Arial"/>
                <w:b/>
                <w:bCs/>
                <w:color w:val="000000"/>
              </w:rPr>
              <w:t xml:space="preserve">Plasma TNF-α </w:t>
            </w:r>
          </w:p>
        </w:tc>
        <w:tc>
          <w:tcPr>
            <w:tcW w:w="992" w:type="pct"/>
            <w:tcBorders>
              <w:top w:val="nil"/>
              <w:left w:val="nil"/>
              <w:bottom w:val="single" w:sz="8" w:space="0" w:color="auto"/>
              <w:right w:val="single" w:sz="8" w:space="0" w:color="auto"/>
            </w:tcBorders>
            <w:shd w:val="clear" w:color="000000" w:fill="92D050"/>
            <w:noWrap/>
            <w:vAlign w:val="center"/>
            <w:hideMark/>
          </w:tcPr>
          <w:p w14:paraId="00E3096C"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0.3895</w:t>
            </w:r>
          </w:p>
        </w:tc>
        <w:tc>
          <w:tcPr>
            <w:tcW w:w="992" w:type="pct"/>
            <w:tcBorders>
              <w:top w:val="nil"/>
              <w:left w:val="nil"/>
              <w:bottom w:val="single" w:sz="8" w:space="0" w:color="auto"/>
              <w:right w:val="single" w:sz="8" w:space="0" w:color="auto"/>
            </w:tcBorders>
            <w:shd w:val="clear" w:color="000000" w:fill="FFFF00"/>
            <w:noWrap/>
            <w:vAlign w:val="center"/>
            <w:hideMark/>
          </w:tcPr>
          <w:p w14:paraId="20ED149B"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-0.2932</w:t>
            </w:r>
          </w:p>
        </w:tc>
        <w:tc>
          <w:tcPr>
            <w:tcW w:w="992" w:type="pct"/>
            <w:tcBorders>
              <w:top w:val="nil"/>
              <w:left w:val="nil"/>
              <w:bottom w:val="single" w:sz="8" w:space="0" w:color="auto"/>
              <w:right w:val="single" w:sz="8" w:space="0" w:color="auto"/>
            </w:tcBorders>
            <w:shd w:val="clear" w:color="000000" w:fill="FFFF00"/>
            <w:noWrap/>
            <w:vAlign w:val="center"/>
            <w:hideMark/>
          </w:tcPr>
          <w:p w14:paraId="423C43C5"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0.2651</w:t>
            </w:r>
          </w:p>
        </w:tc>
        <w:tc>
          <w:tcPr>
            <w:tcW w:w="992" w:type="pct"/>
            <w:tcBorders>
              <w:top w:val="nil"/>
              <w:left w:val="nil"/>
              <w:bottom w:val="single" w:sz="8" w:space="0" w:color="auto"/>
              <w:right w:val="single" w:sz="8" w:space="0" w:color="auto"/>
            </w:tcBorders>
            <w:shd w:val="clear" w:color="000000" w:fill="FFFF00"/>
            <w:noWrap/>
            <w:vAlign w:val="center"/>
            <w:hideMark/>
          </w:tcPr>
          <w:p w14:paraId="1D00AA28" w14:textId="77777777" w:rsidR="00F544A0" w:rsidRPr="00F7228F" w:rsidRDefault="00F544A0" w:rsidP="000B242D">
            <w:pPr>
              <w:spacing w:after="0" w:line="240" w:lineRule="auto"/>
              <w:jc w:val="right"/>
              <w:rPr>
                <w:rFonts w:ascii="Arial" w:eastAsia="Times New Roman" w:hAnsi="Arial" w:cs="Arial"/>
                <w:color w:val="000000"/>
              </w:rPr>
            </w:pPr>
            <w:r w:rsidRPr="00F7228F">
              <w:rPr>
                <w:rFonts w:ascii="Arial" w:eastAsia="Times New Roman" w:hAnsi="Arial" w:cs="Arial"/>
                <w:color w:val="000000"/>
              </w:rPr>
              <w:t>0.1890</w:t>
            </w:r>
          </w:p>
        </w:tc>
      </w:tr>
    </w:tbl>
    <w:p w14:paraId="1B099D89" w14:textId="77777777" w:rsidR="00236A5B" w:rsidRPr="00F7228F" w:rsidRDefault="00236A5B" w:rsidP="000B242D">
      <w:pPr>
        <w:spacing w:after="0" w:line="276" w:lineRule="auto"/>
        <w:rPr>
          <w:rFonts w:ascii="Arial" w:hAnsi="Arial" w:cs="Arial"/>
        </w:rPr>
      </w:pPr>
      <w:r w:rsidRPr="00F7228F">
        <w:rPr>
          <w:rFonts w:ascii="Arial" w:hAnsi="Arial" w:cs="Arial"/>
          <w:noProof/>
        </w:rPr>
        <w:t xml:space="preserve"> </w:t>
      </w:r>
    </w:p>
    <w:p w14:paraId="5AED5CAC" w14:textId="77777777" w:rsidR="00236A5B" w:rsidRPr="00F7228F" w:rsidRDefault="00236A5B" w:rsidP="000B242D">
      <w:pPr>
        <w:spacing w:after="0" w:line="276" w:lineRule="auto"/>
        <w:rPr>
          <w:rFonts w:ascii="Arial" w:hAnsi="Arial" w:cs="Arial"/>
        </w:rPr>
        <w:sectPr w:rsidR="00236A5B" w:rsidRPr="00F7228F" w:rsidSect="00CC00D1">
          <w:pgSz w:w="11906" w:h="16838"/>
          <w:pgMar w:top="1440" w:right="1440" w:bottom="1440" w:left="1440" w:header="708" w:footer="708" w:gutter="0"/>
          <w:cols w:space="708"/>
          <w:docGrid w:linePitch="360"/>
        </w:sectPr>
      </w:pPr>
    </w:p>
    <w:p w14:paraId="5F090C66" w14:textId="262BCC02" w:rsidR="00236A5B" w:rsidRPr="00F7228F" w:rsidRDefault="00236A5B" w:rsidP="000B242D">
      <w:pPr>
        <w:spacing w:after="0" w:line="276" w:lineRule="auto"/>
        <w:rPr>
          <w:rFonts w:ascii="Arial" w:hAnsi="Arial" w:cs="Arial"/>
          <w:b/>
          <w:bCs/>
        </w:rPr>
      </w:pPr>
      <w:r w:rsidRPr="00F7228F">
        <w:rPr>
          <w:rFonts w:ascii="Arial" w:hAnsi="Arial" w:cs="Arial"/>
          <w:b/>
          <w:bCs/>
        </w:rPr>
        <w:lastRenderedPageBreak/>
        <w:t>Supplementary Table 7</w:t>
      </w:r>
      <w:r w:rsidRPr="00F7228F">
        <w:rPr>
          <w:rFonts w:ascii="Arial" w:hAnsi="Arial" w:cs="Arial"/>
        </w:rPr>
        <w:t xml:space="preserve"> – </w:t>
      </w:r>
      <w:bookmarkStart w:id="3" w:name="_Hlk151015934"/>
      <w:r w:rsidRPr="00F7228F">
        <w:rPr>
          <w:rFonts w:ascii="Arial" w:hAnsi="Arial" w:cs="Arial"/>
        </w:rPr>
        <w:t xml:space="preserve">Association of </w:t>
      </w:r>
      <w:bookmarkStart w:id="4" w:name="_Hlk151486528"/>
      <w:r w:rsidRPr="00F7228F">
        <w:rPr>
          <w:rFonts w:ascii="Arial" w:hAnsi="Arial" w:cs="Arial"/>
        </w:rPr>
        <w:t xml:space="preserve">principal components </w:t>
      </w:r>
      <w:bookmarkEnd w:id="4"/>
      <w:r w:rsidRPr="00F7228F">
        <w:rPr>
          <w:rFonts w:ascii="Arial" w:hAnsi="Arial" w:cs="Arial"/>
        </w:rPr>
        <w:t>of cytokine levels in CSF and plasma with outcome variables. Univariable logistic regression results are shown for death and delayed cerebral ischaemia (DCI). Ordinal logistic regression results are shown for modified Rankin Scale (MRS) and SAH Outcome Tool (SAHOT). Multivariable regression adjusts for the effects of all principal components with p &lt; 0.1 on univariable analysis, World Federation of Neurosurgical Societies (WFNS) and blood volume 0.10 &gt; p &gt; 0.05 in orange. p &lt; 0.05 in red</w:t>
      </w:r>
      <w:bookmarkEnd w:id="3"/>
      <w:r w:rsidRPr="00F7228F">
        <w:rPr>
          <w:rFonts w:ascii="Arial" w:hAnsi="Arial" w:cs="Arial"/>
        </w:rPr>
        <w:t xml:space="preserve">. </w:t>
      </w:r>
    </w:p>
    <w:tbl>
      <w:tblPr>
        <w:tblStyle w:val="TableGrid"/>
        <w:tblW w:w="5000" w:type="pct"/>
        <w:tblLook w:val="04A0" w:firstRow="1" w:lastRow="0" w:firstColumn="1" w:lastColumn="0" w:noHBand="0" w:noVBand="1"/>
      </w:tblPr>
      <w:tblGrid>
        <w:gridCol w:w="2005"/>
        <w:gridCol w:w="1439"/>
        <w:gridCol w:w="1389"/>
        <w:gridCol w:w="1398"/>
        <w:gridCol w:w="1367"/>
        <w:gridCol w:w="1275"/>
        <w:gridCol w:w="1275"/>
        <w:gridCol w:w="1239"/>
        <w:gridCol w:w="1247"/>
        <w:gridCol w:w="1314"/>
      </w:tblGrid>
      <w:tr w:rsidR="00236A5B" w:rsidRPr="00F7228F" w14:paraId="16266889" w14:textId="77777777" w:rsidTr="00CB0BB6">
        <w:tc>
          <w:tcPr>
            <w:tcW w:w="1235" w:type="pct"/>
            <w:gridSpan w:val="2"/>
            <w:vMerge w:val="restart"/>
          </w:tcPr>
          <w:p w14:paraId="792D7DB1" w14:textId="77777777" w:rsidR="00236A5B" w:rsidRPr="00F7228F" w:rsidRDefault="00236A5B" w:rsidP="000B242D">
            <w:pPr>
              <w:spacing w:line="276" w:lineRule="auto"/>
              <w:rPr>
                <w:rFonts w:ascii="Arial" w:hAnsi="Arial" w:cs="Arial"/>
                <w:b/>
                <w:bCs/>
              </w:rPr>
            </w:pPr>
            <w:bookmarkStart w:id="5" w:name="_Hlk130390294"/>
            <w:r w:rsidRPr="00F7228F">
              <w:rPr>
                <w:rFonts w:ascii="Arial" w:hAnsi="Arial" w:cs="Arial"/>
                <w:b/>
                <w:bCs/>
              </w:rPr>
              <w:t>Univariable regression</w:t>
            </w:r>
          </w:p>
        </w:tc>
        <w:tc>
          <w:tcPr>
            <w:tcW w:w="498" w:type="pct"/>
            <w:vMerge w:val="restart"/>
          </w:tcPr>
          <w:p w14:paraId="613BEAEE" w14:textId="77777777" w:rsidR="00236A5B" w:rsidRPr="00F7228F" w:rsidRDefault="00236A5B" w:rsidP="000B242D">
            <w:pPr>
              <w:spacing w:line="276" w:lineRule="auto"/>
              <w:rPr>
                <w:rFonts w:ascii="Arial" w:hAnsi="Arial" w:cs="Arial"/>
              </w:rPr>
            </w:pPr>
            <w:r w:rsidRPr="00F7228F">
              <w:rPr>
                <w:rFonts w:ascii="Arial" w:hAnsi="Arial" w:cs="Arial"/>
                <w:b/>
                <w:bCs/>
              </w:rPr>
              <w:t>Death (OR)</w:t>
            </w:r>
          </w:p>
        </w:tc>
        <w:tc>
          <w:tcPr>
            <w:tcW w:w="1905" w:type="pct"/>
            <w:gridSpan w:val="4"/>
          </w:tcPr>
          <w:p w14:paraId="52B0A193" w14:textId="77777777" w:rsidR="00236A5B" w:rsidRPr="00F7228F" w:rsidRDefault="00236A5B" w:rsidP="000B242D">
            <w:pPr>
              <w:spacing w:line="276" w:lineRule="auto"/>
              <w:jc w:val="center"/>
              <w:rPr>
                <w:rFonts w:ascii="Arial" w:hAnsi="Arial" w:cs="Arial"/>
              </w:rPr>
            </w:pPr>
            <w:r w:rsidRPr="00F7228F">
              <w:rPr>
                <w:rFonts w:ascii="Arial" w:hAnsi="Arial" w:cs="Arial"/>
                <w:b/>
                <w:bCs/>
              </w:rPr>
              <w:t>MRS (OR)</w:t>
            </w:r>
          </w:p>
        </w:tc>
        <w:tc>
          <w:tcPr>
            <w:tcW w:w="1362" w:type="pct"/>
            <w:gridSpan w:val="3"/>
          </w:tcPr>
          <w:p w14:paraId="5D335A92" w14:textId="77777777" w:rsidR="00236A5B" w:rsidRPr="00F7228F" w:rsidRDefault="00236A5B" w:rsidP="000B242D">
            <w:pPr>
              <w:spacing w:line="276" w:lineRule="auto"/>
              <w:jc w:val="center"/>
              <w:rPr>
                <w:rFonts w:ascii="Arial" w:hAnsi="Arial" w:cs="Arial"/>
              </w:rPr>
            </w:pPr>
            <w:r w:rsidRPr="00F7228F">
              <w:rPr>
                <w:rFonts w:ascii="Arial" w:hAnsi="Arial" w:cs="Arial"/>
                <w:b/>
                <w:bCs/>
              </w:rPr>
              <w:t>SAHOT (OR)</w:t>
            </w:r>
          </w:p>
        </w:tc>
      </w:tr>
      <w:bookmarkEnd w:id="5"/>
      <w:tr w:rsidR="00236A5B" w:rsidRPr="00F7228F" w14:paraId="06B83BA4" w14:textId="77777777" w:rsidTr="00CB0BB6">
        <w:tc>
          <w:tcPr>
            <w:tcW w:w="1235" w:type="pct"/>
            <w:gridSpan w:val="2"/>
            <w:vMerge/>
          </w:tcPr>
          <w:p w14:paraId="5A850CE9" w14:textId="77777777" w:rsidR="00236A5B" w:rsidRPr="00F7228F" w:rsidRDefault="00236A5B" w:rsidP="000B242D">
            <w:pPr>
              <w:spacing w:line="276" w:lineRule="auto"/>
              <w:rPr>
                <w:rFonts w:ascii="Arial" w:hAnsi="Arial" w:cs="Arial"/>
              </w:rPr>
            </w:pPr>
          </w:p>
        </w:tc>
        <w:tc>
          <w:tcPr>
            <w:tcW w:w="498" w:type="pct"/>
            <w:vMerge/>
          </w:tcPr>
          <w:p w14:paraId="3D4D28E0" w14:textId="77777777" w:rsidR="00236A5B" w:rsidRPr="00F7228F" w:rsidRDefault="00236A5B" w:rsidP="000B242D">
            <w:pPr>
              <w:spacing w:line="276" w:lineRule="auto"/>
              <w:rPr>
                <w:rFonts w:ascii="Arial" w:hAnsi="Arial" w:cs="Arial"/>
              </w:rPr>
            </w:pPr>
          </w:p>
        </w:tc>
        <w:tc>
          <w:tcPr>
            <w:tcW w:w="501" w:type="pct"/>
          </w:tcPr>
          <w:p w14:paraId="5425F83C" w14:textId="77777777" w:rsidR="00236A5B" w:rsidRPr="00F7228F" w:rsidRDefault="00236A5B" w:rsidP="000B242D">
            <w:pPr>
              <w:spacing w:line="276" w:lineRule="auto"/>
              <w:rPr>
                <w:rFonts w:ascii="Arial" w:hAnsi="Arial" w:cs="Arial"/>
              </w:rPr>
            </w:pPr>
            <w:r w:rsidRPr="00F7228F">
              <w:rPr>
                <w:rFonts w:ascii="Arial" w:hAnsi="Arial" w:cs="Arial"/>
                <w:b/>
                <w:bCs/>
              </w:rPr>
              <w:t>Day 7</w:t>
            </w:r>
          </w:p>
        </w:tc>
        <w:tc>
          <w:tcPr>
            <w:tcW w:w="490" w:type="pct"/>
          </w:tcPr>
          <w:p w14:paraId="4FB0EDFD" w14:textId="77777777" w:rsidR="00236A5B" w:rsidRPr="00F7228F" w:rsidRDefault="00236A5B" w:rsidP="000B242D">
            <w:pPr>
              <w:spacing w:line="276" w:lineRule="auto"/>
              <w:rPr>
                <w:rFonts w:ascii="Arial" w:hAnsi="Arial" w:cs="Arial"/>
              </w:rPr>
            </w:pPr>
            <w:r w:rsidRPr="00F7228F">
              <w:rPr>
                <w:rFonts w:ascii="Arial" w:hAnsi="Arial" w:cs="Arial"/>
                <w:b/>
                <w:bCs/>
              </w:rPr>
              <w:t>Day 28</w:t>
            </w:r>
          </w:p>
        </w:tc>
        <w:tc>
          <w:tcPr>
            <w:tcW w:w="457" w:type="pct"/>
          </w:tcPr>
          <w:p w14:paraId="51A6D4BB" w14:textId="77777777" w:rsidR="00236A5B" w:rsidRPr="00F7228F" w:rsidRDefault="00236A5B" w:rsidP="000B242D">
            <w:pPr>
              <w:spacing w:line="276" w:lineRule="auto"/>
              <w:rPr>
                <w:rFonts w:ascii="Arial" w:hAnsi="Arial" w:cs="Arial"/>
              </w:rPr>
            </w:pPr>
            <w:r w:rsidRPr="00F7228F">
              <w:rPr>
                <w:rFonts w:ascii="Arial" w:hAnsi="Arial" w:cs="Arial"/>
                <w:b/>
                <w:bCs/>
              </w:rPr>
              <w:t>Day 90</w:t>
            </w:r>
          </w:p>
        </w:tc>
        <w:tc>
          <w:tcPr>
            <w:tcW w:w="457" w:type="pct"/>
          </w:tcPr>
          <w:p w14:paraId="083BF143" w14:textId="77777777" w:rsidR="00236A5B" w:rsidRPr="00F7228F" w:rsidRDefault="00236A5B" w:rsidP="000B242D">
            <w:pPr>
              <w:spacing w:line="276" w:lineRule="auto"/>
              <w:rPr>
                <w:rFonts w:ascii="Arial" w:hAnsi="Arial" w:cs="Arial"/>
              </w:rPr>
            </w:pPr>
            <w:r w:rsidRPr="00F7228F">
              <w:rPr>
                <w:rFonts w:ascii="Arial" w:hAnsi="Arial" w:cs="Arial"/>
                <w:b/>
                <w:bCs/>
              </w:rPr>
              <w:t>Day 180</w:t>
            </w:r>
          </w:p>
        </w:tc>
        <w:tc>
          <w:tcPr>
            <w:tcW w:w="444" w:type="pct"/>
          </w:tcPr>
          <w:p w14:paraId="7EA35D52" w14:textId="77777777" w:rsidR="00236A5B" w:rsidRPr="00F7228F" w:rsidRDefault="00236A5B" w:rsidP="000B242D">
            <w:pPr>
              <w:spacing w:line="276" w:lineRule="auto"/>
              <w:rPr>
                <w:rFonts w:ascii="Arial" w:hAnsi="Arial" w:cs="Arial"/>
              </w:rPr>
            </w:pPr>
            <w:r w:rsidRPr="00F7228F">
              <w:rPr>
                <w:rFonts w:ascii="Arial" w:hAnsi="Arial" w:cs="Arial"/>
                <w:b/>
                <w:bCs/>
              </w:rPr>
              <w:t>Day 28</w:t>
            </w:r>
          </w:p>
        </w:tc>
        <w:tc>
          <w:tcPr>
            <w:tcW w:w="447" w:type="pct"/>
          </w:tcPr>
          <w:p w14:paraId="5C4005A7" w14:textId="77777777" w:rsidR="00236A5B" w:rsidRPr="00F7228F" w:rsidRDefault="00236A5B" w:rsidP="000B242D">
            <w:pPr>
              <w:spacing w:line="276" w:lineRule="auto"/>
              <w:rPr>
                <w:rFonts w:ascii="Arial" w:hAnsi="Arial" w:cs="Arial"/>
              </w:rPr>
            </w:pPr>
            <w:r w:rsidRPr="00F7228F">
              <w:rPr>
                <w:rFonts w:ascii="Arial" w:hAnsi="Arial" w:cs="Arial"/>
                <w:b/>
                <w:bCs/>
              </w:rPr>
              <w:t>Day 90</w:t>
            </w:r>
          </w:p>
        </w:tc>
        <w:tc>
          <w:tcPr>
            <w:tcW w:w="471" w:type="pct"/>
          </w:tcPr>
          <w:p w14:paraId="1F25C30B" w14:textId="77777777" w:rsidR="00236A5B" w:rsidRPr="00F7228F" w:rsidRDefault="00236A5B" w:rsidP="000B242D">
            <w:pPr>
              <w:spacing w:line="276" w:lineRule="auto"/>
              <w:rPr>
                <w:rFonts w:ascii="Arial" w:hAnsi="Arial" w:cs="Arial"/>
              </w:rPr>
            </w:pPr>
            <w:r w:rsidRPr="00F7228F">
              <w:rPr>
                <w:rFonts w:ascii="Arial" w:hAnsi="Arial" w:cs="Arial"/>
                <w:b/>
                <w:bCs/>
              </w:rPr>
              <w:t>Day 180</w:t>
            </w:r>
          </w:p>
        </w:tc>
      </w:tr>
      <w:tr w:rsidR="00236A5B" w:rsidRPr="00F7228F" w14:paraId="17C2D41D" w14:textId="77777777" w:rsidTr="00CB0BB6">
        <w:tc>
          <w:tcPr>
            <w:tcW w:w="719" w:type="pct"/>
            <w:vMerge w:val="restart"/>
          </w:tcPr>
          <w:p w14:paraId="64D4B05B" w14:textId="77777777" w:rsidR="00236A5B" w:rsidRPr="00F7228F" w:rsidRDefault="00236A5B" w:rsidP="000B242D">
            <w:pPr>
              <w:spacing w:line="276" w:lineRule="auto"/>
              <w:rPr>
                <w:rFonts w:ascii="Arial" w:hAnsi="Arial" w:cs="Arial"/>
              </w:rPr>
            </w:pPr>
            <w:r w:rsidRPr="00F7228F">
              <w:rPr>
                <w:rFonts w:ascii="Arial" w:hAnsi="Arial" w:cs="Arial"/>
              </w:rPr>
              <w:t>CSF Principal Component 1</w:t>
            </w:r>
          </w:p>
        </w:tc>
        <w:tc>
          <w:tcPr>
            <w:tcW w:w="516" w:type="pct"/>
          </w:tcPr>
          <w:p w14:paraId="4E7E9296"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68CA642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1.584 (1.038 – 2.417)</w:t>
            </w:r>
          </w:p>
        </w:tc>
        <w:tc>
          <w:tcPr>
            <w:tcW w:w="501" w:type="pct"/>
            <w:vAlign w:val="center"/>
          </w:tcPr>
          <w:p w14:paraId="3771EA77" w14:textId="77777777" w:rsidR="00236A5B" w:rsidRPr="00F7228F" w:rsidRDefault="00236A5B" w:rsidP="000B242D">
            <w:pPr>
              <w:spacing w:line="276" w:lineRule="auto"/>
              <w:rPr>
                <w:rFonts w:ascii="Arial" w:hAnsi="Arial" w:cs="Arial"/>
              </w:rPr>
            </w:pPr>
            <w:r w:rsidRPr="00F7228F">
              <w:rPr>
                <w:rFonts w:ascii="Arial" w:hAnsi="Arial" w:cs="Arial"/>
                <w:color w:val="FF0000"/>
              </w:rPr>
              <w:t>1.378 (1.129 – 1.680)</w:t>
            </w:r>
          </w:p>
        </w:tc>
        <w:tc>
          <w:tcPr>
            <w:tcW w:w="490" w:type="pct"/>
            <w:vAlign w:val="center"/>
          </w:tcPr>
          <w:p w14:paraId="283CA216"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1.303 (1.083 – 1.568)</w:t>
            </w:r>
          </w:p>
        </w:tc>
        <w:tc>
          <w:tcPr>
            <w:tcW w:w="457" w:type="pct"/>
            <w:vAlign w:val="center"/>
          </w:tcPr>
          <w:p w14:paraId="3922EB14" w14:textId="77777777" w:rsidR="00236A5B" w:rsidRPr="00F7228F" w:rsidRDefault="00236A5B" w:rsidP="000B242D">
            <w:pPr>
              <w:spacing w:line="276" w:lineRule="auto"/>
              <w:rPr>
                <w:rFonts w:ascii="Arial" w:hAnsi="Arial" w:cs="Arial"/>
                <w:color w:val="FFC000"/>
              </w:rPr>
            </w:pPr>
            <w:r w:rsidRPr="00F7228F">
              <w:rPr>
                <w:rFonts w:ascii="Arial" w:hAnsi="Arial" w:cs="Arial"/>
              </w:rPr>
              <w:t>1.165 (0.969 – 1.400)</w:t>
            </w:r>
          </w:p>
        </w:tc>
        <w:tc>
          <w:tcPr>
            <w:tcW w:w="457" w:type="pct"/>
            <w:vAlign w:val="center"/>
          </w:tcPr>
          <w:p w14:paraId="0BA123E1" w14:textId="77777777" w:rsidR="00236A5B" w:rsidRPr="00F7228F" w:rsidRDefault="00236A5B" w:rsidP="000B242D">
            <w:pPr>
              <w:spacing w:line="276" w:lineRule="auto"/>
              <w:rPr>
                <w:rFonts w:ascii="Arial" w:hAnsi="Arial" w:cs="Arial"/>
                <w:color w:val="FF0000"/>
              </w:rPr>
            </w:pPr>
            <w:r w:rsidRPr="00F7228F">
              <w:rPr>
                <w:rFonts w:ascii="Arial" w:hAnsi="Arial" w:cs="Arial"/>
              </w:rPr>
              <w:t>1.165 (0.969 – 1.400)</w:t>
            </w:r>
          </w:p>
        </w:tc>
        <w:tc>
          <w:tcPr>
            <w:tcW w:w="444" w:type="pct"/>
            <w:vAlign w:val="center"/>
          </w:tcPr>
          <w:p w14:paraId="3FEA1866" w14:textId="77777777" w:rsidR="00236A5B" w:rsidRPr="00F7228F" w:rsidRDefault="00236A5B" w:rsidP="000B242D">
            <w:pPr>
              <w:spacing w:line="276" w:lineRule="auto"/>
              <w:rPr>
                <w:rFonts w:ascii="Arial" w:hAnsi="Arial" w:cs="Arial"/>
              </w:rPr>
            </w:pPr>
            <w:r w:rsidRPr="00F7228F">
              <w:rPr>
                <w:rFonts w:ascii="Arial" w:hAnsi="Arial" w:cs="Arial"/>
                <w:color w:val="FFC000"/>
              </w:rPr>
              <w:t>1.186 (1.000 – 1.406)</w:t>
            </w:r>
          </w:p>
        </w:tc>
        <w:tc>
          <w:tcPr>
            <w:tcW w:w="447" w:type="pct"/>
            <w:vAlign w:val="center"/>
          </w:tcPr>
          <w:p w14:paraId="12B6DA99" w14:textId="77777777" w:rsidR="00236A5B" w:rsidRPr="00F7228F" w:rsidRDefault="00236A5B" w:rsidP="000B242D">
            <w:pPr>
              <w:spacing w:line="276" w:lineRule="auto"/>
              <w:rPr>
                <w:rFonts w:ascii="Arial" w:hAnsi="Arial" w:cs="Arial"/>
                <w:color w:val="FF0000"/>
              </w:rPr>
            </w:pPr>
            <w:r w:rsidRPr="00F7228F">
              <w:rPr>
                <w:rFonts w:ascii="Arial" w:hAnsi="Arial" w:cs="Arial"/>
              </w:rPr>
              <w:t>1.099 (0.916 – 1.320)</w:t>
            </w:r>
          </w:p>
        </w:tc>
        <w:tc>
          <w:tcPr>
            <w:tcW w:w="471" w:type="pct"/>
            <w:vAlign w:val="center"/>
          </w:tcPr>
          <w:p w14:paraId="0BECD562" w14:textId="77777777" w:rsidR="00236A5B" w:rsidRPr="00F7228F" w:rsidRDefault="00236A5B" w:rsidP="000B242D">
            <w:pPr>
              <w:spacing w:line="276" w:lineRule="auto"/>
              <w:rPr>
                <w:rFonts w:ascii="Arial" w:hAnsi="Arial" w:cs="Arial"/>
                <w:color w:val="FF0000"/>
              </w:rPr>
            </w:pPr>
            <w:r w:rsidRPr="00F7228F">
              <w:rPr>
                <w:rFonts w:ascii="Arial" w:hAnsi="Arial" w:cs="Arial"/>
              </w:rPr>
              <w:t>1.088 (0.905 – 1.308)</w:t>
            </w:r>
          </w:p>
        </w:tc>
      </w:tr>
      <w:tr w:rsidR="00236A5B" w:rsidRPr="00F7228F" w14:paraId="2CA5808B" w14:textId="77777777" w:rsidTr="00CB0BB6">
        <w:tc>
          <w:tcPr>
            <w:tcW w:w="719" w:type="pct"/>
            <w:vMerge/>
          </w:tcPr>
          <w:p w14:paraId="28502943" w14:textId="77777777" w:rsidR="00236A5B" w:rsidRPr="00F7228F" w:rsidRDefault="00236A5B" w:rsidP="000B242D">
            <w:pPr>
              <w:spacing w:line="276" w:lineRule="auto"/>
              <w:rPr>
                <w:rFonts w:ascii="Arial" w:hAnsi="Arial" w:cs="Arial"/>
              </w:rPr>
            </w:pPr>
          </w:p>
        </w:tc>
        <w:tc>
          <w:tcPr>
            <w:tcW w:w="516" w:type="pct"/>
          </w:tcPr>
          <w:p w14:paraId="264BC92E"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4471BB62"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0.033</w:t>
            </w:r>
          </w:p>
        </w:tc>
        <w:tc>
          <w:tcPr>
            <w:tcW w:w="501" w:type="pct"/>
            <w:vAlign w:val="center"/>
          </w:tcPr>
          <w:p w14:paraId="5A2E77FD" w14:textId="77777777" w:rsidR="00236A5B" w:rsidRPr="00F7228F" w:rsidRDefault="00236A5B" w:rsidP="000B242D">
            <w:pPr>
              <w:spacing w:line="276" w:lineRule="auto"/>
              <w:rPr>
                <w:rFonts w:ascii="Arial" w:hAnsi="Arial" w:cs="Arial"/>
              </w:rPr>
            </w:pPr>
            <w:r w:rsidRPr="00F7228F">
              <w:rPr>
                <w:rFonts w:ascii="Arial" w:hAnsi="Arial" w:cs="Arial"/>
                <w:color w:val="FF0000"/>
              </w:rPr>
              <w:t>0.002</w:t>
            </w:r>
          </w:p>
        </w:tc>
        <w:tc>
          <w:tcPr>
            <w:tcW w:w="490" w:type="pct"/>
            <w:vAlign w:val="center"/>
          </w:tcPr>
          <w:p w14:paraId="43BE1980"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0.005</w:t>
            </w:r>
          </w:p>
        </w:tc>
        <w:tc>
          <w:tcPr>
            <w:tcW w:w="457" w:type="pct"/>
            <w:vAlign w:val="center"/>
          </w:tcPr>
          <w:p w14:paraId="6EE50F40" w14:textId="77777777" w:rsidR="00236A5B" w:rsidRPr="00F7228F" w:rsidRDefault="00236A5B" w:rsidP="000B242D">
            <w:pPr>
              <w:spacing w:line="276" w:lineRule="auto"/>
              <w:rPr>
                <w:rFonts w:ascii="Arial" w:hAnsi="Arial" w:cs="Arial"/>
                <w:color w:val="FFC000"/>
              </w:rPr>
            </w:pPr>
            <w:r w:rsidRPr="00F7228F">
              <w:rPr>
                <w:rFonts w:ascii="Arial" w:hAnsi="Arial" w:cs="Arial"/>
              </w:rPr>
              <w:t>0.104</w:t>
            </w:r>
          </w:p>
        </w:tc>
        <w:tc>
          <w:tcPr>
            <w:tcW w:w="457" w:type="pct"/>
            <w:vAlign w:val="center"/>
          </w:tcPr>
          <w:p w14:paraId="6486FC97" w14:textId="77777777" w:rsidR="00236A5B" w:rsidRPr="00F7228F" w:rsidRDefault="00236A5B" w:rsidP="000B242D">
            <w:pPr>
              <w:spacing w:line="276" w:lineRule="auto"/>
              <w:rPr>
                <w:rFonts w:ascii="Arial" w:hAnsi="Arial" w:cs="Arial"/>
                <w:color w:val="FF0000"/>
              </w:rPr>
            </w:pPr>
            <w:r w:rsidRPr="00F7228F">
              <w:rPr>
                <w:rFonts w:ascii="Arial" w:hAnsi="Arial" w:cs="Arial"/>
              </w:rPr>
              <w:t>0.104</w:t>
            </w:r>
          </w:p>
        </w:tc>
        <w:tc>
          <w:tcPr>
            <w:tcW w:w="444" w:type="pct"/>
            <w:vAlign w:val="center"/>
          </w:tcPr>
          <w:p w14:paraId="29950DE4" w14:textId="77777777" w:rsidR="00236A5B" w:rsidRPr="00F7228F" w:rsidRDefault="00236A5B" w:rsidP="000B242D">
            <w:pPr>
              <w:spacing w:line="276" w:lineRule="auto"/>
              <w:rPr>
                <w:rFonts w:ascii="Arial" w:hAnsi="Arial" w:cs="Arial"/>
              </w:rPr>
            </w:pPr>
            <w:r w:rsidRPr="00F7228F">
              <w:rPr>
                <w:rFonts w:ascii="Arial" w:hAnsi="Arial" w:cs="Arial"/>
                <w:color w:val="FFC000"/>
              </w:rPr>
              <w:t>0.051</w:t>
            </w:r>
          </w:p>
        </w:tc>
        <w:tc>
          <w:tcPr>
            <w:tcW w:w="447" w:type="pct"/>
            <w:vAlign w:val="center"/>
          </w:tcPr>
          <w:p w14:paraId="56429FEB" w14:textId="77777777" w:rsidR="00236A5B" w:rsidRPr="00F7228F" w:rsidRDefault="00236A5B" w:rsidP="000B242D">
            <w:pPr>
              <w:spacing w:line="276" w:lineRule="auto"/>
              <w:rPr>
                <w:rFonts w:ascii="Arial" w:hAnsi="Arial" w:cs="Arial"/>
                <w:color w:val="FF0000"/>
              </w:rPr>
            </w:pPr>
            <w:r w:rsidRPr="00F7228F">
              <w:rPr>
                <w:rFonts w:ascii="Arial" w:hAnsi="Arial" w:cs="Arial"/>
              </w:rPr>
              <w:t>0.311</w:t>
            </w:r>
          </w:p>
        </w:tc>
        <w:tc>
          <w:tcPr>
            <w:tcW w:w="471" w:type="pct"/>
            <w:vAlign w:val="center"/>
          </w:tcPr>
          <w:p w14:paraId="54FDEE22" w14:textId="77777777" w:rsidR="00236A5B" w:rsidRPr="00F7228F" w:rsidRDefault="00236A5B" w:rsidP="000B242D">
            <w:pPr>
              <w:spacing w:line="276" w:lineRule="auto"/>
              <w:rPr>
                <w:rFonts w:ascii="Arial" w:hAnsi="Arial" w:cs="Arial"/>
                <w:color w:val="FF0000"/>
              </w:rPr>
            </w:pPr>
            <w:r w:rsidRPr="00F7228F">
              <w:rPr>
                <w:rFonts w:ascii="Arial" w:hAnsi="Arial" w:cs="Arial"/>
              </w:rPr>
              <w:t>0.367</w:t>
            </w:r>
          </w:p>
        </w:tc>
      </w:tr>
      <w:tr w:rsidR="00236A5B" w:rsidRPr="00F7228F" w14:paraId="40F6F18C" w14:textId="77777777" w:rsidTr="00CB0BB6">
        <w:trPr>
          <w:trHeight w:val="217"/>
        </w:trPr>
        <w:tc>
          <w:tcPr>
            <w:tcW w:w="719" w:type="pct"/>
            <w:vMerge w:val="restart"/>
          </w:tcPr>
          <w:p w14:paraId="64412771" w14:textId="77777777" w:rsidR="00236A5B" w:rsidRPr="00F7228F" w:rsidRDefault="00236A5B" w:rsidP="000B242D">
            <w:pPr>
              <w:spacing w:line="276" w:lineRule="auto"/>
              <w:rPr>
                <w:rFonts w:ascii="Arial" w:hAnsi="Arial" w:cs="Arial"/>
              </w:rPr>
            </w:pPr>
            <w:r w:rsidRPr="00F7228F">
              <w:rPr>
                <w:rFonts w:ascii="Arial" w:hAnsi="Arial" w:cs="Arial"/>
              </w:rPr>
              <w:t>CSF Principal Component 2</w:t>
            </w:r>
          </w:p>
        </w:tc>
        <w:tc>
          <w:tcPr>
            <w:tcW w:w="516" w:type="pct"/>
          </w:tcPr>
          <w:p w14:paraId="3292F6D0"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4B135E75" w14:textId="77777777" w:rsidR="00236A5B" w:rsidRPr="00F7228F" w:rsidRDefault="00236A5B" w:rsidP="000B242D">
            <w:pPr>
              <w:spacing w:line="276" w:lineRule="auto"/>
              <w:rPr>
                <w:rFonts w:ascii="Arial" w:hAnsi="Arial" w:cs="Arial"/>
              </w:rPr>
            </w:pPr>
            <w:r w:rsidRPr="00F7228F">
              <w:rPr>
                <w:rFonts w:ascii="Arial" w:hAnsi="Arial" w:cs="Arial"/>
              </w:rPr>
              <w:t>1.231 (0.648 – 2.338)</w:t>
            </w:r>
          </w:p>
        </w:tc>
        <w:tc>
          <w:tcPr>
            <w:tcW w:w="501" w:type="pct"/>
            <w:vAlign w:val="center"/>
          </w:tcPr>
          <w:p w14:paraId="411B80A0" w14:textId="77777777" w:rsidR="00236A5B" w:rsidRPr="00F7228F" w:rsidRDefault="00236A5B" w:rsidP="000B242D">
            <w:pPr>
              <w:spacing w:line="276" w:lineRule="auto"/>
              <w:rPr>
                <w:rFonts w:ascii="Arial" w:hAnsi="Arial" w:cs="Arial"/>
              </w:rPr>
            </w:pPr>
            <w:r w:rsidRPr="00F7228F">
              <w:rPr>
                <w:rFonts w:ascii="Arial" w:hAnsi="Arial" w:cs="Arial"/>
              </w:rPr>
              <w:t>1.111 (0.831 – 1.485)</w:t>
            </w:r>
          </w:p>
        </w:tc>
        <w:tc>
          <w:tcPr>
            <w:tcW w:w="490" w:type="pct"/>
            <w:vAlign w:val="center"/>
          </w:tcPr>
          <w:p w14:paraId="572256F6" w14:textId="77777777" w:rsidR="00236A5B" w:rsidRPr="00F7228F" w:rsidRDefault="00236A5B" w:rsidP="000B242D">
            <w:pPr>
              <w:spacing w:line="276" w:lineRule="auto"/>
              <w:rPr>
                <w:rFonts w:ascii="Arial" w:hAnsi="Arial" w:cs="Arial"/>
              </w:rPr>
            </w:pPr>
            <w:r w:rsidRPr="00F7228F">
              <w:rPr>
                <w:rFonts w:ascii="Arial" w:hAnsi="Arial" w:cs="Arial"/>
              </w:rPr>
              <w:t>0.938 (0.711 – 1.239)</w:t>
            </w:r>
          </w:p>
        </w:tc>
        <w:tc>
          <w:tcPr>
            <w:tcW w:w="457" w:type="pct"/>
            <w:vAlign w:val="center"/>
          </w:tcPr>
          <w:p w14:paraId="5B6EF73A" w14:textId="77777777" w:rsidR="00236A5B" w:rsidRPr="00F7228F" w:rsidRDefault="00236A5B" w:rsidP="000B242D">
            <w:pPr>
              <w:spacing w:line="276" w:lineRule="auto"/>
              <w:rPr>
                <w:rFonts w:ascii="Arial" w:hAnsi="Arial" w:cs="Arial"/>
              </w:rPr>
            </w:pPr>
            <w:r w:rsidRPr="00F7228F">
              <w:rPr>
                <w:rFonts w:ascii="Arial" w:hAnsi="Arial" w:cs="Arial"/>
              </w:rPr>
              <w:t>1.146 (0.854 – 1.537)</w:t>
            </w:r>
          </w:p>
        </w:tc>
        <w:tc>
          <w:tcPr>
            <w:tcW w:w="457" w:type="pct"/>
            <w:vAlign w:val="center"/>
          </w:tcPr>
          <w:p w14:paraId="4B0F606F" w14:textId="77777777" w:rsidR="00236A5B" w:rsidRPr="00F7228F" w:rsidRDefault="00236A5B" w:rsidP="000B242D">
            <w:pPr>
              <w:spacing w:line="276" w:lineRule="auto"/>
              <w:rPr>
                <w:rFonts w:ascii="Arial" w:hAnsi="Arial" w:cs="Arial"/>
              </w:rPr>
            </w:pPr>
            <w:r w:rsidRPr="00F7228F">
              <w:rPr>
                <w:rFonts w:ascii="Arial" w:hAnsi="Arial" w:cs="Arial"/>
              </w:rPr>
              <w:t>0.974 (0.721 – 1.316)</w:t>
            </w:r>
          </w:p>
        </w:tc>
        <w:tc>
          <w:tcPr>
            <w:tcW w:w="444" w:type="pct"/>
            <w:vAlign w:val="center"/>
          </w:tcPr>
          <w:p w14:paraId="27F35F89" w14:textId="77777777" w:rsidR="00236A5B" w:rsidRPr="00F7228F" w:rsidRDefault="00236A5B" w:rsidP="000B242D">
            <w:pPr>
              <w:spacing w:line="276" w:lineRule="auto"/>
              <w:rPr>
                <w:rFonts w:ascii="Arial" w:hAnsi="Arial" w:cs="Arial"/>
              </w:rPr>
            </w:pPr>
            <w:r w:rsidRPr="00F7228F">
              <w:rPr>
                <w:rFonts w:ascii="Arial" w:hAnsi="Arial" w:cs="Arial"/>
              </w:rPr>
              <w:t>1.038 (0.800 – 1.346)</w:t>
            </w:r>
          </w:p>
        </w:tc>
        <w:tc>
          <w:tcPr>
            <w:tcW w:w="447" w:type="pct"/>
            <w:vAlign w:val="center"/>
          </w:tcPr>
          <w:p w14:paraId="3EA4E31C" w14:textId="77777777" w:rsidR="00236A5B" w:rsidRPr="00F7228F" w:rsidRDefault="00236A5B" w:rsidP="000B242D">
            <w:pPr>
              <w:spacing w:line="276" w:lineRule="auto"/>
              <w:rPr>
                <w:rFonts w:ascii="Arial" w:hAnsi="Arial" w:cs="Arial"/>
                <w:color w:val="FFC000"/>
              </w:rPr>
            </w:pPr>
            <w:r w:rsidRPr="00F7228F">
              <w:rPr>
                <w:rFonts w:ascii="Arial" w:hAnsi="Arial" w:cs="Arial"/>
              </w:rPr>
              <w:t>0.974 (0.733 – 1.295)</w:t>
            </w:r>
          </w:p>
        </w:tc>
        <w:tc>
          <w:tcPr>
            <w:tcW w:w="471" w:type="pct"/>
            <w:vAlign w:val="center"/>
          </w:tcPr>
          <w:p w14:paraId="56A988EE" w14:textId="77777777" w:rsidR="00236A5B" w:rsidRPr="00F7228F" w:rsidRDefault="00236A5B" w:rsidP="000B242D">
            <w:pPr>
              <w:spacing w:line="276" w:lineRule="auto"/>
              <w:rPr>
                <w:rFonts w:ascii="Arial" w:hAnsi="Arial" w:cs="Arial"/>
              </w:rPr>
            </w:pPr>
            <w:r w:rsidRPr="00F7228F">
              <w:rPr>
                <w:rFonts w:ascii="Arial" w:hAnsi="Arial" w:cs="Arial"/>
              </w:rPr>
              <w:t>1.020 (0.756 – 1.376)</w:t>
            </w:r>
          </w:p>
        </w:tc>
      </w:tr>
      <w:tr w:rsidR="00236A5B" w:rsidRPr="00F7228F" w14:paraId="2EA83E18" w14:textId="77777777" w:rsidTr="00CB0BB6">
        <w:tc>
          <w:tcPr>
            <w:tcW w:w="719" w:type="pct"/>
            <w:vMerge/>
          </w:tcPr>
          <w:p w14:paraId="5C9D4E97" w14:textId="77777777" w:rsidR="00236A5B" w:rsidRPr="00F7228F" w:rsidRDefault="00236A5B" w:rsidP="000B242D">
            <w:pPr>
              <w:spacing w:line="276" w:lineRule="auto"/>
              <w:rPr>
                <w:rFonts w:ascii="Arial" w:hAnsi="Arial" w:cs="Arial"/>
              </w:rPr>
            </w:pPr>
          </w:p>
        </w:tc>
        <w:tc>
          <w:tcPr>
            <w:tcW w:w="516" w:type="pct"/>
          </w:tcPr>
          <w:p w14:paraId="19DCE2AE"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49F0EF4C" w14:textId="77777777" w:rsidR="00236A5B" w:rsidRPr="00F7228F" w:rsidRDefault="00236A5B" w:rsidP="000B242D">
            <w:pPr>
              <w:spacing w:line="276" w:lineRule="auto"/>
              <w:rPr>
                <w:rFonts w:ascii="Arial" w:hAnsi="Arial" w:cs="Arial"/>
              </w:rPr>
            </w:pPr>
            <w:r w:rsidRPr="00F7228F">
              <w:rPr>
                <w:rFonts w:ascii="Arial" w:hAnsi="Arial" w:cs="Arial"/>
              </w:rPr>
              <w:t>0.525</w:t>
            </w:r>
          </w:p>
        </w:tc>
        <w:tc>
          <w:tcPr>
            <w:tcW w:w="501" w:type="pct"/>
            <w:vAlign w:val="center"/>
          </w:tcPr>
          <w:p w14:paraId="3B191864" w14:textId="77777777" w:rsidR="00236A5B" w:rsidRPr="00F7228F" w:rsidRDefault="00236A5B" w:rsidP="000B242D">
            <w:pPr>
              <w:spacing w:line="276" w:lineRule="auto"/>
              <w:rPr>
                <w:rFonts w:ascii="Arial" w:hAnsi="Arial" w:cs="Arial"/>
              </w:rPr>
            </w:pPr>
            <w:r w:rsidRPr="00F7228F">
              <w:rPr>
                <w:rFonts w:ascii="Arial" w:hAnsi="Arial" w:cs="Arial"/>
              </w:rPr>
              <w:t>0.476</w:t>
            </w:r>
          </w:p>
        </w:tc>
        <w:tc>
          <w:tcPr>
            <w:tcW w:w="490" w:type="pct"/>
            <w:vAlign w:val="center"/>
          </w:tcPr>
          <w:p w14:paraId="4CC98FBD" w14:textId="77777777" w:rsidR="00236A5B" w:rsidRPr="00F7228F" w:rsidRDefault="00236A5B" w:rsidP="000B242D">
            <w:pPr>
              <w:spacing w:line="276" w:lineRule="auto"/>
              <w:rPr>
                <w:rFonts w:ascii="Arial" w:hAnsi="Arial" w:cs="Arial"/>
              </w:rPr>
            </w:pPr>
            <w:r w:rsidRPr="00F7228F">
              <w:rPr>
                <w:rFonts w:ascii="Arial" w:hAnsi="Arial" w:cs="Arial"/>
              </w:rPr>
              <w:t>0.654</w:t>
            </w:r>
          </w:p>
        </w:tc>
        <w:tc>
          <w:tcPr>
            <w:tcW w:w="457" w:type="pct"/>
            <w:vAlign w:val="center"/>
          </w:tcPr>
          <w:p w14:paraId="6B9C3693" w14:textId="77777777" w:rsidR="00236A5B" w:rsidRPr="00F7228F" w:rsidRDefault="00236A5B" w:rsidP="000B242D">
            <w:pPr>
              <w:spacing w:line="276" w:lineRule="auto"/>
              <w:rPr>
                <w:rFonts w:ascii="Arial" w:hAnsi="Arial" w:cs="Arial"/>
              </w:rPr>
            </w:pPr>
            <w:r w:rsidRPr="00F7228F">
              <w:rPr>
                <w:rFonts w:ascii="Arial" w:hAnsi="Arial" w:cs="Arial"/>
              </w:rPr>
              <w:t>0.365</w:t>
            </w:r>
          </w:p>
        </w:tc>
        <w:tc>
          <w:tcPr>
            <w:tcW w:w="457" w:type="pct"/>
            <w:vAlign w:val="center"/>
          </w:tcPr>
          <w:p w14:paraId="62E69B56" w14:textId="77777777" w:rsidR="00236A5B" w:rsidRPr="00F7228F" w:rsidRDefault="00236A5B" w:rsidP="000B242D">
            <w:pPr>
              <w:spacing w:line="276" w:lineRule="auto"/>
              <w:rPr>
                <w:rFonts w:ascii="Arial" w:hAnsi="Arial" w:cs="Arial"/>
              </w:rPr>
            </w:pPr>
            <w:r w:rsidRPr="00F7228F">
              <w:rPr>
                <w:rFonts w:ascii="Arial" w:hAnsi="Arial" w:cs="Arial"/>
              </w:rPr>
              <w:t>0.862</w:t>
            </w:r>
          </w:p>
        </w:tc>
        <w:tc>
          <w:tcPr>
            <w:tcW w:w="444" w:type="pct"/>
            <w:vAlign w:val="center"/>
          </w:tcPr>
          <w:p w14:paraId="43E22ED9" w14:textId="77777777" w:rsidR="00236A5B" w:rsidRPr="00F7228F" w:rsidRDefault="00236A5B" w:rsidP="000B242D">
            <w:pPr>
              <w:spacing w:line="276" w:lineRule="auto"/>
              <w:rPr>
                <w:rFonts w:ascii="Arial" w:hAnsi="Arial" w:cs="Arial"/>
              </w:rPr>
            </w:pPr>
            <w:r w:rsidRPr="00F7228F">
              <w:rPr>
                <w:rFonts w:ascii="Arial" w:hAnsi="Arial" w:cs="Arial"/>
              </w:rPr>
              <w:t>0.780</w:t>
            </w:r>
          </w:p>
        </w:tc>
        <w:tc>
          <w:tcPr>
            <w:tcW w:w="447" w:type="pct"/>
            <w:vAlign w:val="center"/>
          </w:tcPr>
          <w:p w14:paraId="572C174B" w14:textId="77777777" w:rsidR="00236A5B" w:rsidRPr="00F7228F" w:rsidRDefault="00236A5B" w:rsidP="000B242D">
            <w:pPr>
              <w:spacing w:line="276" w:lineRule="auto"/>
              <w:rPr>
                <w:rFonts w:ascii="Arial" w:hAnsi="Arial" w:cs="Arial"/>
                <w:color w:val="FFC000"/>
              </w:rPr>
            </w:pPr>
            <w:r w:rsidRPr="00F7228F">
              <w:rPr>
                <w:rFonts w:ascii="Arial" w:hAnsi="Arial" w:cs="Arial"/>
              </w:rPr>
              <w:t>0.857</w:t>
            </w:r>
          </w:p>
        </w:tc>
        <w:tc>
          <w:tcPr>
            <w:tcW w:w="471" w:type="pct"/>
            <w:vAlign w:val="center"/>
          </w:tcPr>
          <w:p w14:paraId="518677A1" w14:textId="77777777" w:rsidR="00236A5B" w:rsidRPr="00F7228F" w:rsidRDefault="00236A5B" w:rsidP="000B242D">
            <w:pPr>
              <w:spacing w:line="276" w:lineRule="auto"/>
              <w:rPr>
                <w:rFonts w:ascii="Arial" w:hAnsi="Arial" w:cs="Arial"/>
              </w:rPr>
            </w:pPr>
            <w:r w:rsidRPr="00F7228F">
              <w:rPr>
                <w:rFonts w:ascii="Arial" w:hAnsi="Arial" w:cs="Arial"/>
              </w:rPr>
              <w:t>0.899</w:t>
            </w:r>
          </w:p>
        </w:tc>
      </w:tr>
      <w:tr w:rsidR="00236A5B" w:rsidRPr="00F7228F" w14:paraId="7F259B9B" w14:textId="77777777" w:rsidTr="00CB0BB6">
        <w:tc>
          <w:tcPr>
            <w:tcW w:w="719" w:type="pct"/>
            <w:vMerge w:val="restart"/>
          </w:tcPr>
          <w:p w14:paraId="0762FA0F" w14:textId="77777777" w:rsidR="00236A5B" w:rsidRPr="00F7228F" w:rsidRDefault="00236A5B" w:rsidP="000B242D">
            <w:pPr>
              <w:spacing w:line="276" w:lineRule="auto"/>
              <w:rPr>
                <w:rFonts w:ascii="Arial" w:hAnsi="Arial" w:cs="Arial"/>
              </w:rPr>
            </w:pPr>
            <w:r w:rsidRPr="00F7228F">
              <w:rPr>
                <w:rFonts w:ascii="Arial" w:hAnsi="Arial" w:cs="Arial"/>
              </w:rPr>
              <w:t>CSF Principal Component 3</w:t>
            </w:r>
          </w:p>
        </w:tc>
        <w:tc>
          <w:tcPr>
            <w:tcW w:w="516" w:type="pct"/>
          </w:tcPr>
          <w:p w14:paraId="7B1FD508"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0F3C8DF8" w14:textId="77777777" w:rsidR="00236A5B" w:rsidRPr="00F7228F" w:rsidRDefault="00236A5B" w:rsidP="000B242D">
            <w:pPr>
              <w:spacing w:line="276" w:lineRule="auto"/>
              <w:rPr>
                <w:rFonts w:ascii="Arial" w:hAnsi="Arial" w:cs="Arial"/>
                <w:color w:val="FF0000"/>
              </w:rPr>
            </w:pPr>
            <w:r w:rsidRPr="00F7228F">
              <w:rPr>
                <w:rFonts w:ascii="Arial" w:hAnsi="Arial" w:cs="Arial"/>
              </w:rPr>
              <w:t>0.885 (0.227 – 3.441)</w:t>
            </w:r>
          </w:p>
        </w:tc>
        <w:tc>
          <w:tcPr>
            <w:tcW w:w="501" w:type="pct"/>
            <w:vAlign w:val="center"/>
          </w:tcPr>
          <w:p w14:paraId="211F1287" w14:textId="77777777" w:rsidR="00236A5B" w:rsidRPr="00F7228F" w:rsidRDefault="00236A5B" w:rsidP="000B242D">
            <w:pPr>
              <w:spacing w:line="276" w:lineRule="auto"/>
              <w:rPr>
                <w:rFonts w:ascii="Arial" w:hAnsi="Arial" w:cs="Arial"/>
                <w:color w:val="FF0000"/>
              </w:rPr>
            </w:pPr>
            <w:r w:rsidRPr="00F7228F">
              <w:rPr>
                <w:rFonts w:ascii="Arial" w:hAnsi="Arial" w:cs="Arial"/>
              </w:rPr>
              <w:t>0.861 (0.619 – 1.196)</w:t>
            </w:r>
          </w:p>
        </w:tc>
        <w:tc>
          <w:tcPr>
            <w:tcW w:w="490" w:type="pct"/>
            <w:vAlign w:val="center"/>
          </w:tcPr>
          <w:p w14:paraId="401677B2" w14:textId="77777777" w:rsidR="00236A5B" w:rsidRPr="00F7228F" w:rsidRDefault="00236A5B" w:rsidP="000B242D">
            <w:pPr>
              <w:spacing w:line="276" w:lineRule="auto"/>
              <w:rPr>
                <w:rFonts w:ascii="Arial" w:hAnsi="Arial" w:cs="Arial"/>
                <w:color w:val="FF0000"/>
              </w:rPr>
            </w:pPr>
            <w:r w:rsidRPr="00F7228F">
              <w:rPr>
                <w:rFonts w:ascii="Arial" w:hAnsi="Arial" w:cs="Arial"/>
              </w:rPr>
              <w:t>0.859 (0.612 – 1.206)</w:t>
            </w:r>
          </w:p>
        </w:tc>
        <w:tc>
          <w:tcPr>
            <w:tcW w:w="457" w:type="pct"/>
            <w:vAlign w:val="center"/>
          </w:tcPr>
          <w:p w14:paraId="38FAB969" w14:textId="77777777" w:rsidR="00236A5B" w:rsidRPr="00F7228F" w:rsidRDefault="00236A5B" w:rsidP="000B242D">
            <w:pPr>
              <w:spacing w:line="276" w:lineRule="auto"/>
              <w:rPr>
                <w:rFonts w:ascii="Arial" w:hAnsi="Arial" w:cs="Arial"/>
              </w:rPr>
            </w:pPr>
            <w:r w:rsidRPr="00F7228F">
              <w:rPr>
                <w:rFonts w:ascii="Arial" w:hAnsi="Arial" w:cs="Arial"/>
                <w:color w:val="FFC000"/>
              </w:rPr>
              <w:t>0.582 (0.334 – 1.013)</w:t>
            </w:r>
          </w:p>
        </w:tc>
        <w:tc>
          <w:tcPr>
            <w:tcW w:w="457" w:type="pct"/>
            <w:vAlign w:val="center"/>
          </w:tcPr>
          <w:p w14:paraId="05A7D182" w14:textId="77777777" w:rsidR="00236A5B" w:rsidRPr="00F7228F" w:rsidRDefault="00236A5B" w:rsidP="000B242D">
            <w:pPr>
              <w:spacing w:line="276" w:lineRule="auto"/>
              <w:rPr>
                <w:rFonts w:ascii="Arial" w:hAnsi="Arial" w:cs="Arial"/>
              </w:rPr>
            </w:pPr>
            <w:r w:rsidRPr="00F7228F">
              <w:rPr>
                <w:rFonts w:ascii="Arial" w:hAnsi="Arial" w:cs="Arial"/>
              </w:rPr>
              <w:t>0.937 (0.672 – 1.308)</w:t>
            </w:r>
          </w:p>
        </w:tc>
        <w:tc>
          <w:tcPr>
            <w:tcW w:w="444" w:type="pct"/>
            <w:vAlign w:val="center"/>
          </w:tcPr>
          <w:p w14:paraId="121D0BF8" w14:textId="77777777" w:rsidR="00236A5B" w:rsidRPr="00F7228F" w:rsidRDefault="00236A5B" w:rsidP="000B242D">
            <w:pPr>
              <w:spacing w:line="276" w:lineRule="auto"/>
              <w:rPr>
                <w:rFonts w:ascii="Arial" w:hAnsi="Arial" w:cs="Arial"/>
              </w:rPr>
            </w:pPr>
            <w:r w:rsidRPr="00F7228F">
              <w:rPr>
                <w:rFonts w:ascii="Arial" w:hAnsi="Arial" w:cs="Arial"/>
              </w:rPr>
              <w:t>0.873 (0.641 – 1.189)</w:t>
            </w:r>
          </w:p>
        </w:tc>
        <w:tc>
          <w:tcPr>
            <w:tcW w:w="447" w:type="pct"/>
            <w:vAlign w:val="center"/>
          </w:tcPr>
          <w:p w14:paraId="7F60F538" w14:textId="77777777" w:rsidR="00236A5B" w:rsidRPr="00F7228F" w:rsidRDefault="00236A5B" w:rsidP="000B242D">
            <w:pPr>
              <w:spacing w:line="276" w:lineRule="auto"/>
              <w:rPr>
                <w:rFonts w:ascii="Arial" w:hAnsi="Arial" w:cs="Arial"/>
              </w:rPr>
            </w:pPr>
            <w:r w:rsidRPr="00F7228F">
              <w:rPr>
                <w:rFonts w:ascii="Arial" w:hAnsi="Arial" w:cs="Arial"/>
              </w:rPr>
              <w:t>0.595 (0.313 – 1.131)</w:t>
            </w:r>
          </w:p>
        </w:tc>
        <w:tc>
          <w:tcPr>
            <w:tcW w:w="471" w:type="pct"/>
            <w:vAlign w:val="center"/>
          </w:tcPr>
          <w:p w14:paraId="45AC542A" w14:textId="77777777" w:rsidR="00236A5B" w:rsidRPr="00F7228F" w:rsidRDefault="00236A5B" w:rsidP="000B242D">
            <w:pPr>
              <w:spacing w:line="276" w:lineRule="auto"/>
              <w:rPr>
                <w:rFonts w:ascii="Arial" w:hAnsi="Arial" w:cs="Arial"/>
              </w:rPr>
            </w:pPr>
            <w:r w:rsidRPr="00F7228F">
              <w:rPr>
                <w:rFonts w:ascii="Arial" w:hAnsi="Arial" w:cs="Arial"/>
              </w:rPr>
              <w:t>0.708 (0.416 – 1.205)</w:t>
            </w:r>
          </w:p>
        </w:tc>
      </w:tr>
      <w:tr w:rsidR="00236A5B" w:rsidRPr="00F7228F" w14:paraId="54980B2A" w14:textId="77777777" w:rsidTr="00CB0BB6">
        <w:tc>
          <w:tcPr>
            <w:tcW w:w="719" w:type="pct"/>
            <w:vMerge/>
          </w:tcPr>
          <w:p w14:paraId="60CF8D08" w14:textId="77777777" w:rsidR="00236A5B" w:rsidRPr="00F7228F" w:rsidRDefault="00236A5B" w:rsidP="000B242D">
            <w:pPr>
              <w:spacing w:line="276" w:lineRule="auto"/>
              <w:rPr>
                <w:rFonts w:ascii="Arial" w:hAnsi="Arial" w:cs="Arial"/>
              </w:rPr>
            </w:pPr>
          </w:p>
        </w:tc>
        <w:tc>
          <w:tcPr>
            <w:tcW w:w="516" w:type="pct"/>
          </w:tcPr>
          <w:p w14:paraId="15625256"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77FD6C54" w14:textId="77777777" w:rsidR="00236A5B" w:rsidRPr="00F7228F" w:rsidRDefault="00236A5B" w:rsidP="000B242D">
            <w:pPr>
              <w:spacing w:line="276" w:lineRule="auto"/>
              <w:rPr>
                <w:rFonts w:ascii="Arial" w:hAnsi="Arial" w:cs="Arial"/>
                <w:color w:val="FF0000"/>
              </w:rPr>
            </w:pPr>
            <w:r w:rsidRPr="00F7228F">
              <w:rPr>
                <w:rFonts w:ascii="Arial" w:hAnsi="Arial" w:cs="Arial"/>
              </w:rPr>
              <w:t>0.860</w:t>
            </w:r>
          </w:p>
        </w:tc>
        <w:tc>
          <w:tcPr>
            <w:tcW w:w="501" w:type="pct"/>
            <w:vAlign w:val="center"/>
          </w:tcPr>
          <w:p w14:paraId="5031D078" w14:textId="77777777" w:rsidR="00236A5B" w:rsidRPr="00F7228F" w:rsidRDefault="00236A5B" w:rsidP="000B242D">
            <w:pPr>
              <w:spacing w:line="276" w:lineRule="auto"/>
              <w:rPr>
                <w:rFonts w:ascii="Arial" w:hAnsi="Arial" w:cs="Arial"/>
                <w:color w:val="FF0000"/>
              </w:rPr>
            </w:pPr>
            <w:r w:rsidRPr="00F7228F">
              <w:rPr>
                <w:rFonts w:ascii="Arial" w:hAnsi="Arial" w:cs="Arial"/>
              </w:rPr>
              <w:t>0.371</w:t>
            </w:r>
          </w:p>
        </w:tc>
        <w:tc>
          <w:tcPr>
            <w:tcW w:w="490" w:type="pct"/>
            <w:vAlign w:val="center"/>
          </w:tcPr>
          <w:p w14:paraId="22177279" w14:textId="77777777" w:rsidR="00236A5B" w:rsidRPr="00F7228F" w:rsidRDefault="00236A5B" w:rsidP="000B242D">
            <w:pPr>
              <w:spacing w:line="276" w:lineRule="auto"/>
              <w:rPr>
                <w:rFonts w:ascii="Arial" w:hAnsi="Arial" w:cs="Arial"/>
                <w:color w:val="FF0000"/>
              </w:rPr>
            </w:pPr>
            <w:r w:rsidRPr="00F7228F">
              <w:rPr>
                <w:rFonts w:ascii="Arial" w:hAnsi="Arial" w:cs="Arial"/>
              </w:rPr>
              <w:t>0.380</w:t>
            </w:r>
          </w:p>
        </w:tc>
        <w:tc>
          <w:tcPr>
            <w:tcW w:w="457" w:type="pct"/>
            <w:vAlign w:val="center"/>
          </w:tcPr>
          <w:p w14:paraId="788F4E7D" w14:textId="77777777" w:rsidR="00236A5B" w:rsidRPr="00F7228F" w:rsidRDefault="00236A5B" w:rsidP="000B242D">
            <w:pPr>
              <w:spacing w:line="276" w:lineRule="auto"/>
              <w:rPr>
                <w:rFonts w:ascii="Arial" w:hAnsi="Arial" w:cs="Arial"/>
              </w:rPr>
            </w:pPr>
            <w:r w:rsidRPr="00F7228F">
              <w:rPr>
                <w:rFonts w:ascii="Arial" w:hAnsi="Arial" w:cs="Arial"/>
                <w:color w:val="FFC000"/>
              </w:rPr>
              <w:t>0.055</w:t>
            </w:r>
          </w:p>
        </w:tc>
        <w:tc>
          <w:tcPr>
            <w:tcW w:w="457" w:type="pct"/>
            <w:vAlign w:val="center"/>
          </w:tcPr>
          <w:p w14:paraId="2CC31D01" w14:textId="77777777" w:rsidR="00236A5B" w:rsidRPr="00F7228F" w:rsidRDefault="00236A5B" w:rsidP="000B242D">
            <w:pPr>
              <w:spacing w:line="276" w:lineRule="auto"/>
              <w:rPr>
                <w:rFonts w:ascii="Arial" w:hAnsi="Arial" w:cs="Arial"/>
              </w:rPr>
            </w:pPr>
            <w:r w:rsidRPr="00F7228F">
              <w:rPr>
                <w:rFonts w:ascii="Arial" w:hAnsi="Arial" w:cs="Arial"/>
              </w:rPr>
              <w:t>0.703</w:t>
            </w:r>
          </w:p>
        </w:tc>
        <w:tc>
          <w:tcPr>
            <w:tcW w:w="444" w:type="pct"/>
            <w:vAlign w:val="center"/>
          </w:tcPr>
          <w:p w14:paraId="543C7220" w14:textId="77777777" w:rsidR="00236A5B" w:rsidRPr="00F7228F" w:rsidRDefault="00236A5B" w:rsidP="000B242D">
            <w:pPr>
              <w:spacing w:line="276" w:lineRule="auto"/>
              <w:rPr>
                <w:rFonts w:ascii="Arial" w:hAnsi="Arial" w:cs="Arial"/>
              </w:rPr>
            </w:pPr>
            <w:r w:rsidRPr="00F7228F">
              <w:rPr>
                <w:rFonts w:ascii="Arial" w:hAnsi="Arial" w:cs="Arial"/>
              </w:rPr>
              <w:t>0.389</w:t>
            </w:r>
          </w:p>
        </w:tc>
        <w:tc>
          <w:tcPr>
            <w:tcW w:w="447" w:type="pct"/>
            <w:vAlign w:val="center"/>
          </w:tcPr>
          <w:p w14:paraId="2DF30965" w14:textId="77777777" w:rsidR="00236A5B" w:rsidRPr="00F7228F" w:rsidRDefault="00236A5B" w:rsidP="000B242D">
            <w:pPr>
              <w:spacing w:line="276" w:lineRule="auto"/>
              <w:rPr>
                <w:rFonts w:ascii="Arial" w:hAnsi="Arial" w:cs="Arial"/>
              </w:rPr>
            </w:pPr>
            <w:r w:rsidRPr="00F7228F">
              <w:rPr>
                <w:rFonts w:ascii="Arial" w:hAnsi="Arial" w:cs="Arial"/>
              </w:rPr>
              <w:t>0.113</w:t>
            </w:r>
          </w:p>
        </w:tc>
        <w:tc>
          <w:tcPr>
            <w:tcW w:w="471" w:type="pct"/>
            <w:vAlign w:val="center"/>
          </w:tcPr>
          <w:p w14:paraId="5FBC4460" w14:textId="77777777" w:rsidR="00236A5B" w:rsidRPr="00F7228F" w:rsidRDefault="00236A5B" w:rsidP="000B242D">
            <w:pPr>
              <w:spacing w:line="276" w:lineRule="auto"/>
              <w:rPr>
                <w:rFonts w:ascii="Arial" w:hAnsi="Arial" w:cs="Arial"/>
              </w:rPr>
            </w:pPr>
            <w:r w:rsidRPr="00F7228F">
              <w:rPr>
                <w:rFonts w:ascii="Arial" w:hAnsi="Arial" w:cs="Arial"/>
              </w:rPr>
              <w:t>0.203</w:t>
            </w:r>
          </w:p>
        </w:tc>
      </w:tr>
      <w:tr w:rsidR="00236A5B" w:rsidRPr="00F7228F" w14:paraId="741364F0" w14:textId="77777777" w:rsidTr="00CB0BB6">
        <w:tc>
          <w:tcPr>
            <w:tcW w:w="719" w:type="pct"/>
            <w:vMerge w:val="restart"/>
          </w:tcPr>
          <w:p w14:paraId="67F12080"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1</w:t>
            </w:r>
          </w:p>
          <w:p w14:paraId="2878AAF7" w14:textId="77777777" w:rsidR="00236A5B" w:rsidRPr="00F7228F" w:rsidRDefault="00236A5B" w:rsidP="000B242D">
            <w:pPr>
              <w:spacing w:line="276" w:lineRule="auto"/>
              <w:rPr>
                <w:rFonts w:ascii="Arial" w:hAnsi="Arial" w:cs="Arial"/>
              </w:rPr>
            </w:pPr>
          </w:p>
        </w:tc>
        <w:tc>
          <w:tcPr>
            <w:tcW w:w="516" w:type="pct"/>
          </w:tcPr>
          <w:p w14:paraId="38437EC0"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10626E5C" w14:textId="77777777" w:rsidR="00236A5B" w:rsidRPr="00F7228F" w:rsidRDefault="00236A5B" w:rsidP="000B242D">
            <w:pPr>
              <w:spacing w:line="276" w:lineRule="auto"/>
              <w:rPr>
                <w:rFonts w:ascii="Arial" w:hAnsi="Arial" w:cs="Arial"/>
                <w:color w:val="FF0000"/>
              </w:rPr>
            </w:pPr>
            <w:r w:rsidRPr="00F7228F">
              <w:rPr>
                <w:rFonts w:ascii="Arial" w:hAnsi="Arial" w:cs="Arial"/>
                <w:color w:val="FF0000"/>
              </w:rPr>
              <w:t xml:space="preserve">2.087 </w:t>
            </w:r>
          </w:p>
          <w:p w14:paraId="2B307466"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(1.156 – 3.765)</w:t>
            </w:r>
          </w:p>
        </w:tc>
        <w:tc>
          <w:tcPr>
            <w:tcW w:w="501" w:type="pct"/>
            <w:vAlign w:val="center"/>
          </w:tcPr>
          <w:p w14:paraId="7CEE30A3" w14:textId="77777777" w:rsidR="00236A5B" w:rsidRPr="00F7228F" w:rsidRDefault="00236A5B" w:rsidP="000B242D">
            <w:pPr>
              <w:spacing w:line="276" w:lineRule="auto"/>
              <w:rPr>
                <w:rFonts w:ascii="Arial" w:hAnsi="Arial" w:cs="Arial"/>
                <w:color w:val="FF0000"/>
              </w:rPr>
            </w:pPr>
            <w:r w:rsidRPr="00F7228F">
              <w:rPr>
                <w:rFonts w:ascii="Arial" w:hAnsi="Arial" w:cs="Arial"/>
              </w:rPr>
              <w:t>1.103 (0.864 – 1.409)</w:t>
            </w:r>
          </w:p>
        </w:tc>
        <w:tc>
          <w:tcPr>
            <w:tcW w:w="490" w:type="pct"/>
            <w:vAlign w:val="center"/>
          </w:tcPr>
          <w:p w14:paraId="58CCD746" w14:textId="77777777" w:rsidR="00236A5B" w:rsidRPr="00F7228F" w:rsidRDefault="00236A5B" w:rsidP="000B242D">
            <w:pPr>
              <w:spacing w:line="276" w:lineRule="auto"/>
              <w:rPr>
                <w:rFonts w:ascii="Arial" w:hAnsi="Arial" w:cs="Arial"/>
                <w:color w:val="000000"/>
              </w:rPr>
            </w:pPr>
            <w:r w:rsidRPr="00F7228F">
              <w:rPr>
                <w:rFonts w:ascii="Arial" w:hAnsi="Arial" w:cs="Arial"/>
                <w:color w:val="FFC000"/>
              </w:rPr>
              <w:t>1.269 (0.960 – 1.677)</w:t>
            </w:r>
          </w:p>
        </w:tc>
        <w:tc>
          <w:tcPr>
            <w:tcW w:w="457" w:type="pct"/>
            <w:vAlign w:val="center"/>
          </w:tcPr>
          <w:p w14:paraId="456B6E39" w14:textId="77777777" w:rsidR="00236A5B" w:rsidRPr="00F7228F" w:rsidRDefault="00236A5B" w:rsidP="000B242D">
            <w:pPr>
              <w:spacing w:line="276" w:lineRule="auto"/>
              <w:rPr>
                <w:rFonts w:ascii="Arial" w:hAnsi="Arial" w:cs="Arial"/>
              </w:rPr>
            </w:pPr>
            <w:r w:rsidRPr="00F7228F">
              <w:rPr>
                <w:rFonts w:ascii="Arial" w:hAnsi="Arial" w:cs="Arial"/>
                <w:color w:val="FFC000"/>
              </w:rPr>
              <w:t>1.295 (0.987 – 1.699)</w:t>
            </w:r>
          </w:p>
        </w:tc>
        <w:tc>
          <w:tcPr>
            <w:tcW w:w="457" w:type="pct"/>
            <w:vAlign w:val="center"/>
          </w:tcPr>
          <w:p w14:paraId="457059B9"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1.476 (1.129 – 1.930)</w:t>
            </w:r>
          </w:p>
        </w:tc>
        <w:tc>
          <w:tcPr>
            <w:tcW w:w="444" w:type="pct"/>
            <w:vAlign w:val="center"/>
          </w:tcPr>
          <w:p w14:paraId="022EDFF5" w14:textId="77777777" w:rsidR="00236A5B" w:rsidRPr="00F7228F" w:rsidRDefault="00236A5B" w:rsidP="000B242D">
            <w:pPr>
              <w:spacing w:line="276" w:lineRule="auto"/>
              <w:rPr>
                <w:rFonts w:ascii="Arial" w:hAnsi="Arial" w:cs="Arial"/>
                <w:color w:val="000000"/>
              </w:rPr>
            </w:pPr>
            <w:r w:rsidRPr="00F7228F">
              <w:rPr>
                <w:rFonts w:ascii="Arial" w:hAnsi="Arial" w:cs="Arial"/>
              </w:rPr>
              <w:t>1.257 (0.940 – 1.679)</w:t>
            </w:r>
          </w:p>
        </w:tc>
        <w:tc>
          <w:tcPr>
            <w:tcW w:w="447" w:type="pct"/>
            <w:vAlign w:val="center"/>
          </w:tcPr>
          <w:p w14:paraId="5B5273FF"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1.350 (1.020 – 1.786)</w:t>
            </w:r>
          </w:p>
        </w:tc>
        <w:tc>
          <w:tcPr>
            <w:tcW w:w="471" w:type="pct"/>
            <w:vAlign w:val="center"/>
          </w:tcPr>
          <w:p w14:paraId="0538EE1C"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1.469 (1.091 – 1.978)</w:t>
            </w:r>
          </w:p>
        </w:tc>
      </w:tr>
      <w:tr w:rsidR="00236A5B" w:rsidRPr="00F7228F" w14:paraId="20D000B6" w14:textId="77777777" w:rsidTr="00CB0BB6">
        <w:tc>
          <w:tcPr>
            <w:tcW w:w="719" w:type="pct"/>
            <w:vMerge/>
          </w:tcPr>
          <w:p w14:paraId="271430F1" w14:textId="77777777" w:rsidR="00236A5B" w:rsidRPr="00F7228F" w:rsidRDefault="00236A5B" w:rsidP="000B242D">
            <w:pPr>
              <w:spacing w:line="276" w:lineRule="auto"/>
              <w:rPr>
                <w:rFonts w:ascii="Arial" w:hAnsi="Arial" w:cs="Arial"/>
              </w:rPr>
            </w:pPr>
          </w:p>
        </w:tc>
        <w:tc>
          <w:tcPr>
            <w:tcW w:w="516" w:type="pct"/>
          </w:tcPr>
          <w:p w14:paraId="4CA65ACD"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24F64EBB"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0.015</w:t>
            </w:r>
          </w:p>
        </w:tc>
        <w:tc>
          <w:tcPr>
            <w:tcW w:w="501" w:type="pct"/>
            <w:vAlign w:val="center"/>
          </w:tcPr>
          <w:p w14:paraId="183710C3" w14:textId="77777777" w:rsidR="00236A5B" w:rsidRPr="00F7228F" w:rsidRDefault="00236A5B" w:rsidP="000B242D">
            <w:pPr>
              <w:spacing w:line="276" w:lineRule="auto"/>
              <w:rPr>
                <w:rFonts w:ascii="Arial" w:hAnsi="Arial" w:cs="Arial"/>
                <w:color w:val="FF0000"/>
              </w:rPr>
            </w:pPr>
            <w:r w:rsidRPr="00F7228F">
              <w:rPr>
                <w:rFonts w:ascii="Arial" w:hAnsi="Arial" w:cs="Arial"/>
              </w:rPr>
              <w:t>0.432</w:t>
            </w:r>
          </w:p>
        </w:tc>
        <w:tc>
          <w:tcPr>
            <w:tcW w:w="490" w:type="pct"/>
            <w:vAlign w:val="center"/>
          </w:tcPr>
          <w:p w14:paraId="138ABE7E" w14:textId="77777777" w:rsidR="00236A5B" w:rsidRPr="00F7228F" w:rsidRDefault="00236A5B" w:rsidP="000B242D">
            <w:pPr>
              <w:spacing w:line="276" w:lineRule="auto"/>
              <w:rPr>
                <w:rFonts w:ascii="Arial" w:hAnsi="Arial" w:cs="Arial"/>
                <w:color w:val="000000"/>
              </w:rPr>
            </w:pPr>
            <w:r w:rsidRPr="00F7228F">
              <w:rPr>
                <w:rFonts w:ascii="Arial" w:hAnsi="Arial" w:cs="Arial"/>
                <w:color w:val="FFC000"/>
              </w:rPr>
              <w:t>0.094</w:t>
            </w:r>
          </w:p>
        </w:tc>
        <w:tc>
          <w:tcPr>
            <w:tcW w:w="457" w:type="pct"/>
            <w:vAlign w:val="center"/>
          </w:tcPr>
          <w:p w14:paraId="4CBA9D59" w14:textId="77777777" w:rsidR="00236A5B" w:rsidRPr="00F7228F" w:rsidRDefault="00236A5B" w:rsidP="000B242D">
            <w:pPr>
              <w:spacing w:line="276" w:lineRule="auto"/>
              <w:rPr>
                <w:rFonts w:ascii="Arial" w:hAnsi="Arial" w:cs="Arial"/>
              </w:rPr>
            </w:pPr>
            <w:r w:rsidRPr="00F7228F">
              <w:rPr>
                <w:rFonts w:ascii="Arial" w:hAnsi="Arial" w:cs="Arial"/>
                <w:color w:val="FFC000"/>
              </w:rPr>
              <w:t>0.062</w:t>
            </w:r>
          </w:p>
        </w:tc>
        <w:tc>
          <w:tcPr>
            <w:tcW w:w="457" w:type="pct"/>
            <w:vAlign w:val="center"/>
          </w:tcPr>
          <w:p w14:paraId="2E33344D"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0.004</w:t>
            </w:r>
          </w:p>
        </w:tc>
        <w:tc>
          <w:tcPr>
            <w:tcW w:w="444" w:type="pct"/>
            <w:vAlign w:val="center"/>
          </w:tcPr>
          <w:p w14:paraId="7D6A470F" w14:textId="77777777" w:rsidR="00236A5B" w:rsidRPr="00F7228F" w:rsidRDefault="00236A5B" w:rsidP="000B242D">
            <w:pPr>
              <w:spacing w:line="276" w:lineRule="auto"/>
              <w:rPr>
                <w:rFonts w:ascii="Arial" w:hAnsi="Arial" w:cs="Arial"/>
                <w:color w:val="000000"/>
              </w:rPr>
            </w:pPr>
            <w:r w:rsidRPr="00F7228F">
              <w:rPr>
                <w:rFonts w:ascii="Arial" w:hAnsi="Arial" w:cs="Arial"/>
              </w:rPr>
              <w:t>0.123</w:t>
            </w:r>
          </w:p>
        </w:tc>
        <w:tc>
          <w:tcPr>
            <w:tcW w:w="447" w:type="pct"/>
            <w:vAlign w:val="center"/>
          </w:tcPr>
          <w:p w14:paraId="71350986"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0.036</w:t>
            </w:r>
          </w:p>
        </w:tc>
        <w:tc>
          <w:tcPr>
            <w:tcW w:w="471" w:type="pct"/>
            <w:vAlign w:val="center"/>
          </w:tcPr>
          <w:p w14:paraId="1ABB5C48" w14:textId="77777777" w:rsidR="00236A5B" w:rsidRPr="00F7228F" w:rsidRDefault="00236A5B" w:rsidP="000B242D">
            <w:pPr>
              <w:spacing w:line="276" w:lineRule="auto"/>
              <w:rPr>
                <w:rFonts w:ascii="Arial" w:hAnsi="Arial" w:cs="Arial"/>
                <w:color w:val="000000"/>
              </w:rPr>
            </w:pPr>
            <w:r w:rsidRPr="00F7228F">
              <w:rPr>
                <w:rFonts w:ascii="Arial" w:hAnsi="Arial" w:cs="Arial"/>
                <w:color w:val="FF0000"/>
              </w:rPr>
              <w:t>0.011</w:t>
            </w:r>
          </w:p>
        </w:tc>
      </w:tr>
      <w:tr w:rsidR="00236A5B" w:rsidRPr="00F7228F" w14:paraId="6CA4CF33" w14:textId="77777777" w:rsidTr="00CB0BB6">
        <w:tc>
          <w:tcPr>
            <w:tcW w:w="719" w:type="pct"/>
            <w:vMerge w:val="restart"/>
          </w:tcPr>
          <w:p w14:paraId="66B815B0"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2</w:t>
            </w:r>
          </w:p>
          <w:p w14:paraId="3F24FD65" w14:textId="77777777" w:rsidR="00236A5B" w:rsidRPr="00F7228F" w:rsidRDefault="00236A5B" w:rsidP="000B242D">
            <w:pPr>
              <w:spacing w:line="276" w:lineRule="auto"/>
              <w:rPr>
                <w:rFonts w:ascii="Arial" w:hAnsi="Arial" w:cs="Arial"/>
              </w:rPr>
            </w:pPr>
          </w:p>
        </w:tc>
        <w:tc>
          <w:tcPr>
            <w:tcW w:w="516" w:type="pct"/>
          </w:tcPr>
          <w:p w14:paraId="0919DA38"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3FD5579B" w14:textId="77777777" w:rsidR="00236A5B" w:rsidRPr="00F7228F" w:rsidRDefault="00236A5B" w:rsidP="000B242D">
            <w:pPr>
              <w:spacing w:line="276" w:lineRule="auto"/>
              <w:rPr>
                <w:rFonts w:ascii="Arial" w:hAnsi="Arial" w:cs="Arial"/>
                <w:color w:val="FF0000"/>
              </w:rPr>
            </w:pPr>
            <w:r w:rsidRPr="00F7228F">
              <w:rPr>
                <w:rFonts w:ascii="Arial" w:hAnsi="Arial" w:cs="Arial"/>
              </w:rPr>
              <w:t>1.312 (0.685 – 2.513)</w:t>
            </w:r>
          </w:p>
        </w:tc>
        <w:tc>
          <w:tcPr>
            <w:tcW w:w="501" w:type="pct"/>
            <w:vAlign w:val="center"/>
          </w:tcPr>
          <w:p w14:paraId="768EB729" w14:textId="77777777" w:rsidR="00236A5B" w:rsidRPr="00F7228F" w:rsidRDefault="00236A5B" w:rsidP="000B242D">
            <w:pPr>
              <w:spacing w:line="276" w:lineRule="auto"/>
              <w:rPr>
                <w:rFonts w:ascii="Arial" w:hAnsi="Arial" w:cs="Arial"/>
                <w:color w:val="FF0000"/>
              </w:rPr>
            </w:pPr>
            <w:r w:rsidRPr="00F7228F">
              <w:rPr>
                <w:rFonts w:ascii="Arial" w:hAnsi="Arial" w:cs="Arial"/>
              </w:rPr>
              <w:t>1.130 (0.821 – 1.554)</w:t>
            </w:r>
          </w:p>
        </w:tc>
        <w:tc>
          <w:tcPr>
            <w:tcW w:w="490" w:type="pct"/>
            <w:vAlign w:val="center"/>
          </w:tcPr>
          <w:p w14:paraId="5C15A8A3" w14:textId="77777777" w:rsidR="00236A5B" w:rsidRPr="00F7228F" w:rsidRDefault="00236A5B" w:rsidP="000B242D">
            <w:pPr>
              <w:spacing w:line="276" w:lineRule="auto"/>
              <w:rPr>
                <w:rFonts w:ascii="Arial" w:hAnsi="Arial" w:cs="Arial"/>
                <w:color w:val="FF0000"/>
              </w:rPr>
            </w:pPr>
            <w:r w:rsidRPr="00F7228F">
              <w:rPr>
                <w:rFonts w:ascii="Arial" w:hAnsi="Arial" w:cs="Arial"/>
              </w:rPr>
              <w:t>0.992 (0.736 – 1.336)</w:t>
            </w:r>
          </w:p>
        </w:tc>
        <w:tc>
          <w:tcPr>
            <w:tcW w:w="457" w:type="pct"/>
            <w:vAlign w:val="center"/>
          </w:tcPr>
          <w:p w14:paraId="45F36216" w14:textId="77777777" w:rsidR="00236A5B" w:rsidRPr="00F7228F" w:rsidRDefault="00236A5B" w:rsidP="000B242D">
            <w:pPr>
              <w:spacing w:line="276" w:lineRule="auto"/>
              <w:rPr>
                <w:rFonts w:ascii="Arial" w:hAnsi="Arial" w:cs="Arial"/>
              </w:rPr>
            </w:pPr>
            <w:r w:rsidRPr="00F7228F">
              <w:rPr>
                <w:rFonts w:ascii="Arial" w:hAnsi="Arial" w:cs="Arial"/>
              </w:rPr>
              <w:t>1.151 (0.842 – 1.574)</w:t>
            </w:r>
          </w:p>
        </w:tc>
        <w:tc>
          <w:tcPr>
            <w:tcW w:w="457" w:type="pct"/>
            <w:vAlign w:val="center"/>
          </w:tcPr>
          <w:p w14:paraId="2506BCE9" w14:textId="77777777" w:rsidR="00236A5B" w:rsidRPr="00F7228F" w:rsidRDefault="00236A5B" w:rsidP="000B242D">
            <w:pPr>
              <w:spacing w:line="276" w:lineRule="auto"/>
              <w:rPr>
                <w:rFonts w:ascii="Arial" w:hAnsi="Arial" w:cs="Arial"/>
              </w:rPr>
            </w:pPr>
            <w:r w:rsidRPr="00F7228F">
              <w:rPr>
                <w:rFonts w:ascii="Arial" w:hAnsi="Arial" w:cs="Arial"/>
              </w:rPr>
              <w:t>0.997 (0.734 – 1.354)</w:t>
            </w:r>
          </w:p>
        </w:tc>
        <w:tc>
          <w:tcPr>
            <w:tcW w:w="444" w:type="pct"/>
            <w:vAlign w:val="center"/>
          </w:tcPr>
          <w:p w14:paraId="0E8A0519" w14:textId="77777777" w:rsidR="00236A5B" w:rsidRPr="00F7228F" w:rsidRDefault="00236A5B" w:rsidP="000B242D">
            <w:pPr>
              <w:spacing w:line="276" w:lineRule="auto"/>
              <w:rPr>
                <w:rFonts w:ascii="Arial" w:hAnsi="Arial" w:cs="Arial"/>
                <w:color w:val="FFC000"/>
              </w:rPr>
            </w:pPr>
            <w:r w:rsidRPr="00F7228F">
              <w:rPr>
                <w:rFonts w:ascii="Arial" w:hAnsi="Arial" w:cs="Arial"/>
              </w:rPr>
              <w:t>0.965 (0.702 – 1.328)</w:t>
            </w:r>
          </w:p>
        </w:tc>
        <w:tc>
          <w:tcPr>
            <w:tcW w:w="447" w:type="pct"/>
            <w:vAlign w:val="center"/>
          </w:tcPr>
          <w:p w14:paraId="5FF24A60" w14:textId="77777777" w:rsidR="00236A5B" w:rsidRPr="00F7228F" w:rsidRDefault="00236A5B" w:rsidP="000B242D">
            <w:pPr>
              <w:spacing w:line="276" w:lineRule="auto"/>
              <w:rPr>
                <w:rFonts w:ascii="Arial" w:hAnsi="Arial" w:cs="Arial"/>
              </w:rPr>
            </w:pPr>
            <w:r w:rsidRPr="00F7228F">
              <w:rPr>
                <w:rFonts w:ascii="Arial" w:hAnsi="Arial" w:cs="Arial"/>
                <w:color w:val="FFC000"/>
              </w:rPr>
              <w:t>1.341 (0.966 – 1.861)</w:t>
            </w:r>
          </w:p>
        </w:tc>
        <w:tc>
          <w:tcPr>
            <w:tcW w:w="471" w:type="pct"/>
            <w:vAlign w:val="center"/>
          </w:tcPr>
          <w:p w14:paraId="6D1C2ADA" w14:textId="77777777" w:rsidR="00236A5B" w:rsidRPr="00F7228F" w:rsidRDefault="00236A5B" w:rsidP="000B242D">
            <w:pPr>
              <w:spacing w:line="276" w:lineRule="auto"/>
              <w:rPr>
                <w:rFonts w:ascii="Arial" w:hAnsi="Arial" w:cs="Arial"/>
              </w:rPr>
            </w:pPr>
            <w:r w:rsidRPr="00F7228F">
              <w:rPr>
                <w:rFonts w:ascii="Arial" w:hAnsi="Arial" w:cs="Arial"/>
              </w:rPr>
              <w:t>1.255 (0.913 – 1.724)</w:t>
            </w:r>
          </w:p>
        </w:tc>
      </w:tr>
      <w:tr w:rsidR="00236A5B" w:rsidRPr="00F7228F" w14:paraId="603A784C" w14:textId="77777777" w:rsidTr="00CB0BB6">
        <w:tc>
          <w:tcPr>
            <w:tcW w:w="719" w:type="pct"/>
            <w:vMerge/>
          </w:tcPr>
          <w:p w14:paraId="09ADC7D9" w14:textId="77777777" w:rsidR="00236A5B" w:rsidRPr="00F7228F" w:rsidRDefault="00236A5B" w:rsidP="000B242D">
            <w:pPr>
              <w:spacing w:line="276" w:lineRule="auto"/>
              <w:rPr>
                <w:rFonts w:ascii="Arial" w:hAnsi="Arial" w:cs="Arial"/>
              </w:rPr>
            </w:pPr>
          </w:p>
        </w:tc>
        <w:tc>
          <w:tcPr>
            <w:tcW w:w="516" w:type="pct"/>
          </w:tcPr>
          <w:p w14:paraId="6AD88E18"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10D02CC0" w14:textId="77777777" w:rsidR="00236A5B" w:rsidRPr="00F7228F" w:rsidRDefault="00236A5B" w:rsidP="000B242D">
            <w:pPr>
              <w:spacing w:line="276" w:lineRule="auto"/>
              <w:rPr>
                <w:rFonts w:ascii="Arial" w:hAnsi="Arial" w:cs="Arial"/>
                <w:color w:val="FF0000"/>
              </w:rPr>
            </w:pPr>
            <w:r w:rsidRPr="00F7228F">
              <w:rPr>
                <w:rFonts w:ascii="Arial" w:hAnsi="Arial" w:cs="Arial"/>
              </w:rPr>
              <w:t>0.412</w:t>
            </w:r>
          </w:p>
        </w:tc>
        <w:tc>
          <w:tcPr>
            <w:tcW w:w="501" w:type="pct"/>
            <w:vAlign w:val="center"/>
          </w:tcPr>
          <w:p w14:paraId="1D51894F" w14:textId="77777777" w:rsidR="00236A5B" w:rsidRPr="00F7228F" w:rsidRDefault="00236A5B" w:rsidP="000B242D">
            <w:pPr>
              <w:spacing w:line="276" w:lineRule="auto"/>
              <w:rPr>
                <w:rFonts w:ascii="Arial" w:hAnsi="Arial" w:cs="Arial"/>
                <w:color w:val="FF0000"/>
              </w:rPr>
            </w:pPr>
            <w:r w:rsidRPr="00F7228F">
              <w:rPr>
                <w:rFonts w:ascii="Arial" w:hAnsi="Arial" w:cs="Arial"/>
              </w:rPr>
              <w:t>0.454</w:t>
            </w:r>
          </w:p>
        </w:tc>
        <w:tc>
          <w:tcPr>
            <w:tcW w:w="490" w:type="pct"/>
            <w:vAlign w:val="center"/>
          </w:tcPr>
          <w:p w14:paraId="5C0D6115" w14:textId="77777777" w:rsidR="00236A5B" w:rsidRPr="00F7228F" w:rsidRDefault="00236A5B" w:rsidP="000B242D">
            <w:pPr>
              <w:spacing w:line="276" w:lineRule="auto"/>
              <w:rPr>
                <w:rFonts w:ascii="Arial" w:hAnsi="Arial" w:cs="Arial"/>
                <w:color w:val="FF0000"/>
              </w:rPr>
            </w:pPr>
            <w:r w:rsidRPr="00F7228F">
              <w:rPr>
                <w:rFonts w:ascii="Arial" w:hAnsi="Arial" w:cs="Arial"/>
              </w:rPr>
              <w:t>0.958</w:t>
            </w:r>
          </w:p>
        </w:tc>
        <w:tc>
          <w:tcPr>
            <w:tcW w:w="457" w:type="pct"/>
            <w:vAlign w:val="center"/>
          </w:tcPr>
          <w:p w14:paraId="0852441D" w14:textId="77777777" w:rsidR="00236A5B" w:rsidRPr="00F7228F" w:rsidRDefault="00236A5B" w:rsidP="000B242D">
            <w:pPr>
              <w:spacing w:line="276" w:lineRule="auto"/>
              <w:rPr>
                <w:rFonts w:ascii="Arial" w:hAnsi="Arial" w:cs="Arial"/>
              </w:rPr>
            </w:pPr>
            <w:r w:rsidRPr="00F7228F">
              <w:rPr>
                <w:rFonts w:ascii="Arial" w:hAnsi="Arial" w:cs="Arial"/>
              </w:rPr>
              <w:t>0.379</w:t>
            </w:r>
          </w:p>
        </w:tc>
        <w:tc>
          <w:tcPr>
            <w:tcW w:w="457" w:type="pct"/>
            <w:vAlign w:val="center"/>
          </w:tcPr>
          <w:p w14:paraId="570BCC13" w14:textId="77777777" w:rsidR="00236A5B" w:rsidRPr="00F7228F" w:rsidRDefault="00236A5B" w:rsidP="000B242D">
            <w:pPr>
              <w:spacing w:line="276" w:lineRule="auto"/>
              <w:rPr>
                <w:rFonts w:ascii="Arial" w:hAnsi="Arial" w:cs="Arial"/>
              </w:rPr>
            </w:pPr>
            <w:r w:rsidRPr="00F7228F">
              <w:rPr>
                <w:rFonts w:ascii="Arial" w:hAnsi="Arial" w:cs="Arial"/>
              </w:rPr>
              <w:t>0.983</w:t>
            </w:r>
          </w:p>
        </w:tc>
        <w:tc>
          <w:tcPr>
            <w:tcW w:w="444" w:type="pct"/>
            <w:vAlign w:val="center"/>
          </w:tcPr>
          <w:p w14:paraId="7AA0CFF0" w14:textId="77777777" w:rsidR="00236A5B" w:rsidRPr="00F7228F" w:rsidRDefault="00236A5B" w:rsidP="000B242D">
            <w:pPr>
              <w:spacing w:line="276" w:lineRule="auto"/>
              <w:rPr>
                <w:rFonts w:ascii="Arial" w:hAnsi="Arial" w:cs="Arial"/>
                <w:color w:val="FFC000"/>
              </w:rPr>
            </w:pPr>
            <w:r w:rsidRPr="00F7228F">
              <w:rPr>
                <w:rFonts w:ascii="Arial" w:hAnsi="Arial" w:cs="Arial"/>
              </w:rPr>
              <w:t>0.828</w:t>
            </w:r>
          </w:p>
        </w:tc>
        <w:tc>
          <w:tcPr>
            <w:tcW w:w="447" w:type="pct"/>
            <w:vAlign w:val="center"/>
          </w:tcPr>
          <w:p w14:paraId="06561EA1" w14:textId="77777777" w:rsidR="00236A5B" w:rsidRPr="00F7228F" w:rsidRDefault="00236A5B" w:rsidP="000B242D">
            <w:pPr>
              <w:spacing w:line="276" w:lineRule="auto"/>
              <w:rPr>
                <w:rFonts w:ascii="Arial" w:hAnsi="Arial" w:cs="Arial"/>
              </w:rPr>
            </w:pPr>
            <w:r w:rsidRPr="00F7228F">
              <w:rPr>
                <w:rFonts w:ascii="Arial" w:hAnsi="Arial" w:cs="Arial"/>
                <w:color w:val="FFC000"/>
              </w:rPr>
              <w:t>0.079</w:t>
            </w:r>
          </w:p>
        </w:tc>
        <w:tc>
          <w:tcPr>
            <w:tcW w:w="471" w:type="pct"/>
            <w:vAlign w:val="center"/>
          </w:tcPr>
          <w:p w14:paraId="30E1C475" w14:textId="77777777" w:rsidR="00236A5B" w:rsidRPr="00F7228F" w:rsidRDefault="00236A5B" w:rsidP="000B242D">
            <w:pPr>
              <w:spacing w:line="276" w:lineRule="auto"/>
              <w:rPr>
                <w:rFonts w:ascii="Arial" w:hAnsi="Arial" w:cs="Arial"/>
              </w:rPr>
            </w:pPr>
            <w:r w:rsidRPr="00F7228F">
              <w:rPr>
                <w:rFonts w:ascii="Arial" w:hAnsi="Arial" w:cs="Arial"/>
              </w:rPr>
              <w:t>0.161</w:t>
            </w:r>
          </w:p>
        </w:tc>
      </w:tr>
      <w:tr w:rsidR="00236A5B" w:rsidRPr="00F7228F" w14:paraId="39E843B9" w14:textId="77777777" w:rsidTr="00CB0BB6">
        <w:tc>
          <w:tcPr>
            <w:tcW w:w="719" w:type="pct"/>
            <w:vMerge w:val="restart"/>
          </w:tcPr>
          <w:p w14:paraId="3E25D380"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3</w:t>
            </w:r>
          </w:p>
          <w:p w14:paraId="4C2FB1D0" w14:textId="77777777" w:rsidR="00236A5B" w:rsidRPr="00F7228F" w:rsidRDefault="00236A5B" w:rsidP="000B242D">
            <w:pPr>
              <w:spacing w:line="276" w:lineRule="auto"/>
              <w:rPr>
                <w:rFonts w:ascii="Arial" w:hAnsi="Arial" w:cs="Arial"/>
              </w:rPr>
            </w:pPr>
          </w:p>
        </w:tc>
        <w:tc>
          <w:tcPr>
            <w:tcW w:w="516" w:type="pct"/>
          </w:tcPr>
          <w:p w14:paraId="5CC54A02"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17B51994" w14:textId="77777777" w:rsidR="00236A5B" w:rsidRPr="00F7228F" w:rsidRDefault="00236A5B" w:rsidP="000B242D">
            <w:pPr>
              <w:spacing w:line="276" w:lineRule="auto"/>
              <w:rPr>
                <w:rFonts w:ascii="Arial" w:hAnsi="Arial" w:cs="Arial"/>
              </w:rPr>
            </w:pPr>
            <w:r w:rsidRPr="00F7228F">
              <w:rPr>
                <w:rFonts w:ascii="Arial" w:hAnsi="Arial" w:cs="Arial"/>
                <w:color w:val="FF0000"/>
              </w:rPr>
              <w:t>0.458 (0.219 – 0.962)</w:t>
            </w:r>
          </w:p>
        </w:tc>
        <w:tc>
          <w:tcPr>
            <w:tcW w:w="501" w:type="pct"/>
            <w:vAlign w:val="center"/>
          </w:tcPr>
          <w:p w14:paraId="19A2F6FE" w14:textId="77777777" w:rsidR="00236A5B" w:rsidRPr="00F7228F" w:rsidRDefault="00236A5B" w:rsidP="000B242D">
            <w:pPr>
              <w:spacing w:line="276" w:lineRule="auto"/>
              <w:rPr>
                <w:rFonts w:ascii="Arial" w:hAnsi="Arial" w:cs="Arial"/>
              </w:rPr>
            </w:pPr>
            <w:r w:rsidRPr="00F7228F">
              <w:rPr>
                <w:rFonts w:ascii="Arial" w:hAnsi="Arial" w:cs="Arial"/>
                <w:color w:val="FF0000"/>
              </w:rPr>
              <w:t>0.532 (0.361 – 0.783)</w:t>
            </w:r>
          </w:p>
        </w:tc>
        <w:tc>
          <w:tcPr>
            <w:tcW w:w="490" w:type="pct"/>
            <w:vAlign w:val="center"/>
          </w:tcPr>
          <w:p w14:paraId="1BEA38E8" w14:textId="77777777" w:rsidR="00236A5B" w:rsidRPr="00F7228F" w:rsidRDefault="00236A5B" w:rsidP="000B242D">
            <w:pPr>
              <w:spacing w:line="276" w:lineRule="auto"/>
              <w:rPr>
                <w:rFonts w:ascii="Arial" w:hAnsi="Arial" w:cs="Arial"/>
              </w:rPr>
            </w:pPr>
            <w:r w:rsidRPr="00F7228F">
              <w:rPr>
                <w:rFonts w:ascii="Arial" w:hAnsi="Arial" w:cs="Arial"/>
                <w:color w:val="FF0000"/>
              </w:rPr>
              <w:t>0.679 (0.466 – 0.989)</w:t>
            </w:r>
          </w:p>
        </w:tc>
        <w:tc>
          <w:tcPr>
            <w:tcW w:w="457" w:type="pct"/>
            <w:vAlign w:val="center"/>
          </w:tcPr>
          <w:p w14:paraId="0395CC77" w14:textId="77777777" w:rsidR="00236A5B" w:rsidRPr="00F7228F" w:rsidRDefault="00236A5B" w:rsidP="000B242D">
            <w:pPr>
              <w:spacing w:line="276" w:lineRule="auto"/>
              <w:rPr>
                <w:rFonts w:ascii="Arial" w:hAnsi="Arial" w:cs="Arial"/>
              </w:rPr>
            </w:pPr>
            <w:r w:rsidRPr="00F7228F">
              <w:rPr>
                <w:rFonts w:ascii="Arial" w:hAnsi="Arial" w:cs="Arial"/>
              </w:rPr>
              <w:t>0.931 (0.635 – 1.365)</w:t>
            </w:r>
          </w:p>
        </w:tc>
        <w:tc>
          <w:tcPr>
            <w:tcW w:w="457" w:type="pct"/>
            <w:vAlign w:val="center"/>
          </w:tcPr>
          <w:p w14:paraId="24D19CD7" w14:textId="77777777" w:rsidR="00236A5B" w:rsidRPr="00F7228F" w:rsidRDefault="00236A5B" w:rsidP="000B242D">
            <w:pPr>
              <w:spacing w:line="276" w:lineRule="auto"/>
              <w:rPr>
                <w:rFonts w:ascii="Arial" w:hAnsi="Arial" w:cs="Arial"/>
              </w:rPr>
            </w:pPr>
            <w:r w:rsidRPr="00F7228F">
              <w:rPr>
                <w:rFonts w:ascii="Arial" w:hAnsi="Arial" w:cs="Arial"/>
              </w:rPr>
              <w:t>0.740 (0.516 – 1.062)</w:t>
            </w:r>
          </w:p>
        </w:tc>
        <w:tc>
          <w:tcPr>
            <w:tcW w:w="444" w:type="pct"/>
            <w:vAlign w:val="center"/>
          </w:tcPr>
          <w:p w14:paraId="187AB302" w14:textId="77777777" w:rsidR="00236A5B" w:rsidRPr="00F7228F" w:rsidRDefault="00236A5B" w:rsidP="000B242D">
            <w:pPr>
              <w:spacing w:line="276" w:lineRule="auto"/>
              <w:rPr>
                <w:rFonts w:ascii="Arial" w:hAnsi="Arial" w:cs="Arial"/>
              </w:rPr>
            </w:pPr>
            <w:r w:rsidRPr="00F7228F">
              <w:rPr>
                <w:rFonts w:ascii="Arial" w:hAnsi="Arial" w:cs="Arial"/>
              </w:rPr>
              <w:t>0.852 (0.606 – 1.198)</w:t>
            </w:r>
          </w:p>
        </w:tc>
        <w:tc>
          <w:tcPr>
            <w:tcW w:w="447" w:type="pct"/>
            <w:vAlign w:val="center"/>
          </w:tcPr>
          <w:p w14:paraId="36321178" w14:textId="77777777" w:rsidR="00236A5B" w:rsidRPr="00F7228F" w:rsidRDefault="00236A5B" w:rsidP="000B242D">
            <w:pPr>
              <w:spacing w:line="276" w:lineRule="auto"/>
              <w:rPr>
                <w:rFonts w:ascii="Arial" w:hAnsi="Arial" w:cs="Arial"/>
              </w:rPr>
            </w:pPr>
            <w:r w:rsidRPr="00F7228F">
              <w:rPr>
                <w:rFonts w:ascii="Arial" w:hAnsi="Arial" w:cs="Arial"/>
              </w:rPr>
              <w:t>0.989 (0.702 – 1.394)</w:t>
            </w:r>
          </w:p>
        </w:tc>
        <w:tc>
          <w:tcPr>
            <w:tcW w:w="471" w:type="pct"/>
            <w:vAlign w:val="center"/>
          </w:tcPr>
          <w:p w14:paraId="39D4F5D8" w14:textId="77777777" w:rsidR="00236A5B" w:rsidRPr="00F7228F" w:rsidRDefault="00236A5B" w:rsidP="000B242D">
            <w:pPr>
              <w:spacing w:line="276" w:lineRule="auto"/>
              <w:rPr>
                <w:rFonts w:ascii="Arial" w:hAnsi="Arial" w:cs="Arial"/>
              </w:rPr>
            </w:pPr>
            <w:r w:rsidRPr="00F7228F">
              <w:rPr>
                <w:rFonts w:ascii="Arial" w:hAnsi="Arial" w:cs="Arial"/>
              </w:rPr>
              <w:t>0.962 (0.677 – 1.366)</w:t>
            </w:r>
          </w:p>
        </w:tc>
      </w:tr>
      <w:tr w:rsidR="00236A5B" w:rsidRPr="00F7228F" w14:paraId="21029CCB" w14:textId="77777777" w:rsidTr="00CB0BB6">
        <w:tc>
          <w:tcPr>
            <w:tcW w:w="719" w:type="pct"/>
            <w:vMerge/>
          </w:tcPr>
          <w:p w14:paraId="1E7AEB66" w14:textId="77777777" w:rsidR="00236A5B" w:rsidRPr="00F7228F" w:rsidRDefault="00236A5B" w:rsidP="000B242D">
            <w:pPr>
              <w:spacing w:line="276" w:lineRule="auto"/>
              <w:rPr>
                <w:rFonts w:ascii="Arial" w:hAnsi="Arial" w:cs="Arial"/>
              </w:rPr>
            </w:pPr>
          </w:p>
        </w:tc>
        <w:tc>
          <w:tcPr>
            <w:tcW w:w="516" w:type="pct"/>
          </w:tcPr>
          <w:p w14:paraId="6CA55DB3"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1F089E54" w14:textId="77777777" w:rsidR="00236A5B" w:rsidRPr="00F7228F" w:rsidRDefault="00236A5B" w:rsidP="000B242D">
            <w:pPr>
              <w:spacing w:line="276" w:lineRule="auto"/>
              <w:rPr>
                <w:rFonts w:ascii="Arial" w:hAnsi="Arial" w:cs="Arial"/>
              </w:rPr>
            </w:pPr>
            <w:r w:rsidRPr="00F7228F">
              <w:rPr>
                <w:rFonts w:ascii="Arial" w:hAnsi="Arial" w:cs="Arial"/>
                <w:color w:val="FF0000"/>
              </w:rPr>
              <w:t>0.039</w:t>
            </w:r>
          </w:p>
        </w:tc>
        <w:tc>
          <w:tcPr>
            <w:tcW w:w="501" w:type="pct"/>
            <w:vAlign w:val="center"/>
          </w:tcPr>
          <w:p w14:paraId="28AED190" w14:textId="77777777" w:rsidR="00236A5B" w:rsidRPr="00F7228F" w:rsidRDefault="00236A5B" w:rsidP="000B242D">
            <w:pPr>
              <w:spacing w:line="276" w:lineRule="auto"/>
              <w:rPr>
                <w:rFonts w:ascii="Arial" w:hAnsi="Arial" w:cs="Arial"/>
              </w:rPr>
            </w:pPr>
            <w:r w:rsidRPr="00F7228F">
              <w:rPr>
                <w:rFonts w:ascii="Arial" w:hAnsi="Arial" w:cs="Arial"/>
                <w:color w:val="FF0000"/>
              </w:rPr>
              <w:t>0.001</w:t>
            </w:r>
          </w:p>
        </w:tc>
        <w:tc>
          <w:tcPr>
            <w:tcW w:w="490" w:type="pct"/>
            <w:vAlign w:val="center"/>
          </w:tcPr>
          <w:p w14:paraId="55AA3B02" w14:textId="77777777" w:rsidR="00236A5B" w:rsidRPr="00F7228F" w:rsidRDefault="00236A5B" w:rsidP="000B242D">
            <w:pPr>
              <w:spacing w:line="276" w:lineRule="auto"/>
              <w:rPr>
                <w:rFonts w:ascii="Arial" w:hAnsi="Arial" w:cs="Arial"/>
              </w:rPr>
            </w:pPr>
            <w:r w:rsidRPr="00F7228F">
              <w:rPr>
                <w:rFonts w:ascii="Arial" w:hAnsi="Arial" w:cs="Arial"/>
                <w:color w:val="FF0000"/>
              </w:rPr>
              <w:t>0.044</w:t>
            </w:r>
          </w:p>
        </w:tc>
        <w:tc>
          <w:tcPr>
            <w:tcW w:w="457" w:type="pct"/>
            <w:vAlign w:val="center"/>
          </w:tcPr>
          <w:p w14:paraId="7EA69051" w14:textId="77777777" w:rsidR="00236A5B" w:rsidRPr="00F7228F" w:rsidRDefault="00236A5B" w:rsidP="000B242D">
            <w:pPr>
              <w:spacing w:line="276" w:lineRule="auto"/>
              <w:rPr>
                <w:rFonts w:ascii="Arial" w:hAnsi="Arial" w:cs="Arial"/>
              </w:rPr>
            </w:pPr>
            <w:r w:rsidRPr="00F7228F">
              <w:rPr>
                <w:rFonts w:ascii="Arial" w:hAnsi="Arial" w:cs="Arial"/>
              </w:rPr>
              <w:t>0.714</w:t>
            </w:r>
          </w:p>
        </w:tc>
        <w:tc>
          <w:tcPr>
            <w:tcW w:w="457" w:type="pct"/>
            <w:vAlign w:val="center"/>
          </w:tcPr>
          <w:p w14:paraId="56FB7666" w14:textId="77777777" w:rsidR="00236A5B" w:rsidRPr="00F7228F" w:rsidRDefault="00236A5B" w:rsidP="000B242D">
            <w:pPr>
              <w:spacing w:line="276" w:lineRule="auto"/>
              <w:rPr>
                <w:rFonts w:ascii="Arial" w:hAnsi="Arial" w:cs="Arial"/>
              </w:rPr>
            </w:pPr>
            <w:r w:rsidRPr="00F7228F">
              <w:rPr>
                <w:rFonts w:ascii="Arial" w:hAnsi="Arial" w:cs="Arial"/>
              </w:rPr>
              <w:t>0.102</w:t>
            </w:r>
          </w:p>
        </w:tc>
        <w:tc>
          <w:tcPr>
            <w:tcW w:w="444" w:type="pct"/>
            <w:vAlign w:val="center"/>
          </w:tcPr>
          <w:p w14:paraId="07FA1461" w14:textId="77777777" w:rsidR="00236A5B" w:rsidRPr="00F7228F" w:rsidRDefault="00236A5B" w:rsidP="000B242D">
            <w:pPr>
              <w:spacing w:line="276" w:lineRule="auto"/>
              <w:rPr>
                <w:rFonts w:ascii="Arial" w:hAnsi="Arial" w:cs="Arial"/>
              </w:rPr>
            </w:pPr>
            <w:r w:rsidRPr="00F7228F">
              <w:rPr>
                <w:rFonts w:ascii="Arial" w:hAnsi="Arial" w:cs="Arial"/>
              </w:rPr>
              <w:t>0.357</w:t>
            </w:r>
          </w:p>
        </w:tc>
        <w:tc>
          <w:tcPr>
            <w:tcW w:w="447" w:type="pct"/>
            <w:vAlign w:val="center"/>
          </w:tcPr>
          <w:p w14:paraId="1FEC813E" w14:textId="77777777" w:rsidR="00236A5B" w:rsidRPr="00F7228F" w:rsidRDefault="00236A5B" w:rsidP="000B242D">
            <w:pPr>
              <w:spacing w:line="276" w:lineRule="auto"/>
              <w:rPr>
                <w:rFonts w:ascii="Arial" w:hAnsi="Arial" w:cs="Arial"/>
              </w:rPr>
            </w:pPr>
            <w:r w:rsidRPr="00F7228F">
              <w:rPr>
                <w:rFonts w:ascii="Arial" w:hAnsi="Arial" w:cs="Arial"/>
              </w:rPr>
              <w:t>0.950</w:t>
            </w:r>
          </w:p>
        </w:tc>
        <w:tc>
          <w:tcPr>
            <w:tcW w:w="471" w:type="pct"/>
            <w:vAlign w:val="center"/>
          </w:tcPr>
          <w:p w14:paraId="4F26DD3F" w14:textId="77777777" w:rsidR="00236A5B" w:rsidRPr="00F7228F" w:rsidRDefault="00236A5B" w:rsidP="000B242D">
            <w:pPr>
              <w:spacing w:line="276" w:lineRule="auto"/>
              <w:rPr>
                <w:rFonts w:ascii="Arial" w:hAnsi="Arial" w:cs="Arial"/>
              </w:rPr>
            </w:pPr>
            <w:r w:rsidRPr="00F7228F">
              <w:rPr>
                <w:rFonts w:ascii="Arial" w:hAnsi="Arial" w:cs="Arial"/>
              </w:rPr>
              <w:t>0.827</w:t>
            </w:r>
          </w:p>
        </w:tc>
      </w:tr>
      <w:tr w:rsidR="00236A5B" w:rsidRPr="00F7228F" w14:paraId="071FBEB1" w14:textId="77777777" w:rsidTr="00CB0BB6">
        <w:trPr>
          <w:trHeight w:val="74"/>
        </w:trPr>
        <w:tc>
          <w:tcPr>
            <w:tcW w:w="719" w:type="pct"/>
            <w:vMerge w:val="restart"/>
          </w:tcPr>
          <w:p w14:paraId="7C45E897" w14:textId="77777777" w:rsidR="00236A5B" w:rsidRPr="00F7228F" w:rsidRDefault="00236A5B" w:rsidP="000B242D">
            <w:pPr>
              <w:spacing w:line="276" w:lineRule="auto"/>
              <w:rPr>
                <w:rFonts w:ascii="Arial" w:hAnsi="Arial" w:cs="Arial"/>
              </w:rPr>
            </w:pPr>
            <w:r w:rsidRPr="00F7228F">
              <w:rPr>
                <w:rFonts w:ascii="Arial" w:hAnsi="Arial" w:cs="Arial"/>
              </w:rPr>
              <w:lastRenderedPageBreak/>
              <w:t>Plasma Principal Component 4</w:t>
            </w:r>
          </w:p>
          <w:p w14:paraId="20F8E8AF" w14:textId="77777777" w:rsidR="00236A5B" w:rsidRPr="00F7228F" w:rsidRDefault="00236A5B" w:rsidP="000B242D">
            <w:pPr>
              <w:spacing w:line="276" w:lineRule="auto"/>
              <w:rPr>
                <w:rFonts w:ascii="Arial" w:hAnsi="Arial" w:cs="Arial"/>
              </w:rPr>
            </w:pPr>
          </w:p>
        </w:tc>
        <w:tc>
          <w:tcPr>
            <w:tcW w:w="516" w:type="pct"/>
          </w:tcPr>
          <w:p w14:paraId="080356EC"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032A4AF1" w14:textId="77777777" w:rsidR="00236A5B" w:rsidRPr="00F7228F" w:rsidRDefault="00236A5B" w:rsidP="000B242D">
            <w:pPr>
              <w:spacing w:line="276" w:lineRule="auto"/>
              <w:rPr>
                <w:rFonts w:ascii="Arial" w:hAnsi="Arial" w:cs="Arial"/>
              </w:rPr>
            </w:pPr>
            <w:r w:rsidRPr="00F7228F">
              <w:rPr>
                <w:rFonts w:ascii="Arial" w:hAnsi="Arial" w:cs="Arial"/>
                <w:color w:val="000000"/>
              </w:rPr>
              <w:t>0.615 (0.237 – 1.595)</w:t>
            </w:r>
          </w:p>
        </w:tc>
        <w:tc>
          <w:tcPr>
            <w:tcW w:w="501" w:type="pct"/>
            <w:vAlign w:val="center"/>
          </w:tcPr>
          <w:p w14:paraId="0889C3AA" w14:textId="77777777" w:rsidR="00236A5B" w:rsidRPr="00F7228F" w:rsidRDefault="00236A5B" w:rsidP="000B242D">
            <w:pPr>
              <w:spacing w:line="276" w:lineRule="auto"/>
              <w:rPr>
                <w:rFonts w:ascii="Arial" w:hAnsi="Arial" w:cs="Arial"/>
              </w:rPr>
            </w:pPr>
            <w:r w:rsidRPr="00F7228F">
              <w:rPr>
                <w:rFonts w:ascii="Arial" w:hAnsi="Arial" w:cs="Arial"/>
                <w:color w:val="FF0000"/>
              </w:rPr>
              <w:t>0.626 (0.435 – 0.899)</w:t>
            </w:r>
          </w:p>
        </w:tc>
        <w:tc>
          <w:tcPr>
            <w:tcW w:w="490" w:type="pct"/>
            <w:vAlign w:val="center"/>
          </w:tcPr>
          <w:p w14:paraId="28240882" w14:textId="77777777" w:rsidR="00236A5B" w:rsidRPr="00F7228F" w:rsidRDefault="00236A5B" w:rsidP="000B242D">
            <w:pPr>
              <w:spacing w:line="276" w:lineRule="auto"/>
              <w:rPr>
                <w:rFonts w:ascii="Arial" w:hAnsi="Arial" w:cs="Arial"/>
              </w:rPr>
            </w:pPr>
            <w:r w:rsidRPr="00F7228F">
              <w:rPr>
                <w:rFonts w:ascii="Arial" w:hAnsi="Arial" w:cs="Arial"/>
                <w:color w:val="000000"/>
              </w:rPr>
              <w:t>0.805 (0.575 – 1.127)</w:t>
            </w:r>
          </w:p>
        </w:tc>
        <w:tc>
          <w:tcPr>
            <w:tcW w:w="457" w:type="pct"/>
            <w:vAlign w:val="center"/>
          </w:tcPr>
          <w:p w14:paraId="09673318" w14:textId="77777777" w:rsidR="00236A5B" w:rsidRPr="00F7228F" w:rsidRDefault="00236A5B" w:rsidP="000B242D">
            <w:pPr>
              <w:spacing w:line="276" w:lineRule="auto"/>
              <w:rPr>
                <w:rFonts w:ascii="Arial" w:hAnsi="Arial" w:cs="Arial"/>
                <w:color w:val="FFC000"/>
              </w:rPr>
            </w:pPr>
            <w:r w:rsidRPr="00F7228F">
              <w:rPr>
                <w:rFonts w:ascii="Arial" w:hAnsi="Arial" w:cs="Arial"/>
              </w:rPr>
              <w:t>0.792 (0.557 – 1.125)</w:t>
            </w:r>
          </w:p>
        </w:tc>
        <w:tc>
          <w:tcPr>
            <w:tcW w:w="457" w:type="pct"/>
            <w:vAlign w:val="center"/>
          </w:tcPr>
          <w:p w14:paraId="571FDC13" w14:textId="77777777" w:rsidR="00236A5B" w:rsidRPr="00F7228F" w:rsidRDefault="00236A5B" w:rsidP="000B242D">
            <w:pPr>
              <w:spacing w:line="276" w:lineRule="auto"/>
              <w:rPr>
                <w:rFonts w:ascii="Arial" w:hAnsi="Arial" w:cs="Arial"/>
              </w:rPr>
            </w:pPr>
            <w:r w:rsidRPr="00F7228F">
              <w:rPr>
                <w:rFonts w:ascii="Arial" w:hAnsi="Arial" w:cs="Arial"/>
                <w:color w:val="FFC000"/>
              </w:rPr>
              <w:t>0.708 (0.489 – 1.024)</w:t>
            </w:r>
          </w:p>
        </w:tc>
        <w:tc>
          <w:tcPr>
            <w:tcW w:w="444" w:type="pct"/>
            <w:vAlign w:val="center"/>
          </w:tcPr>
          <w:p w14:paraId="7C4A9782" w14:textId="77777777" w:rsidR="00236A5B" w:rsidRPr="00F7228F" w:rsidRDefault="00236A5B" w:rsidP="000B242D">
            <w:pPr>
              <w:spacing w:line="276" w:lineRule="auto"/>
              <w:rPr>
                <w:rFonts w:ascii="Arial" w:hAnsi="Arial" w:cs="Arial"/>
              </w:rPr>
            </w:pPr>
            <w:r w:rsidRPr="00F7228F">
              <w:rPr>
                <w:rFonts w:ascii="Arial" w:hAnsi="Arial" w:cs="Arial"/>
                <w:color w:val="000000"/>
              </w:rPr>
              <w:t>0.822 (0.598 – 1.130)</w:t>
            </w:r>
          </w:p>
        </w:tc>
        <w:tc>
          <w:tcPr>
            <w:tcW w:w="447" w:type="pct"/>
            <w:vAlign w:val="center"/>
          </w:tcPr>
          <w:p w14:paraId="54A34D36" w14:textId="77777777" w:rsidR="00236A5B" w:rsidRPr="00F7228F" w:rsidRDefault="00236A5B" w:rsidP="000B242D">
            <w:pPr>
              <w:spacing w:line="276" w:lineRule="auto"/>
              <w:rPr>
                <w:rFonts w:ascii="Arial" w:hAnsi="Arial" w:cs="Arial"/>
              </w:rPr>
            </w:pPr>
            <w:r w:rsidRPr="00F7228F">
              <w:rPr>
                <w:rFonts w:ascii="Arial" w:hAnsi="Arial" w:cs="Arial"/>
                <w:color w:val="000000"/>
              </w:rPr>
              <w:t>0.922 (0.651 – 1.306)</w:t>
            </w:r>
          </w:p>
        </w:tc>
        <w:tc>
          <w:tcPr>
            <w:tcW w:w="471" w:type="pct"/>
            <w:vAlign w:val="center"/>
          </w:tcPr>
          <w:p w14:paraId="17D5FB8B" w14:textId="77777777" w:rsidR="00236A5B" w:rsidRPr="00F7228F" w:rsidRDefault="00236A5B" w:rsidP="000B242D">
            <w:pPr>
              <w:spacing w:line="276" w:lineRule="auto"/>
              <w:rPr>
                <w:rFonts w:ascii="Arial" w:hAnsi="Arial" w:cs="Arial"/>
              </w:rPr>
            </w:pPr>
            <w:r w:rsidRPr="00F7228F">
              <w:rPr>
                <w:rFonts w:ascii="Arial" w:hAnsi="Arial" w:cs="Arial"/>
                <w:color w:val="000000"/>
              </w:rPr>
              <w:t>0.757 (0.531 – 1.079)</w:t>
            </w:r>
          </w:p>
        </w:tc>
      </w:tr>
      <w:tr w:rsidR="00236A5B" w:rsidRPr="00F7228F" w14:paraId="327CA805" w14:textId="77777777" w:rsidTr="00CB0BB6">
        <w:tc>
          <w:tcPr>
            <w:tcW w:w="719" w:type="pct"/>
            <w:vMerge/>
          </w:tcPr>
          <w:p w14:paraId="67E352CE" w14:textId="77777777" w:rsidR="00236A5B" w:rsidRPr="00F7228F" w:rsidRDefault="00236A5B" w:rsidP="000B242D">
            <w:pPr>
              <w:spacing w:line="276" w:lineRule="auto"/>
              <w:rPr>
                <w:rFonts w:ascii="Arial" w:hAnsi="Arial" w:cs="Arial"/>
              </w:rPr>
            </w:pPr>
          </w:p>
        </w:tc>
        <w:tc>
          <w:tcPr>
            <w:tcW w:w="516" w:type="pct"/>
          </w:tcPr>
          <w:p w14:paraId="16ECA61E"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0FAD9B5A" w14:textId="77777777" w:rsidR="00236A5B" w:rsidRPr="00F7228F" w:rsidRDefault="00236A5B" w:rsidP="000B242D">
            <w:pPr>
              <w:spacing w:line="276" w:lineRule="auto"/>
              <w:rPr>
                <w:rFonts w:ascii="Arial" w:hAnsi="Arial" w:cs="Arial"/>
              </w:rPr>
            </w:pPr>
            <w:r w:rsidRPr="00F7228F">
              <w:rPr>
                <w:rFonts w:ascii="Arial" w:hAnsi="Arial" w:cs="Arial"/>
                <w:color w:val="000000"/>
              </w:rPr>
              <w:t>0.317</w:t>
            </w:r>
          </w:p>
        </w:tc>
        <w:tc>
          <w:tcPr>
            <w:tcW w:w="501" w:type="pct"/>
            <w:vAlign w:val="center"/>
          </w:tcPr>
          <w:p w14:paraId="122D85FE" w14:textId="77777777" w:rsidR="00236A5B" w:rsidRPr="00F7228F" w:rsidRDefault="00236A5B" w:rsidP="000B242D">
            <w:pPr>
              <w:spacing w:line="276" w:lineRule="auto"/>
              <w:rPr>
                <w:rFonts w:ascii="Arial" w:hAnsi="Arial" w:cs="Arial"/>
              </w:rPr>
            </w:pPr>
            <w:r w:rsidRPr="00F7228F">
              <w:rPr>
                <w:rFonts w:ascii="Arial" w:hAnsi="Arial" w:cs="Arial"/>
                <w:color w:val="FF0000"/>
              </w:rPr>
              <w:t>0.011</w:t>
            </w:r>
          </w:p>
        </w:tc>
        <w:tc>
          <w:tcPr>
            <w:tcW w:w="490" w:type="pct"/>
            <w:vAlign w:val="center"/>
          </w:tcPr>
          <w:p w14:paraId="777A20E2" w14:textId="77777777" w:rsidR="00236A5B" w:rsidRPr="00F7228F" w:rsidRDefault="00236A5B" w:rsidP="000B242D">
            <w:pPr>
              <w:spacing w:line="276" w:lineRule="auto"/>
              <w:rPr>
                <w:rFonts w:ascii="Arial" w:hAnsi="Arial" w:cs="Arial"/>
              </w:rPr>
            </w:pPr>
            <w:r w:rsidRPr="00F7228F">
              <w:rPr>
                <w:rFonts w:ascii="Arial" w:hAnsi="Arial" w:cs="Arial"/>
                <w:color w:val="000000"/>
              </w:rPr>
              <w:t>0.206</w:t>
            </w:r>
          </w:p>
        </w:tc>
        <w:tc>
          <w:tcPr>
            <w:tcW w:w="457" w:type="pct"/>
            <w:vAlign w:val="center"/>
          </w:tcPr>
          <w:p w14:paraId="234C8679" w14:textId="77777777" w:rsidR="00236A5B" w:rsidRPr="00F7228F" w:rsidRDefault="00236A5B" w:rsidP="000B242D">
            <w:pPr>
              <w:spacing w:line="276" w:lineRule="auto"/>
              <w:rPr>
                <w:rFonts w:ascii="Arial" w:hAnsi="Arial" w:cs="Arial"/>
                <w:color w:val="FFC000"/>
              </w:rPr>
            </w:pPr>
            <w:r w:rsidRPr="00F7228F">
              <w:rPr>
                <w:rFonts w:ascii="Arial" w:hAnsi="Arial" w:cs="Arial"/>
              </w:rPr>
              <w:t>0.192</w:t>
            </w:r>
          </w:p>
        </w:tc>
        <w:tc>
          <w:tcPr>
            <w:tcW w:w="457" w:type="pct"/>
            <w:vAlign w:val="center"/>
          </w:tcPr>
          <w:p w14:paraId="49CF99E9" w14:textId="77777777" w:rsidR="00236A5B" w:rsidRPr="00F7228F" w:rsidRDefault="00236A5B" w:rsidP="000B242D">
            <w:pPr>
              <w:spacing w:line="276" w:lineRule="auto"/>
              <w:rPr>
                <w:rFonts w:ascii="Arial" w:hAnsi="Arial" w:cs="Arial"/>
              </w:rPr>
            </w:pPr>
            <w:r w:rsidRPr="00F7228F">
              <w:rPr>
                <w:rFonts w:ascii="Arial" w:hAnsi="Arial" w:cs="Arial"/>
                <w:color w:val="FFC000"/>
              </w:rPr>
              <w:t>0.066</w:t>
            </w:r>
          </w:p>
        </w:tc>
        <w:tc>
          <w:tcPr>
            <w:tcW w:w="444" w:type="pct"/>
            <w:vAlign w:val="center"/>
          </w:tcPr>
          <w:p w14:paraId="3C506433" w14:textId="77777777" w:rsidR="00236A5B" w:rsidRPr="00F7228F" w:rsidRDefault="00236A5B" w:rsidP="000B242D">
            <w:pPr>
              <w:spacing w:line="276" w:lineRule="auto"/>
              <w:rPr>
                <w:rFonts w:ascii="Arial" w:hAnsi="Arial" w:cs="Arial"/>
              </w:rPr>
            </w:pPr>
            <w:r w:rsidRPr="00F7228F">
              <w:rPr>
                <w:rFonts w:ascii="Arial" w:hAnsi="Arial" w:cs="Arial"/>
                <w:color w:val="000000"/>
              </w:rPr>
              <w:t>0.228</w:t>
            </w:r>
          </w:p>
        </w:tc>
        <w:tc>
          <w:tcPr>
            <w:tcW w:w="447" w:type="pct"/>
            <w:vAlign w:val="center"/>
          </w:tcPr>
          <w:p w14:paraId="7320C939" w14:textId="77777777" w:rsidR="00236A5B" w:rsidRPr="00F7228F" w:rsidRDefault="00236A5B" w:rsidP="000B242D">
            <w:pPr>
              <w:spacing w:line="276" w:lineRule="auto"/>
              <w:rPr>
                <w:rFonts w:ascii="Arial" w:hAnsi="Arial" w:cs="Arial"/>
              </w:rPr>
            </w:pPr>
            <w:r w:rsidRPr="00F7228F">
              <w:rPr>
                <w:rFonts w:ascii="Arial" w:hAnsi="Arial" w:cs="Arial"/>
                <w:color w:val="000000"/>
              </w:rPr>
              <w:t>0.647</w:t>
            </w:r>
          </w:p>
        </w:tc>
        <w:tc>
          <w:tcPr>
            <w:tcW w:w="471" w:type="pct"/>
            <w:vAlign w:val="center"/>
          </w:tcPr>
          <w:p w14:paraId="4BD48199" w14:textId="77777777" w:rsidR="00236A5B" w:rsidRPr="00F7228F" w:rsidRDefault="00236A5B" w:rsidP="000B242D">
            <w:pPr>
              <w:spacing w:line="276" w:lineRule="auto"/>
              <w:rPr>
                <w:rFonts w:ascii="Arial" w:hAnsi="Arial" w:cs="Arial"/>
              </w:rPr>
            </w:pPr>
            <w:r w:rsidRPr="00F7228F">
              <w:rPr>
                <w:rFonts w:ascii="Arial" w:hAnsi="Arial" w:cs="Arial"/>
                <w:color w:val="000000"/>
              </w:rPr>
              <w:t>0.124</w:t>
            </w:r>
          </w:p>
        </w:tc>
      </w:tr>
      <w:tr w:rsidR="00236A5B" w:rsidRPr="00F7228F" w14:paraId="525D5242" w14:textId="77777777" w:rsidTr="00CB0BB6">
        <w:tc>
          <w:tcPr>
            <w:tcW w:w="1235" w:type="pct"/>
            <w:gridSpan w:val="2"/>
            <w:vMerge w:val="restart"/>
          </w:tcPr>
          <w:p w14:paraId="73468EB2" w14:textId="77777777" w:rsidR="00236A5B" w:rsidRPr="00F7228F" w:rsidRDefault="00236A5B" w:rsidP="000B242D">
            <w:pPr>
              <w:spacing w:line="276" w:lineRule="auto"/>
              <w:rPr>
                <w:rFonts w:ascii="Arial" w:hAnsi="Arial" w:cs="Arial"/>
                <w:b/>
                <w:bCs/>
              </w:rPr>
            </w:pPr>
            <w:r w:rsidRPr="00F7228F">
              <w:rPr>
                <w:rFonts w:ascii="Arial" w:hAnsi="Arial" w:cs="Arial"/>
                <w:b/>
                <w:bCs/>
              </w:rPr>
              <w:t xml:space="preserve">Multivariable regression </w:t>
            </w:r>
          </w:p>
        </w:tc>
        <w:tc>
          <w:tcPr>
            <w:tcW w:w="498" w:type="pct"/>
            <w:vMerge w:val="restart"/>
          </w:tcPr>
          <w:p w14:paraId="74DD3C6B" w14:textId="77777777" w:rsidR="00236A5B" w:rsidRPr="00F7228F" w:rsidRDefault="00236A5B" w:rsidP="000B242D">
            <w:pPr>
              <w:spacing w:line="276" w:lineRule="auto"/>
              <w:rPr>
                <w:rFonts w:ascii="Arial" w:hAnsi="Arial" w:cs="Arial"/>
              </w:rPr>
            </w:pPr>
            <w:r w:rsidRPr="00F7228F">
              <w:rPr>
                <w:rFonts w:ascii="Arial" w:hAnsi="Arial" w:cs="Arial"/>
                <w:b/>
                <w:bCs/>
              </w:rPr>
              <w:t>Death (OR)</w:t>
            </w:r>
          </w:p>
        </w:tc>
        <w:tc>
          <w:tcPr>
            <w:tcW w:w="1905" w:type="pct"/>
            <w:gridSpan w:val="4"/>
          </w:tcPr>
          <w:p w14:paraId="6663DB84" w14:textId="77777777" w:rsidR="00236A5B" w:rsidRPr="00F7228F" w:rsidRDefault="00236A5B" w:rsidP="000B242D">
            <w:pPr>
              <w:spacing w:line="276" w:lineRule="auto"/>
              <w:jc w:val="center"/>
              <w:rPr>
                <w:rFonts w:ascii="Arial" w:hAnsi="Arial" w:cs="Arial"/>
              </w:rPr>
            </w:pPr>
            <w:r w:rsidRPr="00F7228F">
              <w:rPr>
                <w:rFonts w:ascii="Arial" w:hAnsi="Arial" w:cs="Arial"/>
                <w:b/>
                <w:bCs/>
              </w:rPr>
              <w:t>MRS (OR)</w:t>
            </w:r>
          </w:p>
        </w:tc>
        <w:tc>
          <w:tcPr>
            <w:tcW w:w="1362" w:type="pct"/>
            <w:gridSpan w:val="3"/>
          </w:tcPr>
          <w:p w14:paraId="1FE94088" w14:textId="77777777" w:rsidR="00236A5B" w:rsidRPr="00F7228F" w:rsidRDefault="00236A5B" w:rsidP="000B242D">
            <w:pPr>
              <w:spacing w:line="276" w:lineRule="auto"/>
              <w:jc w:val="center"/>
              <w:rPr>
                <w:rFonts w:ascii="Arial" w:hAnsi="Arial" w:cs="Arial"/>
              </w:rPr>
            </w:pPr>
            <w:r w:rsidRPr="00F7228F">
              <w:rPr>
                <w:rFonts w:ascii="Arial" w:hAnsi="Arial" w:cs="Arial"/>
                <w:b/>
                <w:bCs/>
              </w:rPr>
              <w:t>SAHOT (OR)</w:t>
            </w:r>
          </w:p>
        </w:tc>
      </w:tr>
      <w:tr w:rsidR="00236A5B" w:rsidRPr="00F7228F" w14:paraId="54A87651" w14:textId="77777777" w:rsidTr="00CB0BB6">
        <w:tc>
          <w:tcPr>
            <w:tcW w:w="1235" w:type="pct"/>
            <w:gridSpan w:val="2"/>
            <w:vMerge/>
          </w:tcPr>
          <w:p w14:paraId="6129984C" w14:textId="77777777" w:rsidR="00236A5B" w:rsidRPr="00F7228F" w:rsidRDefault="00236A5B" w:rsidP="000B242D">
            <w:pPr>
              <w:spacing w:line="276" w:lineRule="auto"/>
              <w:rPr>
                <w:rFonts w:ascii="Arial" w:hAnsi="Arial" w:cs="Arial"/>
              </w:rPr>
            </w:pPr>
          </w:p>
        </w:tc>
        <w:tc>
          <w:tcPr>
            <w:tcW w:w="498" w:type="pct"/>
            <w:vMerge/>
          </w:tcPr>
          <w:p w14:paraId="13C49226" w14:textId="77777777" w:rsidR="00236A5B" w:rsidRPr="00F7228F" w:rsidRDefault="00236A5B" w:rsidP="000B242D">
            <w:pPr>
              <w:spacing w:line="276" w:lineRule="auto"/>
              <w:rPr>
                <w:rFonts w:ascii="Arial" w:hAnsi="Arial" w:cs="Arial"/>
              </w:rPr>
            </w:pPr>
          </w:p>
        </w:tc>
        <w:tc>
          <w:tcPr>
            <w:tcW w:w="501" w:type="pct"/>
          </w:tcPr>
          <w:p w14:paraId="77277CEA" w14:textId="77777777" w:rsidR="00236A5B" w:rsidRPr="00F7228F" w:rsidRDefault="00236A5B" w:rsidP="000B242D">
            <w:pPr>
              <w:spacing w:line="276" w:lineRule="auto"/>
              <w:rPr>
                <w:rFonts w:ascii="Arial" w:hAnsi="Arial" w:cs="Arial"/>
              </w:rPr>
            </w:pPr>
            <w:r w:rsidRPr="00F7228F">
              <w:rPr>
                <w:rFonts w:ascii="Arial" w:hAnsi="Arial" w:cs="Arial"/>
                <w:b/>
                <w:bCs/>
              </w:rPr>
              <w:t>Day 7</w:t>
            </w:r>
          </w:p>
        </w:tc>
        <w:tc>
          <w:tcPr>
            <w:tcW w:w="490" w:type="pct"/>
          </w:tcPr>
          <w:p w14:paraId="40F0174B" w14:textId="77777777" w:rsidR="00236A5B" w:rsidRPr="00F7228F" w:rsidRDefault="00236A5B" w:rsidP="000B242D">
            <w:pPr>
              <w:spacing w:line="276" w:lineRule="auto"/>
              <w:rPr>
                <w:rFonts w:ascii="Arial" w:hAnsi="Arial" w:cs="Arial"/>
              </w:rPr>
            </w:pPr>
            <w:r w:rsidRPr="00F7228F">
              <w:rPr>
                <w:rFonts w:ascii="Arial" w:hAnsi="Arial" w:cs="Arial"/>
                <w:b/>
                <w:bCs/>
              </w:rPr>
              <w:t>Day 28</w:t>
            </w:r>
          </w:p>
        </w:tc>
        <w:tc>
          <w:tcPr>
            <w:tcW w:w="457" w:type="pct"/>
          </w:tcPr>
          <w:p w14:paraId="55BA5C81" w14:textId="77777777" w:rsidR="00236A5B" w:rsidRPr="00F7228F" w:rsidRDefault="00236A5B" w:rsidP="000B242D">
            <w:pPr>
              <w:spacing w:line="276" w:lineRule="auto"/>
              <w:rPr>
                <w:rFonts w:ascii="Arial" w:hAnsi="Arial" w:cs="Arial"/>
              </w:rPr>
            </w:pPr>
            <w:r w:rsidRPr="00F7228F">
              <w:rPr>
                <w:rFonts w:ascii="Arial" w:hAnsi="Arial" w:cs="Arial"/>
                <w:b/>
                <w:bCs/>
              </w:rPr>
              <w:t>Day 90</w:t>
            </w:r>
          </w:p>
        </w:tc>
        <w:tc>
          <w:tcPr>
            <w:tcW w:w="457" w:type="pct"/>
          </w:tcPr>
          <w:p w14:paraId="697BACE8" w14:textId="77777777" w:rsidR="00236A5B" w:rsidRPr="00F7228F" w:rsidRDefault="00236A5B" w:rsidP="000B242D">
            <w:pPr>
              <w:spacing w:line="276" w:lineRule="auto"/>
              <w:rPr>
                <w:rFonts w:ascii="Arial" w:hAnsi="Arial" w:cs="Arial"/>
              </w:rPr>
            </w:pPr>
            <w:r w:rsidRPr="00F7228F">
              <w:rPr>
                <w:rFonts w:ascii="Arial" w:hAnsi="Arial" w:cs="Arial"/>
                <w:b/>
                <w:bCs/>
              </w:rPr>
              <w:t>Day 180</w:t>
            </w:r>
          </w:p>
        </w:tc>
        <w:tc>
          <w:tcPr>
            <w:tcW w:w="444" w:type="pct"/>
          </w:tcPr>
          <w:p w14:paraId="48A53DA3" w14:textId="77777777" w:rsidR="00236A5B" w:rsidRPr="00F7228F" w:rsidRDefault="00236A5B" w:rsidP="000B242D">
            <w:pPr>
              <w:spacing w:line="276" w:lineRule="auto"/>
              <w:rPr>
                <w:rFonts w:ascii="Arial" w:hAnsi="Arial" w:cs="Arial"/>
              </w:rPr>
            </w:pPr>
            <w:r w:rsidRPr="00F7228F">
              <w:rPr>
                <w:rFonts w:ascii="Arial" w:hAnsi="Arial" w:cs="Arial"/>
                <w:b/>
                <w:bCs/>
              </w:rPr>
              <w:t>Day 28</w:t>
            </w:r>
          </w:p>
        </w:tc>
        <w:tc>
          <w:tcPr>
            <w:tcW w:w="447" w:type="pct"/>
          </w:tcPr>
          <w:p w14:paraId="063A6BA3" w14:textId="77777777" w:rsidR="00236A5B" w:rsidRPr="00F7228F" w:rsidRDefault="00236A5B" w:rsidP="000B242D">
            <w:pPr>
              <w:spacing w:line="276" w:lineRule="auto"/>
              <w:rPr>
                <w:rFonts w:ascii="Arial" w:hAnsi="Arial" w:cs="Arial"/>
              </w:rPr>
            </w:pPr>
            <w:r w:rsidRPr="00F7228F">
              <w:rPr>
                <w:rFonts w:ascii="Arial" w:hAnsi="Arial" w:cs="Arial"/>
                <w:b/>
                <w:bCs/>
              </w:rPr>
              <w:t>Day 90</w:t>
            </w:r>
          </w:p>
        </w:tc>
        <w:tc>
          <w:tcPr>
            <w:tcW w:w="471" w:type="pct"/>
          </w:tcPr>
          <w:p w14:paraId="0A400264" w14:textId="77777777" w:rsidR="00236A5B" w:rsidRPr="00F7228F" w:rsidRDefault="00236A5B" w:rsidP="000B242D">
            <w:pPr>
              <w:spacing w:line="276" w:lineRule="auto"/>
              <w:rPr>
                <w:rFonts w:ascii="Arial" w:hAnsi="Arial" w:cs="Arial"/>
              </w:rPr>
            </w:pPr>
            <w:r w:rsidRPr="00F7228F">
              <w:rPr>
                <w:rFonts w:ascii="Arial" w:hAnsi="Arial" w:cs="Arial"/>
                <w:b/>
                <w:bCs/>
              </w:rPr>
              <w:t>Day 180</w:t>
            </w:r>
          </w:p>
        </w:tc>
      </w:tr>
      <w:tr w:rsidR="00236A5B" w:rsidRPr="00F7228F" w14:paraId="6ED5541B" w14:textId="77777777" w:rsidTr="00CB0BB6">
        <w:tc>
          <w:tcPr>
            <w:tcW w:w="719" w:type="pct"/>
            <w:vMerge w:val="restart"/>
          </w:tcPr>
          <w:p w14:paraId="5DCFDFE9" w14:textId="77777777" w:rsidR="00236A5B" w:rsidRPr="00F7228F" w:rsidRDefault="00236A5B" w:rsidP="000B242D">
            <w:pPr>
              <w:spacing w:line="276" w:lineRule="auto"/>
              <w:rPr>
                <w:rFonts w:ascii="Arial" w:hAnsi="Arial" w:cs="Arial"/>
              </w:rPr>
            </w:pPr>
            <w:r w:rsidRPr="00F7228F">
              <w:rPr>
                <w:rFonts w:ascii="Arial" w:hAnsi="Arial" w:cs="Arial"/>
              </w:rPr>
              <w:t>CSF Principal Component 1</w:t>
            </w:r>
          </w:p>
        </w:tc>
        <w:tc>
          <w:tcPr>
            <w:tcW w:w="516" w:type="pct"/>
          </w:tcPr>
          <w:p w14:paraId="0ACDC95C"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13B28E7D" w14:textId="77777777" w:rsidR="00236A5B" w:rsidRPr="00F7228F" w:rsidRDefault="00236A5B" w:rsidP="000B242D">
            <w:pPr>
              <w:spacing w:line="276" w:lineRule="auto"/>
              <w:rPr>
                <w:rFonts w:ascii="Arial" w:hAnsi="Arial" w:cs="Arial"/>
                <w:color w:val="FFC000"/>
              </w:rPr>
            </w:pPr>
            <w:r w:rsidRPr="00F7228F">
              <w:rPr>
                <w:rFonts w:ascii="Arial" w:hAnsi="Arial" w:cs="Arial"/>
              </w:rPr>
              <w:t>1.429 (0.711 – 2.871)</w:t>
            </w:r>
          </w:p>
        </w:tc>
        <w:tc>
          <w:tcPr>
            <w:tcW w:w="501" w:type="pct"/>
            <w:vAlign w:val="center"/>
          </w:tcPr>
          <w:p w14:paraId="44111080" w14:textId="77777777" w:rsidR="00236A5B" w:rsidRPr="00F7228F" w:rsidRDefault="00236A5B" w:rsidP="000B242D">
            <w:pPr>
              <w:spacing w:line="276" w:lineRule="auto"/>
              <w:rPr>
                <w:rFonts w:ascii="Arial" w:hAnsi="Arial" w:cs="Arial"/>
                <w:color w:val="FF0000"/>
              </w:rPr>
            </w:pPr>
            <w:r w:rsidRPr="00F7228F">
              <w:rPr>
                <w:rFonts w:ascii="Arial" w:hAnsi="Arial" w:cs="Arial"/>
              </w:rPr>
              <w:t>1.089 (0.866 – 1.369)</w:t>
            </w:r>
          </w:p>
        </w:tc>
        <w:tc>
          <w:tcPr>
            <w:tcW w:w="490" w:type="pct"/>
            <w:vAlign w:val="center"/>
          </w:tcPr>
          <w:p w14:paraId="5DB2D617" w14:textId="77777777" w:rsidR="00236A5B" w:rsidRPr="00F7228F" w:rsidRDefault="00236A5B" w:rsidP="000B242D">
            <w:pPr>
              <w:spacing w:line="276" w:lineRule="auto"/>
              <w:rPr>
                <w:rFonts w:ascii="Arial" w:hAnsi="Arial" w:cs="Arial"/>
                <w:color w:val="FFC000"/>
              </w:rPr>
            </w:pPr>
            <w:r w:rsidRPr="00F7228F">
              <w:rPr>
                <w:rFonts w:ascii="Arial" w:hAnsi="Arial" w:cs="Arial"/>
              </w:rPr>
              <w:t>1.077 (0.881 – 1.316)</w:t>
            </w:r>
          </w:p>
        </w:tc>
        <w:tc>
          <w:tcPr>
            <w:tcW w:w="457" w:type="pct"/>
          </w:tcPr>
          <w:p w14:paraId="30CC1729"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57" w:type="pct"/>
          </w:tcPr>
          <w:p w14:paraId="20A13B77"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44" w:type="pct"/>
            <w:vAlign w:val="center"/>
          </w:tcPr>
          <w:p w14:paraId="64730737" w14:textId="77777777" w:rsidR="00236A5B" w:rsidRPr="00F7228F" w:rsidRDefault="00236A5B" w:rsidP="000B242D">
            <w:pPr>
              <w:spacing w:line="276" w:lineRule="auto"/>
              <w:rPr>
                <w:rFonts w:ascii="Arial" w:hAnsi="Arial" w:cs="Arial"/>
              </w:rPr>
            </w:pPr>
            <w:r w:rsidRPr="00F7228F">
              <w:rPr>
                <w:rFonts w:ascii="Arial" w:hAnsi="Arial" w:cs="Arial"/>
              </w:rPr>
              <w:t>1.030 (0.857 – 1.238)</w:t>
            </w:r>
          </w:p>
        </w:tc>
        <w:tc>
          <w:tcPr>
            <w:tcW w:w="447" w:type="pct"/>
          </w:tcPr>
          <w:p w14:paraId="2BE8B1A8"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71" w:type="pct"/>
          </w:tcPr>
          <w:p w14:paraId="18F44A5B"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r>
      <w:tr w:rsidR="00236A5B" w:rsidRPr="00F7228F" w14:paraId="2F7017DC" w14:textId="77777777" w:rsidTr="00CB0BB6">
        <w:tc>
          <w:tcPr>
            <w:tcW w:w="719" w:type="pct"/>
            <w:vMerge/>
          </w:tcPr>
          <w:p w14:paraId="090881DA" w14:textId="77777777" w:rsidR="00236A5B" w:rsidRPr="00F7228F" w:rsidRDefault="00236A5B" w:rsidP="000B242D">
            <w:pPr>
              <w:spacing w:line="276" w:lineRule="auto"/>
              <w:rPr>
                <w:rFonts w:ascii="Arial" w:hAnsi="Arial" w:cs="Arial"/>
              </w:rPr>
            </w:pPr>
          </w:p>
        </w:tc>
        <w:tc>
          <w:tcPr>
            <w:tcW w:w="516" w:type="pct"/>
          </w:tcPr>
          <w:p w14:paraId="266A4D5B"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572668A2" w14:textId="77777777" w:rsidR="00236A5B" w:rsidRPr="00F7228F" w:rsidRDefault="00236A5B" w:rsidP="000B242D">
            <w:pPr>
              <w:spacing w:line="276" w:lineRule="auto"/>
              <w:rPr>
                <w:rFonts w:ascii="Arial" w:hAnsi="Arial" w:cs="Arial"/>
                <w:color w:val="FFC000"/>
              </w:rPr>
            </w:pPr>
            <w:r w:rsidRPr="00F7228F">
              <w:rPr>
                <w:rFonts w:ascii="Arial" w:hAnsi="Arial" w:cs="Arial"/>
              </w:rPr>
              <w:t>0.316</w:t>
            </w:r>
          </w:p>
        </w:tc>
        <w:tc>
          <w:tcPr>
            <w:tcW w:w="501" w:type="pct"/>
            <w:vAlign w:val="center"/>
          </w:tcPr>
          <w:p w14:paraId="7789011D" w14:textId="77777777" w:rsidR="00236A5B" w:rsidRPr="00F7228F" w:rsidRDefault="00236A5B" w:rsidP="000B242D">
            <w:pPr>
              <w:spacing w:line="276" w:lineRule="auto"/>
              <w:rPr>
                <w:rFonts w:ascii="Arial" w:hAnsi="Arial" w:cs="Arial"/>
                <w:color w:val="FF0000"/>
              </w:rPr>
            </w:pPr>
            <w:r w:rsidRPr="00F7228F">
              <w:rPr>
                <w:rFonts w:ascii="Arial" w:hAnsi="Arial" w:cs="Arial"/>
              </w:rPr>
              <w:t>0.466</w:t>
            </w:r>
          </w:p>
        </w:tc>
        <w:tc>
          <w:tcPr>
            <w:tcW w:w="490" w:type="pct"/>
            <w:vAlign w:val="center"/>
          </w:tcPr>
          <w:p w14:paraId="5DFCB5D0" w14:textId="77777777" w:rsidR="00236A5B" w:rsidRPr="00F7228F" w:rsidRDefault="00236A5B" w:rsidP="000B242D">
            <w:pPr>
              <w:spacing w:line="276" w:lineRule="auto"/>
              <w:rPr>
                <w:rFonts w:ascii="Arial" w:hAnsi="Arial" w:cs="Arial"/>
                <w:color w:val="FFC000"/>
              </w:rPr>
            </w:pPr>
            <w:r w:rsidRPr="00F7228F">
              <w:rPr>
                <w:rFonts w:ascii="Arial" w:hAnsi="Arial" w:cs="Arial"/>
              </w:rPr>
              <w:t>0.471</w:t>
            </w:r>
          </w:p>
        </w:tc>
        <w:tc>
          <w:tcPr>
            <w:tcW w:w="457" w:type="pct"/>
          </w:tcPr>
          <w:p w14:paraId="42D7C534"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57" w:type="pct"/>
          </w:tcPr>
          <w:p w14:paraId="6AB53128"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44" w:type="pct"/>
            <w:vAlign w:val="center"/>
          </w:tcPr>
          <w:p w14:paraId="442BC07F" w14:textId="77777777" w:rsidR="00236A5B" w:rsidRPr="00F7228F" w:rsidRDefault="00236A5B" w:rsidP="000B242D">
            <w:pPr>
              <w:spacing w:line="276" w:lineRule="auto"/>
              <w:rPr>
                <w:rFonts w:ascii="Arial" w:hAnsi="Arial" w:cs="Arial"/>
              </w:rPr>
            </w:pPr>
            <w:r w:rsidRPr="00F7228F">
              <w:rPr>
                <w:rFonts w:ascii="Arial" w:hAnsi="Arial" w:cs="Arial"/>
              </w:rPr>
              <w:t>0.751</w:t>
            </w:r>
          </w:p>
        </w:tc>
        <w:tc>
          <w:tcPr>
            <w:tcW w:w="447" w:type="pct"/>
          </w:tcPr>
          <w:p w14:paraId="5D84905E"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71" w:type="pct"/>
          </w:tcPr>
          <w:p w14:paraId="41A343E2"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r>
      <w:tr w:rsidR="00236A5B" w:rsidRPr="00F7228F" w14:paraId="4DF50BEC" w14:textId="77777777" w:rsidTr="00CB0BB6">
        <w:tc>
          <w:tcPr>
            <w:tcW w:w="719" w:type="pct"/>
            <w:vMerge w:val="restart"/>
          </w:tcPr>
          <w:p w14:paraId="7A5015D4" w14:textId="77777777" w:rsidR="00236A5B" w:rsidRPr="00F7228F" w:rsidRDefault="00236A5B" w:rsidP="000B242D">
            <w:pPr>
              <w:spacing w:line="276" w:lineRule="auto"/>
              <w:rPr>
                <w:rFonts w:ascii="Arial" w:hAnsi="Arial" w:cs="Arial"/>
              </w:rPr>
            </w:pPr>
            <w:r w:rsidRPr="00F7228F">
              <w:rPr>
                <w:rFonts w:ascii="Arial" w:hAnsi="Arial" w:cs="Arial"/>
              </w:rPr>
              <w:t>CSF Principal Component 2</w:t>
            </w:r>
          </w:p>
        </w:tc>
        <w:tc>
          <w:tcPr>
            <w:tcW w:w="516" w:type="pct"/>
          </w:tcPr>
          <w:p w14:paraId="6D626E1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tcPr>
          <w:p w14:paraId="7426166F" w14:textId="77777777" w:rsidR="00236A5B" w:rsidRPr="00F7228F" w:rsidRDefault="00236A5B" w:rsidP="000B242D">
            <w:pPr>
              <w:spacing w:line="276" w:lineRule="auto"/>
              <w:rPr>
                <w:rFonts w:ascii="Arial" w:hAnsi="Arial" w:cs="Arial"/>
                <w:b/>
                <w:bCs/>
              </w:rPr>
            </w:pPr>
            <w:r w:rsidRPr="00F7228F">
              <w:rPr>
                <w:rFonts w:ascii="Arial" w:hAnsi="Arial" w:cs="Arial"/>
              </w:rPr>
              <w:t>NA</w:t>
            </w:r>
          </w:p>
        </w:tc>
        <w:tc>
          <w:tcPr>
            <w:tcW w:w="501" w:type="pct"/>
          </w:tcPr>
          <w:p w14:paraId="7437956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136CBFE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4E0BE9F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3A1CC1FD" w14:textId="77777777" w:rsidR="00236A5B" w:rsidRPr="00F7228F" w:rsidRDefault="00236A5B" w:rsidP="000B242D">
            <w:pPr>
              <w:spacing w:line="276" w:lineRule="auto"/>
              <w:rPr>
                <w:rFonts w:ascii="Arial" w:hAnsi="Arial" w:cs="Arial"/>
                <w:b/>
                <w:bCs/>
              </w:rPr>
            </w:pPr>
            <w:r w:rsidRPr="00F7228F">
              <w:rPr>
                <w:rFonts w:ascii="Arial" w:hAnsi="Arial" w:cs="Arial"/>
              </w:rPr>
              <w:t>NA</w:t>
            </w:r>
          </w:p>
        </w:tc>
        <w:tc>
          <w:tcPr>
            <w:tcW w:w="444" w:type="pct"/>
          </w:tcPr>
          <w:p w14:paraId="7C4AE56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604F2F67"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71" w:type="pct"/>
          </w:tcPr>
          <w:p w14:paraId="58DA68D8"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69D5FAAE" w14:textId="77777777" w:rsidTr="00CB0BB6">
        <w:tc>
          <w:tcPr>
            <w:tcW w:w="719" w:type="pct"/>
            <w:vMerge/>
          </w:tcPr>
          <w:p w14:paraId="4CD73453" w14:textId="77777777" w:rsidR="00236A5B" w:rsidRPr="00F7228F" w:rsidRDefault="00236A5B" w:rsidP="000B242D">
            <w:pPr>
              <w:spacing w:line="276" w:lineRule="auto"/>
              <w:rPr>
                <w:rFonts w:ascii="Arial" w:hAnsi="Arial" w:cs="Arial"/>
              </w:rPr>
            </w:pPr>
          </w:p>
        </w:tc>
        <w:tc>
          <w:tcPr>
            <w:tcW w:w="516" w:type="pct"/>
          </w:tcPr>
          <w:p w14:paraId="76FF3AF3"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tcPr>
          <w:p w14:paraId="38858493" w14:textId="77777777" w:rsidR="00236A5B" w:rsidRPr="00F7228F" w:rsidRDefault="00236A5B" w:rsidP="000B242D">
            <w:pPr>
              <w:spacing w:line="276" w:lineRule="auto"/>
              <w:rPr>
                <w:rFonts w:ascii="Arial" w:hAnsi="Arial" w:cs="Arial"/>
                <w:b/>
                <w:bCs/>
              </w:rPr>
            </w:pPr>
            <w:r w:rsidRPr="00F7228F">
              <w:rPr>
                <w:rFonts w:ascii="Arial" w:hAnsi="Arial" w:cs="Arial"/>
              </w:rPr>
              <w:t>NA</w:t>
            </w:r>
          </w:p>
        </w:tc>
        <w:tc>
          <w:tcPr>
            <w:tcW w:w="501" w:type="pct"/>
          </w:tcPr>
          <w:p w14:paraId="753BBE76"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1006A48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69E201F1"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1E7157EA" w14:textId="77777777" w:rsidR="00236A5B" w:rsidRPr="00F7228F" w:rsidRDefault="00236A5B" w:rsidP="000B242D">
            <w:pPr>
              <w:spacing w:line="276" w:lineRule="auto"/>
              <w:rPr>
                <w:rFonts w:ascii="Arial" w:hAnsi="Arial" w:cs="Arial"/>
                <w:b/>
                <w:bCs/>
              </w:rPr>
            </w:pPr>
            <w:r w:rsidRPr="00F7228F">
              <w:rPr>
                <w:rFonts w:ascii="Arial" w:hAnsi="Arial" w:cs="Arial"/>
              </w:rPr>
              <w:t>NA</w:t>
            </w:r>
          </w:p>
        </w:tc>
        <w:tc>
          <w:tcPr>
            <w:tcW w:w="444" w:type="pct"/>
          </w:tcPr>
          <w:p w14:paraId="7D466BEB"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11A71441"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71" w:type="pct"/>
          </w:tcPr>
          <w:p w14:paraId="51C0BB15"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0DB81949" w14:textId="77777777" w:rsidTr="00CB0BB6">
        <w:tc>
          <w:tcPr>
            <w:tcW w:w="719" w:type="pct"/>
            <w:vMerge w:val="restart"/>
          </w:tcPr>
          <w:p w14:paraId="50FECE2F" w14:textId="77777777" w:rsidR="00236A5B" w:rsidRPr="00F7228F" w:rsidRDefault="00236A5B" w:rsidP="000B242D">
            <w:pPr>
              <w:spacing w:line="276" w:lineRule="auto"/>
              <w:rPr>
                <w:rFonts w:ascii="Arial" w:hAnsi="Arial" w:cs="Arial"/>
              </w:rPr>
            </w:pPr>
            <w:r w:rsidRPr="00F7228F">
              <w:rPr>
                <w:rFonts w:ascii="Arial" w:hAnsi="Arial" w:cs="Arial"/>
              </w:rPr>
              <w:t>CSF Principal Component 3</w:t>
            </w:r>
          </w:p>
        </w:tc>
        <w:tc>
          <w:tcPr>
            <w:tcW w:w="516" w:type="pct"/>
          </w:tcPr>
          <w:p w14:paraId="5A38CD45"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tcPr>
          <w:p w14:paraId="5027B4F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tcPr>
          <w:p w14:paraId="1E5767D1"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1A3673DA"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vAlign w:val="center"/>
          </w:tcPr>
          <w:p w14:paraId="36072B24" w14:textId="77777777" w:rsidR="00236A5B" w:rsidRPr="00F7228F" w:rsidRDefault="00236A5B" w:rsidP="000B242D">
            <w:pPr>
              <w:spacing w:line="276" w:lineRule="auto"/>
              <w:rPr>
                <w:rFonts w:ascii="Arial" w:hAnsi="Arial" w:cs="Arial"/>
              </w:rPr>
            </w:pPr>
            <w:r w:rsidRPr="00F7228F">
              <w:rPr>
                <w:rFonts w:ascii="Arial" w:hAnsi="Arial" w:cs="Arial"/>
                <w:color w:val="FFC000"/>
              </w:rPr>
              <w:t>0.606 (0.353 – 1.043)</w:t>
            </w:r>
          </w:p>
        </w:tc>
        <w:tc>
          <w:tcPr>
            <w:tcW w:w="457" w:type="pct"/>
          </w:tcPr>
          <w:p w14:paraId="4C0EDFB7"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71A94EF0"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074636C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2BAFAE22"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33CD8234" w14:textId="77777777" w:rsidTr="00CB0BB6">
        <w:tc>
          <w:tcPr>
            <w:tcW w:w="719" w:type="pct"/>
            <w:vMerge/>
          </w:tcPr>
          <w:p w14:paraId="6AAEAB35" w14:textId="77777777" w:rsidR="00236A5B" w:rsidRPr="00F7228F" w:rsidRDefault="00236A5B" w:rsidP="000B242D">
            <w:pPr>
              <w:spacing w:line="276" w:lineRule="auto"/>
              <w:rPr>
                <w:rFonts w:ascii="Arial" w:hAnsi="Arial" w:cs="Arial"/>
              </w:rPr>
            </w:pPr>
          </w:p>
        </w:tc>
        <w:tc>
          <w:tcPr>
            <w:tcW w:w="516" w:type="pct"/>
          </w:tcPr>
          <w:p w14:paraId="49EAF81B"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tcPr>
          <w:p w14:paraId="563CF435"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tcPr>
          <w:p w14:paraId="7B716B45"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492D23FC"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vAlign w:val="center"/>
          </w:tcPr>
          <w:p w14:paraId="63CA665E" w14:textId="77777777" w:rsidR="00236A5B" w:rsidRPr="00F7228F" w:rsidRDefault="00236A5B" w:rsidP="000B242D">
            <w:pPr>
              <w:spacing w:line="276" w:lineRule="auto"/>
              <w:rPr>
                <w:rFonts w:ascii="Arial" w:hAnsi="Arial" w:cs="Arial"/>
              </w:rPr>
            </w:pPr>
            <w:r w:rsidRPr="00F7228F">
              <w:rPr>
                <w:rFonts w:ascii="Arial" w:hAnsi="Arial" w:cs="Arial"/>
                <w:color w:val="FFC000"/>
              </w:rPr>
              <w:t>0.070</w:t>
            </w:r>
          </w:p>
        </w:tc>
        <w:tc>
          <w:tcPr>
            <w:tcW w:w="457" w:type="pct"/>
          </w:tcPr>
          <w:p w14:paraId="66C60C99"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56DE2B5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24326A3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3D20F115"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44C28AC1" w14:textId="77777777" w:rsidTr="00CB0BB6">
        <w:tc>
          <w:tcPr>
            <w:tcW w:w="719" w:type="pct"/>
            <w:vMerge w:val="restart"/>
          </w:tcPr>
          <w:p w14:paraId="6E08DAFB"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1</w:t>
            </w:r>
          </w:p>
          <w:p w14:paraId="64C5C412" w14:textId="77777777" w:rsidR="00236A5B" w:rsidRPr="00F7228F" w:rsidRDefault="00236A5B" w:rsidP="000B242D">
            <w:pPr>
              <w:spacing w:line="276" w:lineRule="auto"/>
              <w:rPr>
                <w:rFonts w:ascii="Arial" w:hAnsi="Arial" w:cs="Arial"/>
              </w:rPr>
            </w:pPr>
          </w:p>
        </w:tc>
        <w:tc>
          <w:tcPr>
            <w:tcW w:w="516" w:type="pct"/>
          </w:tcPr>
          <w:p w14:paraId="11FFCE2B"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1D95031E" w14:textId="77777777" w:rsidR="00236A5B" w:rsidRPr="00F7228F" w:rsidRDefault="00236A5B" w:rsidP="000B242D">
            <w:pPr>
              <w:spacing w:line="276" w:lineRule="auto"/>
              <w:rPr>
                <w:rFonts w:ascii="Arial" w:hAnsi="Arial" w:cs="Arial"/>
              </w:rPr>
            </w:pPr>
            <w:r w:rsidRPr="00F7228F">
              <w:rPr>
                <w:rFonts w:ascii="Arial" w:hAnsi="Arial" w:cs="Arial"/>
                <w:color w:val="FFC000"/>
              </w:rPr>
              <w:t>3.048 (0.974 – 9.541)</w:t>
            </w:r>
          </w:p>
        </w:tc>
        <w:tc>
          <w:tcPr>
            <w:tcW w:w="501" w:type="pct"/>
            <w:vAlign w:val="center"/>
          </w:tcPr>
          <w:p w14:paraId="78A551EA"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90" w:type="pct"/>
            <w:vAlign w:val="center"/>
          </w:tcPr>
          <w:p w14:paraId="79446ACD" w14:textId="77777777" w:rsidR="00236A5B" w:rsidRPr="00F7228F" w:rsidRDefault="00236A5B" w:rsidP="000B242D">
            <w:pPr>
              <w:spacing w:line="276" w:lineRule="auto"/>
              <w:rPr>
                <w:rFonts w:ascii="Arial" w:hAnsi="Arial" w:cs="Arial"/>
                <w:color w:val="FFC000"/>
              </w:rPr>
            </w:pPr>
            <w:r w:rsidRPr="00F7228F">
              <w:rPr>
                <w:rFonts w:ascii="Arial" w:hAnsi="Arial" w:cs="Arial"/>
                <w:color w:val="FFC000"/>
              </w:rPr>
              <w:t>1.313 (0.971 – 1.774)</w:t>
            </w:r>
          </w:p>
        </w:tc>
        <w:tc>
          <w:tcPr>
            <w:tcW w:w="457" w:type="pct"/>
            <w:vAlign w:val="center"/>
          </w:tcPr>
          <w:p w14:paraId="50C230C9"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1.335 (0.997 – 1.788)</w:t>
            </w:r>
          </w:p>
        </w:tc>
        <w:tc>
          <w:tcPr>
            <w:tcW w:w="457" w:type="pct"/>
            <w:vAlign w:val="center"/>
          </w:tcPr>
          <w:p w14:paraId="44D661AA"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1.525 (1.156 – 2.012)</w:t>
            </w:r>
          </w:p>
        </w:tc>
        <w:tc>
          <w:tcPr>
            <w:tcW w:w="444" w:type="pct"/>
          </w:tcPr>
          <w:p w14:paraId="6F6D9E02"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vAlign w:val="center"/>
          </w:tcPr>
          <w:p w14:paraId="5B53981A" w14:textId="77777777" w:rsidR="00236A5B" w:rsidRPr="00F7228F" w:rsidRDefault="00236A5B" w:rsidP="000B242D">
            <w:pPr>
              <w:spacing w:line="276" w:lineRule="auto"/>
              <w:rPr>
                <w:rFonts w:ascii="Arial" w:hAnsi="Arial" w:cs="Arial"/>
              </w:rPr>
            </w:pPr>
            <w:r w:rsidRPr="00F7228F">
              <w:rPr>
                <w:rFonts w:ascii="Arial" w:hAnsi="Arial" w:cs="Arial"/>
                <w:color w:val="FFC000"/>
              </w:rPr>
              <w:t>1.311 (0.998 – 1.722)</w:t>
            </w:r>
          </w:p>
        </w:tc>
        <w:tc>
          <w:tcPr>
            <w:tcW w:w="471" w:type="pct"/>
            <w:vAlign w:val="center"/>
          </w:tcPr>
          <w:p w14:paraId="30FF1482" w14:textId="77777777" w:rsidR="00236A5B" w:rsidRPr="00F7228F" w:rsidRDefault="00236A5B" w:rsidP="000B242D">
            <w:pPr>
              <w:spacing w:line="276" w:lineRule="auto"/>
              <w:rPr>
                <w:rFonts w:ascii="Arial" w:hAnsi="Arial" w:cs="Arial"/>
              </w:rPr>
            </w:pPr>
            <w:r w:rsidRPr="00F7228F">
              <w:rPr>
                <w:rFonts w:ascii="Arial" w:hAnsi="Arial" w:cs="Arial"/>
                <w:color w:val="FF0000"/>
              </w:rPr>
              <w:t>1.442 (1.050 – 1.981)</w:t>
            </w:r>
          </w:p>
        </w:tc>
      </w:tr>
      <w:tr w:rsidR="00236A5B" w:rsidRPr="00F7228F" w14:paraId="52A285CE" w14:textId="77777777" w:rsidTr="00CB0BB6">
        <w:tc>
          <w:tcPr>
            <w:tcW w:w="719" w:type="pct"/>
            <w:vMerge/>
          </w:tcPr>
          <w:p w14:paraId="7651EB8C" w14:textId="77777777" w:rsidR="00236A5B" w:rsidRPr="00F7228F" w:rsidRDefault="00236A5B" w:rsidP="000B242D">
            <w:pPr>
              <w:spacing w:line="276" w:lineRule="auto"/>
              <w:rPr>
                <w:rFonts w:ascii="Arial" w:hAnsi="Arial" w:cs="Arial"/>
              </w:rPr>
            </w:pPr>
          </w:p>
        </w:tc>
        <w:tc>
          <w:tcPr>
            <w:tcW w:w="516" w:type="pct"/>
          </w:tcPr>
          <w:p w14:paraId="3FC6471B"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34A2AA5B" w14:textId="77777777" w:rsidR="00236A5B" w:rsidRPr="00F7228F" w:rsidRDefault="00236A5B" w:rsidP="000B242D">
            <w:pPr>
              <w:spacing w:line="276" w:lineRule="auto"/>
              <w:rPr>
                <w:rFonts w:ascii="Arial" w:hAnsi="Arial" w:cs="Arial"/>
              </w:rPr>
            </w:pPr>
            <w:r w:rsidRPr="00F7228F">
              <w:rPr>
                <w:rFonts w:ascii="Arial" w:hAnsi="Arial" w:cs="Arial"/>
                <w:color w:val="FFC000"/>
              </w:rPr>
              <w:t>0.056</w:t>
            </w:r>
          </w:p>
        </w:tc>
        <w:tc>
          <w:tcPr>
            <w:tcW w:w="501" w:type="pct"/>
          </w:tcPr>
          <w:p w14:paraId="5F6E2CD7"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90" w:type="pct"/>
            <w:vAlign w:val="center"/>
          </w:tcPr>
          <w:p w14:paraId="20BB0E65" w14:textId="77777777" w:rsidR="00236A5B" w:rsidRPr="00F7228F" w:rsidRDefault="00236A5B" w:rsidP="000B242D">
            <w:pPr>
              <w:spacing w:line="276" w:lineRule="auto"/>
              <w:rPr>
                <w:rFonts w:ascii="Arial" w:hAnsi="Arial" w:cs="Arial"/>
                <w:color w:val="FFC000"/>
              </w:rPr>
            </w:pPr>
            <w:r w:rsidRPr="00F7228F">
              <w:rPr>
                <w:rFonts w:ascii="Arial" w:hAnsi="Arial" w:cs="Arial"/>
                <w:color w:val="FFC000"/>
              </w:rPr>
              <w:t>0.076</w:t>
            </w:r>
          </w:p>
        </w:tc>
        <w:tc>
          <w:tcPr>
            <w:tcW w:w="457" w:type="pct"/>
            <w:vAlign w:val="center"/>
          </w:tcPr>
          <w:p w14:paraId="43240DCF" w14:textId="77777777" w:rsidR="00236A5B" w:rsidRPr="00F7228F" w:rsidRDefault="00236A5B" w:rsidP="000B242D">
            <w:pPr>
              <w:spacing w:line="276" w:lineRule="auto"/>
              <w:rPr>
                <w:rFonts w:ascii="Arial" w:hAnsi="Arial" w:cs="Arial"/>
                <w:color w:val="FF0000"/>
              </w:rPr>
            </w:pPr>
            <w:r w:rsidRPr="00F7228F">
              <w:rPr>
                <w:rFonts w:ascii="Arial" w:hAnsi="Arial" w:cs="Arial"/>
                <w:color w:val="FFC000"/>
              </w:rPr>
              <w:t>0.053</w:t>
            </w:r>
          </w:p>
        </w:tc>
        <w:tc>
          <w:tcPr>
            <w:tcW w:w="457" w:type="pct"/>
            <w:vAlign w:val="center"/>
          </w:tcPr>
          <w:p w14:paraId="5932A539" w14:textId="77777777" w:rsidR="00236A5B" w:rsidRPr="00F7228F" w:rsidRDefault="00236A5B" w:rsidP="000B242D">
            <w:pPr>
              <w:spacing w:line="276" w:lineRule="auto"/>
              <w:rPr>
                <w:rFonts w:ascii="Arial" w:hAnsi="Arial" w:cs="Arial"/>
                <w:color w:val="FFC000"/>
              </w:rPr>
            </w:pPr>
            <w:r w:rsidRPr="00F7228F">
              <w:rPr>
                <w:rFonts w:ascii="Arial" w:hAnsi="Arial" w:cs="Arial"/>
                <w:color w:val="FF0000"/>
              </w:rPr>
              <w:t>0.003</w:t>
            </w:r>
          </w:p>
        </w:tc>
        <w:tc>
          <w:tcPr>
            <w:tcW w:w="444" w:type="pct"/>
          </w:tcPr>
          <w:p w14:paraId="06F9728C"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vAlign w:val="center"/>
          </w:tcPr>
          <w:p w14:paraId="2AAC1B7C" w14:textId="77777777" w:rsidR="00236A5B" w:rsidRPr="00F7228F" w:rsidRDefault="00236A5B" w:rsidP="000B242D">
            <w:pPr>
              <w:spacing w:line="276" w:lineRule="auto"/>
              <w:rPr>
                <w:rFonts w:ascii="Arial" w:hAnsi="Arial" w:cs="Arial"/>
              </w:rPr>
            </w:pPr>
            <w:r w:rsidRPr="00F7228F">
              <w:rPr>
                <w:rFonts w:ascii="Arial" w:hAnsi="Arial" w:cs="Arial"/>
                <w:color w:val="FFC000"/>
              </w:rPr>
              <w:t>0.051</w:t>
            </w:r>
          </w:p>
        </w:tc>
        <w:tc>
          <w:tcPr>
            <w:tcW w:w="471" w:type="pct"/>
            <w:vAlign w:val="center"/>
          </w:tcPr>
          <w:p w14:paraId="27A7277C" w14:textId="77777777" w:rsidR="00236A5B" w:rsidRPr="00F7228F" w:rsidRDefault="00236A5B" w:rsidP="000B242D">
            <w:pPr>
              <w:spacing w:line="276" w:lineRule="auto"/>
              <w:rPr>
                <w:rFonts w:ascii="Arial" w:hAnsi="Arial" w:cs="Arial"/>
              </w:rPr>
            </w:pPr>
            <w:r w:rsidRPr="00F7228F">
              <w:rPr>
                <w:rFonts w:ascii="Arial" w:hAnsi="Arial" w:cs="Arial"/>
                <w:color w:val="FF0000"/>
              </w:rPr>
              <w:t>0.024</w:t>
            </w:r>
          </w:p>
        </w:tc>
      </w:tr>
      <w:tr w:rsidR="00236A5B" w:rsidRPr="00F7228F" w14:paraId="051AF71E" w14:textId="77777777" w:rsidTr="00CB0BB6">
        <w:tc>
          <w:tcPr>
            <w:tcW w:w="719" w:type="pct"/>
            <w:vMerge w:val="restart"/>
          </w:tcPr>
          <w:p w14:paraId="3FF40DCC"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2</w:t>
            </w:r>
          </w:p>
          <w:p w14:paraId="10C21C69" w14:textId="77777777" w:rsidR="00236A5B" w:rsidRPr="00F7228F" w:rsidRDefault="00236A5B" w:rsidP="000B242D">
            <w:pPr>
              <w:spacing w:line="276" w:lineRule="auto"/>
              <w:rPr>
                <w:rFonts w:ascii="Arial" w:hAnsi="Arial" w:cs="Arial"/>
              </w:rPr>
            </w:pPr>
          </w:p>
        </w:tc>
        <w:tc>
          <w:tcPr>
            <w:tcW w:w="516" w:type="pct"/>
          </w:tcPr>
          <w:p w14:paraId="01C89EB2"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tcPr>
          <w:p w14:paraId="087CCF2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tcPr>
          <w:p w14:paraId="3723153C"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57F26D0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0A4CEEE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44769D9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15896DA0"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vAlign w:val="center"/>
          </w:tcPr>
          <w:p w14:paraId="543F4194" w14:textId="77777777" w:rsidR="00236A5B" w:rsidRPr="00F7228F" w:rsidRDefault="00236A5B" w:rsidP="000B242D">
            <w:pPr>
              <w:spacing w:line="276" w:lineRule="auto"/>
              <w:rPr>
                <w:rFonts w:ascii="Arial" w:hAnsi="Arial" w:cs="Arial"/>
              </w:rPr>
            </w:pPr>
            <w:r w:rsidRPr="00F7228F">
              <w:rPr>
                <w:rFonts w:ascii="Arial" w:hAnsi="Arial" w:cs="Arial"/>
                <w:color w:val="FF0000"/>
              </w:rPr>
              <w:t>1.415 (1.013 – 1.975)</w:t>
            </w:r>
          </w:p>
        </w:tc>
        <w:tc>
          <w:tcPr>
            <w:tcW w:w="471" w:type="pct"/>
          </w:tcPr>
          <w:p w14:paraId="19C3BC49"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3B463090" w14:textId="77777777" w:rsidTr="00CB0BB6">
        <w:tc>
          <w:tcPr>
            <w:tcW w:w="719" w:type="pct"/>
            <w:vMerge/>
          </w:tcPr>
          <w:p w14:paraId="7686EF05" w14:textId="77777777" w:rsidR="00236A5B" w:rsidRPr="00F7228F" w:rsidRDefault="00236A5B" w:rsidP="000B242D">
            <w:pPr>
              <w:spacing w:line="276" w:lineRule="auto"/>
              <w:rPr>
                <w:rFonts w:ascii="Arial" w:hAnsi="Arial" w:cs="Arial"/>
              </w:rPr>
            </w:pPr>
          </w:p>
        </w:tc>
        <w:tc>
          <w:tcPr>
            <w:tcW w:w="516" w:type="pct"/>
          </w:tcPr>
          <w:p w14:paraId="318C8AB4"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tcPr>
          <w:p w14:paraId="77B1E6D7"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tcPr>
          <w:p w14:paraId="7EF1C2E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90" w:type="pct"/>
          </w:tcPr>
          <w:p w14:paraId="1BD03C58"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1EA7B6A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23166DAC"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2E7A2CE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vAlign w:val="center"/>
          </w:tcPr>
          <w:p w14:paraId="2018CC4B" w14:textId="77777777" w:rsidR="00236A5B" w:rsidRPr="00F7228F" w:rsidRDefault="00236A5B" w:rsidP="000B242D">
            <w:pPr>
              <w:spacing w:line="276" w:lineRule="auto"/>
              <w:rPr>
                <w:rFonts w:ascii="Arial" w:hAnsi="Arial" w:cs="Arial"/>
              </w:rPr>
            </w:pPr>
            <w:r w:rsidRPr="00F7228F">
              <w:rPr>
                <w:rFonts w:ascii="Arial" w:hAnsi="Arial" w:cs="Arial"/>
                <w:color w:val="FF0000"/>
              </w:rPr>
              <w:t>0.042</w:t>
            </w:r>
          </w:p>
        </w:tc>
        <w:tc>
          <w:tcPr>
            <w:tcW w:w="471" w:type="pct"/>
          </w:tcPr>
          <w:p w14:paraId="72622C30"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1F1A7993" w14:textId="77777777" w:rsidTr="00CB0BB6">
        <w:tc>
          <w:tcPr>
            <w:tcW w:w="719" w:type="pct"/>
            <w:vMerge w:val="restart"/>
          </w:tcPr>
          <w:p w14:paraId="0EC1D95C" w14:textId="77777777" w:rsidR="00236A5B" w:rsidRPr="00F7228F" w:rsidRDefault="00236A5B" w:rsidP="000B242D">
            <w:pPr>
              <w:spacing w:line="276" w:lineRule="auto"/>
              <w:rPr>
                <w:rFonts w:ascii="Arial" w:hAnsi="Arial" w:cs="Arial"/>
              </w:rPr>
            </w:pPr>
            <w:r w:rsidRPr="00F7228F">
              <w:rPr>
                <w:rFonts w:ascii="Arial" w:hAnsi="Arial" w:cs="Arial"/>
              </w:rPr>
              <w:t>Plasma Principal Component 3</w:t>
            </w:r>
          </w:p>
          <w:p w14:paraId="3DBC581E" w14:textId="77777777" w:rsidR="00236A5B" w:rsidRPr="00F7228F" w:rsidRDefault="00236A5B" w:rsidP="000B242D">
            <w:pPr>
              <w:spacing w:line="276" w:lineRule="auto"/>
              <w:rPr>
                <w:rFonts w:ascii="Arial" w:hAnsi="Arial" w:cs="Arial"/>
              </w:rPr>
            </w:pPr>
          </w:p>
        </w:tc>
        <w:tc>
          <w:tcPr>
            <w:tcW w:w="516" w:type="pct"/>
          </w:tcPr>
          <w:p w14:paraId="7D8D4B7D"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vAlign w:val="center"/>
          </w:tcPr>
          <w:p w14:paraId="3095FD63" w14:textId="77777777" w:rsidR="00236A5B" w:rsidRPr="00F7228F" w:rsidRDefault="00236A5B" w:rsidP="000B242D">
            <w:pPr>
              <w:spacing w:line="276" w:lineRule="auto"/>
              <w:rPr>
                <w:rFonts w:ascii="Arial" w:hAnsi="Arial" w:cs="Arial"/>
              </w:rPr>
            </w:pPr>
            <w:r w:rsidRPr="00F7228F">
              <w:rPr>
                <w:rFonts w:ascii="Arial" w:hAnsi="Arial" w:cs="Arial"/>
              </w:rPr>
              <w:t>0.599 (0.189 – 1.891)</w:t>
            </w:r>
          </w:p>
        </w:tc>
        <w:tc>
          <w:tcPr>
            <w:tcW w:w="501" w:type="pct"/>
            <w:vAlign w:val="center"/>
          </w:tcPr>
          <w:p w14:paraId="052685ED" w14:textId="77777777" w:rsidR="00236A5B" w:rsidRPr="00F7228F" w:rsidRDefault="00236A5B" w:rsidP="000B242D">
            <w:pPr>
              <w:spacing w:line="276" w:lineRule="auto"/>
              <w:rPr>
                <w:rFonts w:ascii="Arial" w:hAnsi="Arial" w:cs="Arial"/>
                <w:b/>
                <w:bCs/>
              </w:rPr>
            </w:pPr>
            <w:r w:rsidRPr="00F7228F">
              <w:rPr>
                <w:rFonts w:ascii="Arial" w:hAnsi="Arial" w:cs="Arial"/>
              </w:rPr>
              <w:t>0.743 (0.485 – 1.138)</w:t>
            </w:r>
          </w:p>
        </w:tc>
        <w:tc>
          <w:tcPr>
            <w:tcW w:w="490" w:type="pct"/>
            <w:vAlign w:val="center"/>
          </w:tcPr>
          <w:p w14:paraId="31EC8919" w14:textId="77777777" w:rsidR="00236A5B" w:rsidRPr="00F7228F" w:rsidRDefault="00236A5B" w:rsidP="000B242D">
            <w:pPr>
              <w:spacing w:line="276" w:lineRule="auto"/>
              <w:rPr>
                <w:rFonts w:ascii="Arial" w:hAnsi="Arial" w:cs="Arial"/>
                <w:b/>
                <w:bCs/>
              </w:rPr>
            </w:pPr>
            <w:r w:rsidRPr="00F7228F">
              <w:rPr>
                <w:rFonts w:ascii="Arial" w:hAnsi="Arial" w:cs="Arial"/>
              </w:rPr>
              <w:t>0.928 (0.635 – 1.355)</w:t>
            </w:r>
          </w:p>
        </w:tc>
        <w:tc>
          <w:tcPr>
            <w:tcW w:w="457" w:type="pct"/>
          </w:tcPr>
          <w:p w14:paraId="5A54602B"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71FA3486"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26BDEFE4"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5FA8D75E"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6B5B0D4F"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73E78532" w14:textId="77777777" w:rsidTr="00CB0BB6">
        <w:tc>
          <w:tcPr>
            <w:tcW w:w="719" w:type="pct"/>
            <w:vMerge/>
          </w:tcPr>
          <w:p w14:paraId="55B6C934" w14:textId="77777777" w:rsidR="00236A5B" w:rsidRPr="00F7228F" w:rsidRDefault="00236A5B" w:rsidP="000B242D">
            <w:pPr>
              <w:spacing w:line="276" w:lineRule="auto"/>
              <w:rPr>
                <w:rFonts w:ascii="Arial" w:hAnsi="Arial" w:cs="Arial"/>
              </w:rPr>
            </w:pPr>
          </w:p>
        </w:tc>
        <w:tc>
          <w:tcPr>
            <w:tcW w:w="516" w:type="pct"/>
          </w:tcPr>
          <w:p w14:paraId="6051B0B2"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vAlign w:val="center"/>
          </w:tcPr>
          <w:p w14:paraId="38F49094" w14:textId="77777777" w:rsidR="00236A5B" w:rsidRPr="00F7228F" w:rsidRDefault="00236A5B" w:rsidP="000B242D">
            <w:pPr>
              <w:spacing w:line="276" w:lineRule="auto"/>
              <w:rPr>
                <w:rFonts w:ascii="Arial" w:hAnsi="Arial" w:cs="Arial"/>
              </w:rPr>
            </w:pPr>
            <w:r w:rsidRPr="00F7228F">
              <w:rPr>
                <w:rFonts w:ascii="Arial" w:hAnsi="Arial" w:cs="Arial"/>
              </w:rPr>
              <w:t>0.382</w:t>
            </w:r>
          </w:p>
        </w:tc>
        <w:tc>
          <w:tcPr>
            <w:tcW w:w="501" w:type="pct"/>
            <w:vAlign w:val="center"/>
          </w:tcPr>
          <w:p w14:paraId="195B5788" w14:textId="77777777" w:rsidR="00236A5B" w:rsidRPr="00F7228F" w:rsidRDefault="00236A5B" w:rsidP="000B242D">
            <w:pPr>
              <w:spacing w:line="276" w:lineRule="auto"/>
              <w:rPr>
                <w:rFonts w:ascii="Arial" w:hAnsi="Arial" w:cs="Arial"/>
                <w:b/>
                <w:bCs/>
              </w:rPr>
            </w:pPr>
            <w:r w:rsidRPr="00F7228F">
              <w:rPr>
                <w:rFonts w:ascii="Arial" w:hAnsi="Arial" w:cs="Arial"/>
              </w:rPr>
              <w:t>0.172</w:t>
            </w:r>
          </w:p>
        </w:tc>
        <w:tc>
          <w:tcPr>
            <w:tcW w:w="490" w:type="pct"/>
            <w:vAlign w:val="center"/>
          </w:tcPr>
          <w:p w14:paraId="6039C71C" w14:textId="77777777" w:rsidR="00236A5B" w:rsidRPr="00F7228F" w:rsidRDefault="00236A5B" w:rsidP="000B242D">
            <w:pPr>
              <w:spacing w:line="276" w:lineRule="auto"/>
              <w:rPr>
                <w:rFonts w:ascii="Arial" w:hAnsi="Arial" w:cs="Arial"/>
                <w:b/>
                <w:bCs/>
              </w:rPr>
            </w:pPr>
            <w:r w:rsidRPr="00F7228F">
              <w:rPr>
                <w:rFonts w:ascii="Arial" w:hAnsi="Arial" w:cs="Arial"/>
              </w:rPr>
              <w:t>0.698</w:t>
            </w:r>
          </w:p>
        </w:tc>
        <w:tc>
          <w:tcPr>
            <w:tcW w:w="457" w:type="pct"/>
          </w:tcPr>
          <w:p w14:paraId="23985AA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57" w:type="pct"/>
          </w:tcPr>
          <w:p w14:paraId="26DBB96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4" w:type="pct"/>
          </w:tcPr>
          <w:p w14:paraId="566559DF"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47" w:type="pct"/>
          </w:tcPr>
          <w:p w14:paraId="0935A099"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695EC63A"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4E08EC9F" w14:textId="77777777" w:rsidTr="00CB0BB6">
        <w:tc>
          <w:tcPr>
            <w:tcW w:w="719" w:type="pct"/>
            <w:vMerge w:val="restart"/>
          </w:tcPr>
          <w:p w14:paraId="13EDBF1C" w14:textId="77777777" w:rsidR="00236A5B" w:rsidRPr="00F7228F" w:rsidRDefault="00236A5B" w:rsidP="000B242D">
            <w:pPr>
              <w:spacing w:line="276" w:lineRule="auto"/>
              <w:rPr>
                <w:rFonts w:ascii="Arial" w:hAnsi="Arial" w:cs="Arial"/>
              </w:rPr>
            </w:pPr>
            <w:r w:rsidRPr="00F7228F">
              <w:rPr>
                <w:rFonts w:ascii="Arial" w:hAnsi="Arial" w:cs="Arial"/>
              </w:rPr>
              <w:lastRenderedPageBreak/>
              <w:t>Plasma Principal Component 4</w:t>
            </w:r>
          </w:p>
          <w:p w14:paraId="22C95709" w14:textId="77777777" w:rsidR="00236A5B" w:rsidRPr="00F7228F" w:rsidRDefault="00236A5B" w:rsidP="000B242D">
            <w:pPr>
              <w:spacing w:line="276" w:lineRule="auto"/>
              <w:rPr>
                <w:rFonts w:ascii="Arial" w:hAnsi="Arial" w:cs="Arial"/>
              </w:rPr>
            </w:pPr>
          </w:p>
        </w:tc>
        <w:tc>
          <w:tcPr>
            <w:tcW w:w="516" w:type="pct"/>
          </w:tcPr>
          <w:p w14:paraId="211CC126" w14:textId="77777777" w:rsidR="00236A5B" w:rsidRPr="00F7228F" w:rsidRDefault="00236A5B" w:rsidP="000B242D">
            <w:pPr>
              <w:spacing w:line="276" w:lineRule="auto"/>
              <w:rPr>
                <w:rFonts w:ascii="Arial" w:hAnsi="Arial" w:cs="Arial"/>
              </w:rPr>
            </w:pPr>
            <w:r w:rsidRPr="00F7228F">
              <w:rPr>
                <w:rFonts w:ascii="Arial" w:hAnsi="Arial" w:cs="Arial"/>
              </w:rPr>
              <w:t>OR/ coefficient (95% CI)</w:t>
            </w:r>
          </w:p>
        </w:tc>
        <w:tc>
          <w:tcPr>
            <w:tcW w:w="498" w:type="pct"/>
          </w:tcPr>
          <w:p w14:paraId="672A9037"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vAlign w:val="center"/>
          </w:tcPr>
          <w:p w14:paraId="66EB7DC5" w14:textId="77777777" w:rsidR="00236A5B" w:rsidRPr="00F7228F" w:rsidRDefault="00236A5B" w:rsidP="000B242D">
            <w:pPr>
              <w:spacing w:line="276" w:lineRule="auto"/>
              <w:rPr>
                <w:rFonts w:ascii="Arial" w:hAnsi="Arial" w:cs="Arial"/>
              </w:rPr>
            </w:pPr>
            <w:r w:rsidRPr="00F7228F">
              <w:rPr>
                <w:rFonts w:ascii="Arial" w:hAnsi="Arial" w:cs="Arial"/>
                <w:color w:val="FF0000"/>
              </w:rPr>
              <w:t>0.573 (0.348 – 0.943)</w:t>
            </w:r>
          </w:p>
        </w:tc>
        <w:tc>
          <w:tcPr>
            <w:tcW w:w="490" w:type="pct"/>
          </w:tcPr>
          <w:p w14:paraId="7344EF11"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57" w:type="pct"/>
          </w:tcPr>
          <w:p w14:paraId="36944CB9"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57" w:type="pct"/>
            <w:vAlign w:val="center"/>
          </w:tcPr>
          <w:p w14:paraId="72501E42" w14:textId="77777777" w:rsidR="00236A5B" w:rsidRPr="00F7228F" w:rsidRDefault="00236A5B" w:rsidP="000B242D">
            <w:pPr>
              <w:spacing w:line="276" w:lineRule="auto"/>
              <w:rPr>
                <w:rFonts w:ascii="Arial" w:hAnsi="Arial" w:cs="Arial"/>
              </w:rPr>
            </w:pPr>
            <w:r w:rsidRPr="00F7228F">
              <w:rPr>
                <w:rFonts w:ascii="Arial" w:hAnsi="Arial" w:cs="Arial"/>
                <w:color w:val="FFC000"/>
              </w:rPr>
              <w:t>0.734 (0.513 – 1.048)</w:t>
            </w:r>
          </w:p>
        </w:tc>
        <w:tc>
          <w:tcPr>
            <w:tcW w:w="444" w:type="pct"/>
          </w:tcPr>
          <w:p w14:paraId="06A5CE01"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47" w:type="pct"/>
          </w:tcPr>
          <w:p w14:paraId="21DCB1F0"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2AA31928" w14:textId="77777777" w:rsidR="00236A5B" w:rsidRPr="00F7228F" w:rsidRDefault="00236A5B" w:rsidP="000B242D">
            <w:pPr>
              <w:spacing w:line="276" w:lineRule="auto"/>
              <w:rPr>
                <w:rFonts w:ascii="Arial" w:hAnsi="Arial" w:cs="Arial"/>
              </w:rPr>
            </w:pPr>
            <w:r w:rsidRPr="00F7228F">
              <w:rPr>
                <w:rFonts w:ascii="Arial" w:hAnsi="Arial" w:cs="Arial"/>
              </w:rPr>
              <w:t>NA</w:t>
            </w:r>
          </w:p>
        </w:tc>
      </w:tr>
      <w:tr w:rsidR="00236A5B" w:rsidRPr="00F7228F" w14:paraId="1539FBCD" w14:textId="77777777" w:rsidTr="00CB0BB6">
        <w:tc>
          <w:tcPr>
            <w:tcW w:w="719" w:type="pct"/>
            <w:vMerge/>
          </w:tcPr>
          <w:p w14:paraId="476A687A" w14:textId="77777777" w:rsidR="00236A5B" w:rsidRPr="00F7228F" w:rsidRDefault="00236A5B" w:rsidP="000B242D">
            <w:pPr>
              <w:spacing w:line="276" w:lineRule="auto"/>
              <w:rPr>
                <w:rFonts w:ascii="Arial" w:hAnsi="Arial" w:cs="Arial"/>
              </w:rPr>
            </w:pPr>
          </w:p>
        </w:tc>
        <w:tc>
          <w:tcPr>
            <w:tcW w:w="516" w:type="pct"/>
          </w:tcPr>
          <w:p w14:paraId="5836EC8E" w14:textId="77777777" w:rsidR="00236A5B" w:rsidRPr="00F7228F" w:rsidRDefault="00236A5B" w:rsidP="000B242D">
            <w:pPr>
              <w:spacing w:line="276" w:lineRule="auto"/>
              <w:rPr>
                <w:rFonts w:ascii="Arial" w:hAnsi="Arial" w:cs="Arial"/>
              </w:rPr>
            </w:pPr>
            <w:r w:rsidRPr="00F7228F">
              <w:rPr>
                <w:rFonts w:ascii="Arial" w:hAnsi="Arial" w:cs="Arial"/>
              </w:rPr>
              <w:t>P-value</w:t>
            </w:r>
          </w:p>
        </w:tc>
        <w:tc>
          <w:tcPr>
            <w:tcW w:w="498" w:type="pct"/>
          </w:tcPr>
          <w:p w14:paraId="4E1DF46D"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501" w:type="pct"/>
            <w:vAlign w:val="center"/>
          </w:tcPr>
          <w:p w14:paraId="6E36E890" w14:textId="77777777" w:rsidR="00236A5B" w:rsidRPr="00F7228F" w:rsidRDefault="00236A5B" w:rsidP="000B242D">
            <w:pPr>
              <w:spacing w:line="276" w:lineRule="auto"/>
              <w:rPr>
                <w:rFonts w:ascii="Arial" w:hAnsi="Arial" w:cs="Arial"/>
              </w:rPr>
            </w:pPr>
            <w:r w:rsidRPr="00F7228F">
              <w:rPr>
                <w:rFonts w:ascii="Arial" w:hAnsi="Arial" w:cs="Arial"/>
                <w:color w:val="FF0000"/>
              </w:rPr>
              <w:t>0.028</w:t>
            </w:r>
          </w:p>
        </w:tc>
        <w:tc>
          <w:tcPr>
            <w:tcW w:w="490" w:type="pct"/>
          </w:tcPr>
          <w:p w14:paraId="4B84DCE4" w14:textId="77777777" w:rsidR="00236A5B" w:rsidRPr="00F7228F" w:rsidRDefault="00236A5B" w:rsidP="000B242D">
            <w:pPr>
              <w:spacing w:line="276" w:lineRule="auto"/>
              <w:rPr>
                <w:rFonts w:ascii="Arial" w:hAnsi="Arial" w:cs="Arial"/>
                <w:color w:val="FF0000"/>
              </w:rPr>
            </w:pPr>
            <w:r w:rsidRPr="00F7228F">
              <w:rPr>
                <w:rFonts w:ascii="Arial" w:hAnsi="Arial" w:cs="Arial"/>
              </w:rPr>
              <w:t>NA</w:t>
            </w:r>
          </w:p>
        </w:tc>
        <w:tc>
          <w:tcPr>
            <w:tcW w:w="457" w:type="pct"/>
          </w:tcPr>
          <w:p w14:paraId="431AE4FA"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57" w:type="pct"/>
            <w:vAlign w:val="center"/>
          </w:tcPr>
          <w:p w14:paraId="79CF35F7" w14:textId="77777777" w:rsidR="00236A5B" w:rsidRPr="00F7228F" w:rsidRDefault="00236A5B" w:rsidP="000B242D">
            <w:pPr>
              <w:spacing w:line="276" w:lineRule="auto"/>
              <w:rPr>
                <w:rFonts w:ascii="Arial" w:hAnsi="Arial" w:cs="Arial"/>
              </w:rPr>
            </w:pPr>
            <w:r w:rsidRPr="00F7228F">
              <w:rPr>
                <w:rFonts w:ascii="Arial" w:hAnsi="Arial" w:cs="Arial"/>
                <w:color w:val="FFC000"/>
              </w:rPr>
              <w:t>0.089</w:t>
            </w:r>
          </w:p>
        </w:tc>
        <w:tc>
          <w:tcPr>
            <w:tcW w:w="444" w:type="pct"/>
          </w:tcPr>
          <w:p w14:paraId="1D563B32" w14:textId="77777777" w:rsidR="00236A5B" w:rsidRPr="00F7228F" w:rsidRDefault="00236A5B" w:rsidP="000B242D">
            <w:pPr>
              <w:spacing w:line="276" w:lineRule="auto"/>
              <w:rPr>
                <w:rFonts w:ascii="Arial" w:hAnsi="Arial" w:cs="Arial"/>
                <w:color w:val="FFC000"/>
              </w:rPr>
            </w:pPr>
            <w:r w:rsidRPr="00F7228F">
              <w:rPr>
                <w:rFonts w:ascii="Arial" w:hAnsi="Arial" w:cs="Arial"/>
              </w:rPr>
              <w:t>NA</w:t>
            </w:r>
          </w:p>
        </w:tc>
        <w:tc>
          <w:tcPr>
            <w:tcW w:w="447" w:type="pct"/>
          </w:tcPr>
          <w:p w14:paraId="1029A763" w14:textId="77777777" w:rsidR="00236A5B" w:rsidRPr="00F7228F" w:rsidRDefault="00236A5B" w:rsidP="000B242D">
            <w:pPr>
              <w:spacing w:line="276" w:lineRule="auto"/>
              <w:rPr>
                <w:rFonts w:ascii="Arial" w:hAnsi="Arial" w:cs="Arial"/>
              </w:rPr>
            </w:pPr>
            <w:r w:rsidRPr="00F7228F">
              <w:rPr>
                <w:rFonts w:ascii="Arial" w:hAnsi="Arial" w:cs="Arial"/>
              </w:rPr>
              <w:t>NA</w:t>
            </w:r>
          </w:p>
        </w:tc>
        <w:tc>
          <w:tcPr>
            <w:tcW w:w="471" w:type="pct"/>
          </w:tcPr>
          <w:p w14:paraId="2907399D" w14:textId="77777777" w:rsidR="00236A5B" w:rsidRPr="00F7228F" w:rsidRDefault="00236A5B" w:rsidP="000B242D">
            <w:pPr>
              <w:spacing w:line="276" w:lineRule="auto"/>
              <w:rPr>
                <w:rFonts w:ascii="Arial" w:hAnsi="Arial" w:cs="Arial"/>
              </w:rPr>
            </w:pPr>
            <w:r w:rsidRPr="00F7228F">
              <w:rPr>
                <w:rFonts w:ascii="Arial" w:hAnsi="Arial" w:cs="Arial"/>
              </w:rPr>
              <w:t>NA</w:t>
            </w:r>
          </w:p>
        </w:tc>
      </w:tr>
    </w:tbl>
    <w:p w14:paraId="6C7DB10D" w14:textId="77777777" w:rsidR="00236A5B" w:rsidRPr="00F7228F" w:rsidRDefault="00236A5B" w:rsidP="000B242D">
      <w:pPr>
        <w:spacing w:after="0"/>
        <w:rPr>
          <w:rFonts w:ascii="Arial" w:hAnsi="Arial" w:cs="Arial"/>
        </w:rPr>
      </w:pPr>
    </w:p>
    <w:p w14:paraId="2CFE27CD" w14:textId="77777777" w:rsidR="00236A5B" w:rsidRPr="00F7228F" w:rsidRDefault="00236A5B" w:rsidP="000B242D">
      <w:pPr>
        <w:spacing w:after="0"/>
        <w:rPr>
          <w:rFonts w:ascii="Arial" w:hAnsi="Arial" w:cs="Arial"/>
        </w:rPr>
      </w:pPr>
    </w:p>
    <w:p w14:paraId="2D49A27D" w14:textId="77777777" w:rsidR="00236A5B" w:rsidRPr="00F7228F" w:rsidRDefault="00236A5B" w:rsidP="000B242D">
      <w:pPr>
        <w:spacing w:after="0"/>
        <w:rPr>
          <w:rFonts w:ascii="Arial" w:hAnsi="Arial" w:cs="Arial"/>
        </w:rPr>
      </w:pPr>
    </w:p>
    <w:p w14:paraId="7CEB6608" w14:textId="77777777" w:rsidR="00236A5B" w:rsidRPr="00F7228F" w:rsidRDefault="00236A5B" w:rsidP="000B242D">
      <w:pPr>
        <w:spacing w:after="0"/>
        <w:rPr>
          <w:rFonts w:ascii="Arial" w:hAnsi="Arial" w:cs="Arial"/>
        </w:rPr>
      </w:pPr>
    </w:p>
    <w:p w14:paraId="6DB62BD4" w14:textId="77777777" w:rsidR="00236A5B" w:rsidRPr="00F7228F" w:rsidRDefault="00236A5B" w:rsidP="000B242D">
      <w:pPr>
        <w:spacing w:after="0"/>
        <w:rPr>
          <w:rFonts w:ascii="Arial" w:hAnsi="Arial" w:cs="Arial"/>
        </w:rPr>
      </w:pPr>
    </w:p>
    <w:p w14:paraId="00BC45A7" w14:textId="77777777" w:rsidR="00236A5B" w:rsidRPr="00F7228F" w:rsidRDefault="00236A5B" w:rsidP="000B242D">
      <w:pPr>
        <w:spacing w:after="0"/>
        <w:rPr>
          <w:rFonts w:ascii="Arial" w:hAnsi="Arial" w:cs="Arial"/>
        </w:rPr>
      </w:pPr>
    </w:p>
    <w:p w14:paraId="51C8BEDB" w14:textId="77777777" w:rsidR="00236A5B" w:rsidRPr="00F7228F" w:rsidRDefault="00236A5B" w:rsidP="000B242D">
      <w:pPr>
        <w:spacing w:after="0"/>
        <w:rPr>
          <w:rFonts w:ascii="Arial" w:hAnsi="Arial" w:cs="Arial"/>
        </w:rPr>
      </w:pPr>
    </w:p>
    <w:p w14:paraId="1D4EB154" w14:textId="77777777" w:rsidR="00236A5B" w:rsidRPr="00F7228F" w:rsidRDefault="00236A5B" w:rsidP="000B242D">
      <w:pPr>
        <w:spacing w:after="0"/>
        <w:rPr>
          <w:rFonts w:ascii="Arial" w:hAnsi="Arial" w:cs="Arial"/>
        </w:rPr>
      </w:pPr>
    </w:p>
    <w:p w14:paraId="6EF59351" w14:textId="77777777" w:rsidR="00236A5B" w:rsidRPr="00F7228F" w:rsidRDefault="00236A5B" w:rsidP="000B242D">
      <w:pPr>
        <w:spacing w:after="0"/>
        <w:rPr>
          <w:rFonts w:ascii="Arial" w:hAnsi="Arial" w:cs="Arial"/>
        </w:rPr>
      </w:pPr>
    </w:p>
    <w:p w14:paraId="5E218648" w14:textId="77777777" w:rsidR="00236A5B" w:rsidRPr="00F7228F" w:rsidRDefault="00236A5B" w:rsidP="000B242D">
      <w:pPr>
        <w:spacing w:after="0"/>
        <w:rPr>
          <w:rFonts w:ascii="Arial" w:hAnsi="Arial" w:cs="Arial"/>
        </w:rPr>
      </w:pPr>
    </w:p>
    <w:p w14:paraId="47295BBC" w14:textId="77777777" w:rsidR="00236A5B" w:rsidRPr="00F7228F" w:rsidRDefault="00236A5B" w:rsidP="000B242D">
      <w:pPr>
        <w:spacing w:after="0"/>
        <w:rPr>
          <w:rFonts w:ascii="Arial" w:hAnsi="Arial" w:cs="Arial"/>
        </w:rPr>
      </w:pPr>
    </w:p>
    <w:p w14:paraId="18B12480" w14:textId="77777777" w:rsidR="00236A5B" w:rsidRPr="00F7228F" w:rsidRDefault="00236A5B" w:rsidP="000B242D">
      <w:pPr>
        <w:spacing w:after="0"/>
        <w:rPr>
          <w:rFonts w:ascii="Arial" w:hAnsi="Arial" w:cs="Arial"/>
        </w:rPr>
      </w:pPr>
    </w:p>
    <w:p w14:paraId="5ED1F6E0" w14:textId="77777777" w:rsidR="00236A5B" w:rsidRPr="00F7228F" w:rsidRDefault="00236A5B" w:rsidP="000B242D">
      <w:pPr>
        <w:spacing w:after="0"/>
        <w:rPr>
          <w:rFonts w:ascii="Arial" w:hAnsi="Arial" w:cs="Arial"/>
        </w:rPr>
      </w:pPr>
    </w:p>
    <w:p w14:paraId="37F8C7F1" w14:textId="77777777" w:rsidR="00236A5B" w:rsidRPr="00F7228F" w:rsidRDefault="00236A5B" w:rsidP="000B242D">
      <w:pPr>
        <w:spacing w:after="0"/>
        <w:rPr>
          <w:rFonts w:ascii="Arial" w:hAnsi="Arial" w:cs="Arial"/>
        </w:rPr>
      </w:pPr>
    </w:p>
    <w:p w14:paraId="5E1B36D9" w14:textId="77777777" w:rsidR="00236A5B" w:rsidRPr="00F7228F" w:rsidRDefault="00236A5B" w:rsidP="000B242D">
      <w:pPr>
        <w:spacing w:after="0"/>
        <w:rPr>
          <w:rFonts w:ascii="Arial" w:hAnsi="Arial" w:cs="Arial"/>
        </w:rPr>
      </w:pPr>
    </w:p>
    <w:p w14:paraId="55141BEA" w14:textId="77777777" w:rsidR="00236A5B" w:rsidRPr="00F7228F" w:rsidRDefault="00236A5B" w:rsidP="000B242D">
      <w:pPr>
        <w:spacing w:after="0"/>
        <w:rPr>
          <w:rFonts w:ascii="Arial" w:hAnsi="Arial" w:cs="Arial"/>
        </w:rPr>
      </w:pPr>
    </w:p>
    <w:p w14:paraId="55418518" w14:textId="77777777" w:rsidR="000B242D" w:rsidRPr="00F7228F" w:rsidRDefault="000B242D" w:rsidP="000B242D">
      <w:pPr>
        <w:spacing w:after="0"/>
        <w:rPr>
          <w:rFonts w:ascii="Arial" w:hAnsi="Arial" w:cs="Arial"/>
        </w:rPr>
      </w:pPr>
    </w:p>
    <w:p w14:paraId="6DD1FDCA" w14:textId="77777777" w:rsidR="000B242D" w:rsidRPr="00F7228F" w:rsidRDefault="000B242D" w:rsidP="000B242D">
      <w:pPr>
        <w:spacing w:after="0"/>
        <w:rPr>
          <w:rFonts w:ascii="Arial" w:hAnsi="Arial" w:cs="Arial"/>
        </w:rPr>
      </w:pPr>
    </w:p>
    <w:p w14:paraId="6718EC66" w14:textId="77777777" w:rsidR="000B242D" w:rsidRPr="00F7228F" w:rsidRDefault="000B242D" w:rsidP="000B242D">
      <w:pPr>
        <w:spacing w:after="0"/>
        <w:rPr>
          <w:rFonts w:ascii="Arial" w:hAnsi="Arial" w:cs="Arial"/>
        </w:rPr>
      </w:pPr>
    </w:p>
    <w:p w14:paraId="0F579C52" w14:textId="77777777" w:rsidR="000B242D" w:rsidRPr="00F7228F" w:rsidRDefault="000B242D" w:rsidP="000B242D">
      <w:pPr>
        <w:spacing w:after="0"/>
        <w:rPr>
          <w:rFonts w:ascii="Arial" w:hAnsi="Arial" w:cs="Arial"/>
        </w:rPr>
      </w:pPr>
    </w:p>
    <w:p w14:paraId="49F2E1BE" w14:textId="77777777" w:rsidR="000B242D" w:rsidRPr="00F7228F" w:rsidRDefault="000B242D" w:rsidP="000B242D">
      <w:pPr>
        <w:spacing w:after="0"/>
        <w:rPr>
          <w:rFonts w:ascii="Arial" w:hAnsi="Arial" w:cs="Arial"/>
        </w:rPr>
      </w:pPr>
    </w:p>
    <w:p w14:paraId="589CD4EF" w14:textId="77777777" w:rsidR="000B242D" w:rsidRPr="00F7228F" w:rsidRDefault="000B242D" w:rsidP="000B242D">
      <w:pPr>
        <w:spacing w:after="0"/>
        <w:rPr>
          <w:rFonts w:ascii="Arial" w:hAnsi="Arial" w:cs="Arial"/>
        </w:rPr>
      </w:pPr>
    </w:p>
    <w:p w14:paraId="3C40A6BC" w14:textId="77777777" w:rsidR="000B242D" w:rsidRPr="00F7228F" w:rsidRDefault="000B242D" w:rsidP="000B242D">
      <w:pPr>
        <w:spacing w:after="0"/>
        <w:rPr>
          <w:rFonts w:ascii="Arial" w:hAnsi="Arial" w:cs="Arial"/>
        </w:rPr>
      </w:pPr>
    </w:p>
    <w:p w14:paraId="6FAF9C9B" w14:textId="77777777" w:rsidR="000B242D" w:rsidRPr="00F7228F" w:rsidRDefault="000B242D" w:rsidP="000B242D">
      <w:pPr>
        <w:spacing w:after="0"/>
        <w:rPr>
          <w:rFonts w:ascii="Arial" w:hAnsi="Arial" w:cs="Arial"/>
        </w:rPr>
      </w:pPr>
    </w:p>
    <w:p w14:paraId="0F7AC960" w14:textId="77777777" w:rsidR="000B242D" w:rsidRPr="00F7228F" w:rsidRDefault="000B242D" w:rsidP="000B242D">
      <w:pPr>
        <w:spacing w:after="0"/>
        <w:rPr>
          <w:rFonts w:ascii="Arial" w:hAnsi="Arial" w:cs="Arial"/>
        </w:rPr>
      </w:pPr>
    </w:p>
    <w:p w14:paraId="7F7FCE39" w14:textId="77777777" w:rsidR="00236A5B" w:rsidRPr="00F7228F" w:rsidRDefault="00236A5B" w:rsidP="000B242D">
      <w:pPr>
        <w:spacing w:after="0"/>
        <w:rPr>
          <w:rFonts w:ascii="Arial" w:hAnsi="Arial" w:cs="Arial"/>
        </w:rPr>
      </w:pPr>
    </w:p>
    <w:p w14:paraId="65176853" w14:textId="77777777" w:rsidR="00236A5B" w:rsidRPr="00F7228F" w:rsidRDefault="00236A5B" w:rsidP="000B242D">
      <w:pPr>
        <w:spacing w:after="0" w:line="276" w:lineRule="auto"/>
        <w:rPr>
          <w:rFonts w:ascii="Arial" w:hAnsi="Arial" w:cs="Arial"/>
        </w:rPr>
      </w:pPr>
      <w:r w:rsidRPr="00F7228F">
        <w:rPr>
          <w:rFonts w:ascii="Arial" w:hAnsi="Arial" w:cs="Arial"/>
          <w:b/>
          <w:bCs/>
        </w:rPr>
        <w:lastRenderedPageBreak/>
        <w:t>Supplementary Figure 4</w:t>
      </w:r>
      <w:r w:rsidRPr="00F7228F">
        <w:rPr>
          <w:rFonts w:ascii="Arial" w:hAnsi="Arial" w:cs="Arial"/>
        </w:rPr>
        <w:t xml:space="preserve"> – Association of principal components (PCs) of cytokines in the plasma in patients with subarachnoid haemorrhage with death, delayed cerebral ischaemia (DCI), modified Rankin Scale (</w:t>
      </w:r>
      <w:proofErr w:type="spellStart"/>
      <w:r w:rsidRPr="00F7228F">
        <w:rPr>
          <w:rFonts w:ascii="Arial" w:hAnsi="Arial" w:cs="Arial"/>
        </w:rPr>
        <w:t>mRS</w:t>
      </w:r>
      <w:proofErr w:type="spellEnd"/>
      <w:r w:rsidRPr="00F7228F">
        <w:rPr>
          <w:rFonts w:ascii="Arial" w:hAnsi="Arial" w:cs="Arial"/>
        </w:rPr>
        <w:t>), and SAH Outcome Tool (SAHOT), after adjusting for the effects of all other PCs within the same compartment. White &gt; 0.1</w:t>
      </w:r>
      <w:proofErr w:type="gramStart"/>
      <w:r w:rsidRPr="00F7228F">
        <w:rPr>
          <w:rFonts w:ascii="Arial" w:hAnsi="Arial" w:cs="Arial"/>
        </w:rPr>
        <w:t>;  0.1</w:t>
      </w:r>
      <w:proofErr w:type="gramEnd"/>
      <w:r w:rsidRPr="00F7228F">
        <w:rPr>
          <w:rFonts w:ascii="Arial" w:hAnsi="Arial" w:cs="Arial"/>
        </w:rPr>
        <w:t xml:space="preserve"> &gt; Purple &gt; 0.05; Black &lt; 0.05.</w:t>
      </w:r>
    </w:p>
    <w:p w14:paraId="4E0A2FAA" w14:textId="77777777" w:rsidR="00236A5B" w:rsidRPr="00F7228F" w:rsidRDefault="00236A5B" w:rsidP="000B242D">
      <w:pPr>
        <w:spacing w:after="0" w:line="276" w:lineRule="auto"/>
        <w:rPr>
          <w:rFonts w:ascii="Arial" w:hAnsi="Arial" w:cs="Arial"/>
          <w:noProof/>
          <w14:ligatures w14:val="standardContextual"/>
        </w:rPr>
      </w:pPr>
      <w:r w:rsidRPr="00F7228F">
        <w:rPr>
          <w:rFonts w:ascii="Arial" w:hAnsi="Arial" w:cs="Arial"/>
          <w:noProof/>
          <w14:ligatures w14:val="standardContextual"/>
        </w:rPr>
        <w:object w:dxaOrig="16037" w:dyaOrig="12408" w14:anchorId="2F289946">
          <v:shape id="_x0000_i1026" type="#_x0000_t75" alt="" style="width:699.05pt;height:403.55pt;mso-width-percent:0;mso-height-percent:0;mso-width-percent:0;mso-height-percent:0" o:ole="" filled="t">
            <v:imagedata r:id="rId12" o:title=""/>
          </v:shape>
          <o:OLEObject Type="Embed" ProgID="Prism10.Document" ShapeID="_x0000_i1026" DrawAspect="Content" ObjectID="_1801972777" r:id="rId13"/>
        </w:object>
      </w:r>
    </w:p>
    <w:p w14:paraId="77D35BBB" w14:textId="77777777" w:rsidR="00236A5B" w:rsidRPr="00F7228F" w:rsidRDefault="00236A5B" w:rsidP="000B242D">
      <w:pPr>
        <w:spacing w:after="0" w:line="276" w:lineRule="auto"/>
        <w:rPr>
          <w:rFonts w:ascii="Arial" w:hAnsi="Arial" w:cs="Arial"/>
          <w:noProof/>
          <w14:ligatures w14:val="standardContextual"/>
        </w:rPr>
        <w:sectPr w:rsidR="00236A5B" w:rsidRPr="00F7228F" w:rsidSect="00CC00D1">
          <w:pgSz w:w="16838" w:h="11906" w:orient="landscape"/>
          <w:pgMar w:top="1440" w:right="1440" w:bottom="1440" w:left="1440" w:header="708" w:footer="708" w:gutter="0"/>
          <w:cols w:space="708"/>
          <w:docGrid w:linePitch="360"/>
        </w:sectPr>
      </w:pPr>
    </w:p>
    <w:p w14:paraId="02730003" w14:textId="77777777" w:rsidR="00236A5B" w:rsidRPr="00F7228F" w:rsidRDefault="00236A5B" w:rsidP="000B242D">
      <w:pPr>
        <w:spacing w:after="0" w:line="276" w:lineRule="auto"/>
        <w:rPr>
          <w:rFonts w:ascii="Arial" w:hAnsi="Arial" w:cs="Arial"/>
          <w:b/>
          <w:bCs/>
        </w:rPr>
      </w:pPr>
      <w:r w:rsidRPr="00F7228F">
        <w:rPr>
          <w:rFonts w:ascii="Arial" w:hAnsi="Arial" w:cs="Arial"/>
          <w:b/>
          <w:bCs/>
        </w:rPr>
        <w:lastRenderedPageBreak/>
        <w:t>Appendix S2 – Sensitivity Analyses of Regression Models for Principal Components</w:t>
      </w:r>
    </w:p>
    <w:p w14:paraId="10D415EF" w14:textId="77777777" w:rsidR="00236A5B" w:rsidRPr="00F7228F" w:rsidRDefault="00236A5B" w:rsidP="000B242D">
      <w:pPr>
        <w:spacing w:after="0" w:line="276" w:lineRule="auto"/>
        <w:rPr>
          <w:rFonts w:ascii="Arial" w:hAnsi="Arial" w:cs="Arial"/>
        </w:rPr>
      </w:pPr>
    </w:p>
    <w:p w14:paraId="335A3710" w14:textId="77777777" w:rsidR="00236A5B" w:rsidRPr="00F7228F" w:rsidRDefault="00236A5B" w:rsidP="000B242D">
      <w:pPr>
        <w:spacing w:after="0" w:line="276" w:lineRule="auto"/>
        <w:rPr>
          <w:rFonts w:ascii="Arial" w:hAnsi="Arial" w:cs="Arial"/>
        </w:rPr>
      </w:pPr>
      <w:r w:rsidRPr="00F7228F">
        <w:rPr>
          <w:rFonts w:ascii="Arial" w:hAnsi="Arial" w:cs="Arial"/>
        </w:rPr>
        <w:t xml:space="preserve">Multivariable regression was conducted for each outcome measure and each principal component adjusting for blood volume. Among CSF principal components, there were no significant associations with any outcome. Among plasma principal components, the significant associations were between the first plasma principal component and death, </w:t>
      </w:r>
      <w:proofErr w:type="spellStart"/>
      <w:r w:rsidRPr="00F7228F">
        <w:rPr>
          <w:rFonts w:ascii="Arial" w:hAnsi="Arial" w:cs="Arial"/>
        </w:rPr>
        <w:t>mRS</w:t>
      </w:r>
      <w:proofErr w:type="spellEnd"/>
      <w:r w:rsidRPr="00F7228F">
        <w:rPr>
          <w:rFonts w:ascii="Arial" w:hAnsi="Arial" w:cs="Arial"/>
        </w:rPr>
        <w:t xml:space="preserve"> score at day 180 and SAHOT scores at days 90 and 180, the second plasma principal component and SAHOT score at day 90, the third plasma principal component and DCI, and the fourth plasma principal component and </w:t>
      </w:r>
      <w:proofErr w:type="spellStart"/>
      <w:r w:rsidRPr="00F7228F">
        <w:rPr>
          <w:rFonts w:ascii="Arial" w:hAnsi="Arial" w:cs="Arial"/>
        </w:rPr>
        <w:t>mRS</w:t>
      </w:r>
      <w:proofErr w:type="spellEnd"/>
      <w:r w:rsidRPr="00F7228F">
        <w:rPr>
          <w:rFonts w:ascii="Arial" w:hAnsi="Arial" w:cs="Arial"/>
        </w:rPr>
        <w:t xml:space="preserve"> score at day 7. </w:t>
      </w:r>
    </w:p>
    <w:p w14:paraId="26FF2500" w14:textId="77777777" w:rsidR="00236A5B" w:rsidRPr="00F7228F" w:rsidRDefault="00236A5B" w:rsidP="000B242D">
      <w:pPr>
        <w:spacing w:after="0" w:line="276" w:lineRule="auto"/>
        <w:rPr>
          <w:rFonts w:ascii="Arial" w:hAnsi="Arial" w:cs="Arial"/>
        </w:rPr>
      </w:pPr>
    </w:p>
    <w:p w14:paraId="253B2FB8" w14:textId="77777777" w:rsidR="00236A5B" w:rsidRPr="00F7228F" w:rsidRDefault="00236A5B" w:rsidP="000B242D">
      <w:pPr>
        <w:spacing w:after="0" w:line="276" w:lineRule="auto"/>
        <w:rPr>
          <w:rFonts w:ascii="Arial" w:hAnsi="Arial" w:cs="Arial"/>
        </w:rPr>
      </w:pPr>
      <w:r w:rsidRPr="00F7228F">
        <w:rPr>
          <w:rFonts w:ascii="Arial" w:hAnsi="Arial" w:cs="Arial"/>
        </w:rPr>
        <w:t xml:space="preserve">Multivariable regression was conducted for each outcome measure and each principal component adjusting only for WFNS grade. Among CSF principal components, there were no significant associations with any outcome. Among plasma principal components, the significant associations were between the first plasma principal component and death, DCI, </w:t>
      </w:r>
      <w:proofErr w:type="spellStart"/>
      <w:r w:rsidRPr="00F7228F">
        <w:rPr>
          <w:rFonts w:ascii="Arial" w:hAnsi="Arial" w:cs="Arial"/>
        </w:rPr>
        <w:t>mRS</w:t>
      </w:r>
      <w:proofErr w:type="spellEnd"/>
      <w:r w:rsidRPr="00F7228F">
        <w:rPr>
          <w:rFonts w:ascii="Arial" w:hAnsi="Arial" w:cs="Arial"/>
        </w:rPr>
        <w:t xml:space="preserve"> score at day 180 and SAHOT scores at days 90 and 180, the third plasma principal component and death, DCI and </w:t>
      </w:r>
      <w:proofErr w:type="spellStart"/>
      <w:r w:rsidRPr="00F7228F">
        <w:rPr>
          <w:rFonts w:ascii="Arial" w:hAnsi="Arial" w:cs="Arial"/>
        </w:rPr>
        <w:t>mRS</w:t>
      </w:r>
      <w:proofErr w:type="spellEnd"/>
      <w:r w:rsidRPr="00F7228F">
        <w:rPr>
          <w:rFonts w:ascii="Arial" w:hAnsi="Arial" w:cs="Arial"/>
        </w:rPr>
        <w:t xml:space="preserve"> score at day 7, and the fourth plasma principal component and </w:t>
      </w:r>
      <w:proofErr w:type="spellStart"/>
      <w:r w:rsidRPr="00F7228F">
        <w:rPr>
          <w:rFonts w:ascii="Arial" w:hAnsi="Arial" w:cs="Arial"/>
        </w:rPr>
        <w:t>mRS</w:t>
      </w:r>
      <w:proofErr w:type="spellEnd"/>
      <w:r w:rsidRPr="00F7228F">
        <w:rPr>
          <w:rFonts w:ascii="Arial" w:hAnsi="Arial" w:cs="Arial"/>
        </w:rPr>
        <w:t xml:space="preserve"> score at day 7. </w:t>
      </w:r>
    </w:p>
    <w:p w14:paraId="6AA25A97" w14:textId="77777777" w:rsidR="00236A5B" w:rsidRPr="00F7228F" w:rsidRDefault="00236A5B" w:rsidP="000B242D">
      <w:pPr>
        <w:spacing w:after="0" w:line="276" w:lineRule="auto"/>
        <w:rPr>
          <w:rFonts w:ascii="Arial" w:hAnsi="Arial" w:cs="Arial"/>
        </w:rPr>
      </w:pPr>
    </w:p>
    <w:p w14:paraId="717A4E42" w14:textId="77777777" w:rsidR="00236A5B" w:rsidRPr="00F7228F" w:rsidRDefault="00236A5B" w:rsidP="000B242D">
      <w:pPr>
        <w:spacing w:after="0" w:line="276" w:lineRule="auto"/>
        <w:rPr>
          <w:rFonts w:ascii="Arial" w:hAnsi="Arial" w:cs="Arial"/>
        </w:rPr>
      </w:pPr>
      <w:r w:rsidRPr="00F7228F">
        <w:rPr>
          <w:rFonts w:ascii="Arial" w:hAnsi="Arial" w:cs="Arial"/>
        </w:rPr>
        <w:t xml:space="preserve">After adjusting for WFNS grade and CT blood volume, the association between the first plasma principal component and </w:t>
      </w:r>
      <w:proofErr w:type="spellStart"/>
      <w:r w:rsidRPr="00F7228F">
        <w:rPr>
          <w:rFonts w:ascii="Arial" w:hAnsi="Arial" w:cs="Arial"/>
        </w:rPr>
        <w:t>mRS</w:t>
      </w:r>
      <w:proofErr w:type="spellEnd"/>
      <w:r w:rsidRPr="00F7228F">
        <w:rPr>
          <w:rFonts w:ascii="Arial" w:hAnsi="Arial" w:cs="Arial"/>
        </w:rPr>
        <w:t xml:space="preserve"> 180 was weaker than the association between plasma IL-6 and </w:t>
      </w:r>
      <w:proofErr w:type="spellStart"/>
      <w:r w:rsidRPr="00F7228F">
        <w:rPr>
          <w:rFonts w:ascii="Arial" w:hAnsi="Arial" w:cs="Arial"/>
        </w:rPr>
        <w:t>mRS</w:t>
      </w:r>
      <w:proofErr w:type="spellEnd"/>
      <w:r w:rsidRPr="00F7228F">
        <w:rPr>
          <w:rFonts w:ascii="Arial" w:hAnsi="Arial" w:cs="Arial"/>
        </w:rPr>
        <w:t xml:space="preserve"> 180, and the model fit worse (AIC 311.562 vs 304.874). </w:t>
      </w:r>
    </w:p>
    <w:p w14:paraId="7C194065" w14:textId="77777777" w:rsidR="00236A5B" w:rsidRPr="00F7228F" w:rsidRDefault="00236A5B" w:rsidP="000B242D">
      <w:pPr>
        <w:spacing w:after="0" w:line="276" w:lineRule="auto"/>
        <w:rPr>
          <w:rFonts w:ascii="Arial" w:hAnsi="Arial" w:cs="Arial"/>
        </w:rPr>
      </w:pPr>
    </w:p>
    <w:p w14:paraId="6FC85DCC" w14:textId="77777777" w:rsidR="00236A5B" w:rsidRPr="00F7228F" w:rsidRDefault="00236A5B" w:rsidP="000B242D">
      <w:pPr>
        <w:spacing w:after="0" w:line="276" w:lineRule="auto"/>
        <w:rPr>
          <w:rFonts w:ascii="Arial" w:hAnsi="Arial" w:cs="Arial"/>
        </w:rPr>
      </w:pPr>
      <w:r w:rsidRPr="00F7228F">
        <w:rPr>
          <w:rFonts w:ascii="Arial" w:hAnsi="Arial" w:cs="Arial"/>
        </w:rPr>
        <w:t>Multivariable models were created that assessed the association between each outcome and principal components that were p&lt;0.1 on univariable analysis, CT blood volume and WFNS grade. For example, no principal component was significantly associated with death. The AIC of this model was 31.073. The model was simplified sequentially until the best AIC was achieved: 28.514. The predictors of death in this model were the first CSF principal component and the first plasma principal component; only the first plasma principal component was significantly associated with death (p = 0.024). The model was simplified sequentially further until all predictors were significantly associated with the outcome. The AIC of this model was 33.305. The predictor of death in this model was only the first plasma principal component (p = 0.015). To take another example, only the first plasma principal component (OR 1.525 [95% CI: 1.156 – 2.012 p = 0.003</w:t>
      </w:r>
      <w:proofErr w:type="gramStart"/>
      <w:r w:rsidRPr="00F7228F">
        <w:rPr>
          <w:rFonts w:ascii="Arial" w:hAnsi="Arial" w:cs="Arial"/>
        </w:rPr>
        <w:t>])  was</w:t>
      </w:r>
      <w:proofErr w:type="gramEnd"/>
      <w:r w:rsidRPr="00F7228F">
        <w:rPr>
          <w:rFonts w:ascii="Arial" w:hAnsi="Arial" w:cs="Arial"/>
        </w:rPr>
        <w:t xml:space="preserve"> significantly associated with </w:t>
      </w:r>
      <w:proofErr w:type="spellStart"/>
      <w:r w:rsidRPr="00F7228F">
        <w:rPr>
          <w:rFonts w:ascii="Arial" w:hAnsi="Arial" w:cs="Arial"/>
        </w:rPr>
        <w:t>mRS</w:t>
      </w:r>
      <w:proofErr w:type="spellEnd"/>
      <w:r w:rsidRPr="00F7228F">
        <w:rPr>
          <w:rFonts w:ascii="Arial" w:hAnsi="Arial" w:cs="Arial"/>
        </w:rPr>
        <w:t xml:space="preserve"> 180 score. The AIC of this model was 310.649. This was the model with the best AIC. The model was simplified sequentially further until all predictors were significantly associated with the outcome. The AIC of this model was 312.776. The predictor of </w:t>
      </w:r>
      <w:proofErr w:type="spellStart"/>
      <w:r w:rsidRPr="00F7228F">
        <w:rPr>
          <w:rFonts w:ascii="Arial" w:hAnsi="Arial" w:cs="Arial"/>
        </w:rPr>
        <w:t>mRS</w:t>
      </w:r>
      <w:proofErr w:type="spellEnd"/>
      <w:r w:rsidRPr="00F7228F">
        <w:rPr>
          <w:rFonts w:ascii="Arial" w:hAnsi="Arial" w:cs="Arial"/>
        </w:rPr>
        <w:t xml:space="preserve"> 180 score in this model was the first plasma principal component (p = 0.005) and CT blood volume (p = 0.003). </w:t>
      </w:r>
    </w:p>
    <w:p w14:paraId="74C345BB" w14:textId="77777777" w:rsidR="00236A5B" w:rsidRPr="00F7228F" w:rsidRDefault="00236A5B" w:rsidP="000B242D">
      <w:pPr>
        <w:spacing w:after="0" w:line="276" w:lineRule="auto"/>
        <w:rPr>
          <w:rFonts w:ascii="Arial" w:hAnsi="Arial" w:cs="Arial"/>
        </w:rPr>
      </w:pPr>
    </w:p>
    <w:p w14:paraId="0257030F" w14:textId="77777777" w:rsidR="00236A5B" w:rsidRPr="00F7228F" w:rsidRDefault="00236A5B" w:rsidP="000B242D">
      <w:pPr>
        <w:spacing w:after="0" w:line="276" w:lineRule="auto"/>
        <w:rPr>
          <w:rFonts w:ascii="Arial" w:hAnsi="Arial" w:cs="Arial"/>
          <w:b/>
          <w:bCs/>
        </w:rPr>
      </w:pPr>
      <w:r w:rsidRPr="00F7228F">
        <w:rPr>
          <w:rFonts w:ascii="Arial" w:hAnsi="Arial" w:cs="Arial"/>
          <w:b/>
          <w:bCs/>
        </w:rPr>
        <w:t>Supplementary Figure 5</w:t>
      </w:r>
      <w:bookmarkStart w:id="6" w:name="_Hlk157342928"/>
      <w:r w:rsidRPr="00F7228F">
        <w:rPr>
          <w:rFonts w:ascii="Arial" w:hAnsi="Arial" w:cs="Arial"/>
          <w:b/>
          <w:bCs/>
        </w:rPr>
        <w:t xml:space="preserve"> – An example of a pathway analysis model</w:t>
      </w:r>
    </w:p>
    <w:p w14:paraId="5F1D0E1F" w14:textId="77777777" w:rsidR="00236A5B" w:rsidRPr="00F7228F" w:rsidRDefault="00236A5B" w:rsidP="000B242D">
      <w:pPr>
        <w:spacing w:after="0" w:line="276" w:lineRule="auto"/>
        <w:rPr>
          <w:rFonts w:ascii="Arial" w:hAnsi="Arial" w:cs="Arial"/>
          <w:b/>
          <w:bCs/>
        </w:rPr>
      </w:pPr>
      <w:r w:rsidRPr="00F7228F">
        <w:rPr>
          <w:rFonts w:ascii="Arial" w:hAnsi="Arial" w:cs="Arial"/>
          <w:b/>
          <w:bCs/>
          <w:noProof/>
        </w:rPr>
        <mc:AlternateContent>
          <mc:Choice Requires="wps">
            <w:drawing>
              <wp:anchor distT="0" distB="0" distL="114300" distR="114300" simplePos="0" relativeHeight="251662336" behindDoc="0" locked="0" layoutInCell="1" allowOverlap="1" wp14:anchorId="61ECF5E1" wp14:editId="5AA1A575">
                <wp:simplePos x="0" y="0"/>
                <wp:positionH relativeFrom="column">
                  <wp:posOffset>730250</wp:posOffset>
                </wp:positionH>
                <wp:positionV relativeFrom="paragraph">
                  <wp:posOffset>373733</wp:posOffset>
                </wp:positionV>
                <wp:extent cx="1437217" cy="748524"/>
                <wp:effectExtent l="19050" t="38100" r="48895" b="33020"/>
                <wp:wrapNone/>
                <wp:docPr id="1948566869" name="Straight Arrow Connector 12"/>
                <wp:cNvGraphicFramePr/>
                <a:graphic xmlns:a="http://schemas.openxmlformats.org/drawingml/2006/main">
                  <a:graphicData uri="http://schemas.microsoft.com/office/word/2010/wordprocessingShape">
                    <wps:wsp>
                      <wps:cNvCnPr/>
                      <wps:spPr>
                        <a:xfrm flipV="1">
                          <a:off x="0" y="0"/>
                          <a:ext cx="1437217" cy="748524"/>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C052616" id="_x0000_t32" coordsize="21600,21600" o:spt="32" o:oned="t" path="m,l21600,21600e" filled="f">
                <v:path arrowok="t" fillok="f" o:connecttype="none"/>
                <o:lock v:ext="edit" shapetype="t"/>
              </v:shapetype>
              <v:shape id="Straight Arrow Connector 12" o:spid="_x0000_s1026" type="#_x0000_t32" style="position:absolute;margin-left:57.5pt;margin-top:29.45pt;width:113.15pt;height:58.9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" strokecolor="black [3200]" strokeweight="2.25pt">
                <v:stroke endarrow="block" joinstyle="miter"/>
              </v:shape>
            </w:pict>
          </mc:Fallback>
        </mc:AlternateContent>
      </w:r>
      <w:r w:rsidRPr="00F7228F">
        <w:rPr>
          <w:rFonts w:ascii="Arial" w:hAnsi="Arial" w:cs="Arial"/>
          <w:b/>
          <w:bCs/>
          <w:noProof/>
        </w:rPr>
        <mc:AlternateContent>
          <mc:Choice Requires="wps">
            <w:drawing>
              <wp:anchor distT="0" distB="0" distL="114300" distR="114300" simplePos="0" relativeHeight="251663360" behindDoc="0" locked="0" layoutInCell="1" allowOverlap="1" wp14:anchorId="065568DA" wp14:editId="15A42387">
                <wp:simplePos x="0" y="0"/>
                <wp:positionH relativeFrom="column">
                  <wp:posOffset>3541183</wp:posOffset>
                </wp:positionH>
                <wp:positionV relativeFrom="paragraph">
                  <wp:posOffset>373732</wp:posOffset>
                </wp:positionV>
                <wp:extent cx="1493661" cy="759883"/>
                <wp:effectExtent l="19050" t="19050" r="68580" b="40640"/>
                <wp:wrapNone/>
                <wp:docPr id="14" name="Straight Arrow Connector 13">
                  <a:extLst xmlns:a="http://schemas.openxmlformats.org/drawingml/2006/main">
                    <a:ext uri="{FF2B5EF4-FFF2-40B4-BE49-F238E27FC236}">
                      <a16:creationId xmlns:a16="http://schemas.microsoft.com/office/drawing/2014/main" id="{886D8354-1964-09E8-FC78-2DC1E28BB09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93661" cy="759883"/>
                        </a:xfrm>
                        <a:prstGeom prst="straightConnector1">
                          <a:avLst/>
                        </a:prstGeom>
                        <a:ln w="28575">
                          <a:prstDash val="solid"/>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466E1C" id="Straight Arrow Connector 13" o:spid="_x0000_s1026" type="#_x0000_t32" style="position:absolute;margin-left:278.85pt;margin-top:29.45pt;width:117.6pt;height:5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" strokecolor="black [3200]" strokeweight="2.25pt">
                <v:stroke endarrow="block" joinstyle="miter"/>
                <o:lock v:ext="edit" shapetype="f"/>
              </v:shape>
            </w:pict>
          </mc:Fallback>
        </mc:AlternateContent>
      </w:r>
      <w:r w:rsidRPr="00F7228F">
        <w:rPr>
          <w:rFonts w:ascii="Arial" w:hAnsi="Arial" w:cs="Arial"/>
          <w:b/>
          <w:bCs/>
          <w:noProof/>
        </w:rPr>
        <mc:AlternateContent>
          <mc:Choice Requires="wps">
            <w:drawing>
              <wp:anchor distT="0" distB="0" distL="114300" distR="114300" simplePos="0" relativeHeight="251664384" behindDoc="0" locked="0" layoutInCell="1" allowOverlap="1" wp14:anchorId="54F3AB96" wp14:editId="230A8684">
                <wp:simplePos x="0" y="0"/>
                <wp:positionH relativeFrom="column">
                  <wp:posOffset>1332089</wp:posOffset>
                </wp:positionH>
                <wp:positionV relativeFrom="paragraph">
                  <wp:posOffset>1571060</wp:posOffset>
                </wp:positionV>
                <wp:extent cx="3048000" cy="47977"/>
                <wp:effectExtent l="19050" t="57150" r="76200" b="85725"/>
                <wp:wrapNone/>
                <wp:docPr id="15" name="Straight Arrow Connector 14">
                  <a:extLst xmlns:a="http://schemas.openxmlformats.org/drawingml/2006/main">
                    <a:ext uri="{FF2B5EF4-FFF2-40B4-BE49-F238E27FC236}">
                      <a16:creationId xmlns:a16="http://schemas.microsoft.com/office/drawing/2014/main" id="{8912958A-FA2D-5BC1-EEC2-CA07D53BED93}"/>
                    </a:ext>
                  </a:extLst>
                </wp:docPr>
                <wp:cNvGraphicFramePr/>
                <a:graphic xmlns:a="http://schemas.openxmlformats.org/drawingml/2006/main">
                  <a:graphicData uri="http://schemas.microsoft.com/office/word/2010/wordprocessingShape">
                    <wps:wsp>
                      <wps:cNvCnPr/>
                      <wps:spPr>
                        <a:xfrm>
                          <a:off x="0" y="0"/>
                          <a:ext cx="3048000" cy="47977"/>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E3F9BE" id="Straight Arrow Connector 14" o:spid="_x0000_s1026" type="#_x0000_t32" style="position:absolute;margin-left:104.9pt;margin-top:123.7pt;width:240pt;height: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" strokecolor="black [3200]" strokeweight="2.25pt">
                <v:stroke endarrow="block" joinstyle="miter"/>
              </v:shape>
            </w:pict>
          </mc:Fallback>
        </mc:AlternateContent>
      </w:r>
      <w:r w:rsidRPr="00F7228F">
        <w:rPr>
          <w:rFonts w:ascii="Arial" w:hAnsi="Arial" w:cs="Arial"/>
          <w:b/>
          <w:bCs/>
          <w:noProof/>
        </w:rPr>
        <mc:AlternateContent>
          <mc:Choice Requires="wps">
            <w:drawing>
              <wp:anchor distT="0" distB="0" distL="114300" distR="114300" simplePos="0" relativeHeight="251661312" behindDoc="0" locked="0" layoutInCell="1" allowOverlap="1" wp14:anchorId="65D73471" wp14:editId="0C03BFA0">
                <wp:simplePos x="0" y="0"/>
                <wp:positionH relativeFrom="margin">
                  <wp:align>right</wp:align>
                </wp:positionH>
                <wp:positionV relativeFrom="paragraph">
                  <wp:posOffset>1128395</wp:posOffset>
                </wp:positionV>
                <wp:extent cx="1335880" cy="739941"/>
                <wp:effectExtent l="0" t="0" r="17145" b="22225"/>
                <wp:wrapNone/>
                <wp:docPr id="12" name="Rectangle 11">
                  <a:extLst xmlns:a="http://schemas.openxmlformats.org/drawingml/2006/main">
                    <a:ext uri="{FF2B5EF4-FFF2-40B4-BE49-F238E27FC236}">
                      <a16:creationId xmlns:a16="http://schemas.microsoft.com/office/drawing/2014/main" id="{DC28C147-E439-3C9E-D093-AB2C843A15B0}"/>
                    </a:ext>
                  </a:extLst>
                </wp:docPr>
                <wp:cNvGraphicFramePr/>
                <a:graphic xmlns:a="http://schemas.openxmlformats.org/drawingml/2006/main">
                  <a:graphicData uri="http://schemas.microsoft.com/office/word/2010/wordprocessingShape">
                    <wps:wsp>
                      <wps:cNvSpPr/>
                      <wps:spPr>
                        <a:xfrm>
                          <a:off x="0" y="0"/>
                          <a:ext cx="1335880" cy="73994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EB4252" w14:textId="77777777" w:rsidR="00236A5B" w:rsidRDefault="00236A5B" w:rsidP="00236A5B">
                            <w:pPr>
                              <w:jc w:val="center"/>
                              <w:rPr>
                                <w:rFonts w:asciiTheme="minorHAnsi" w:cstheme="minorBidi"/>
                                <w:b/>
                                <w:bCs/>
                                <w:color w:val="000000" w:themeColor="text1"/>
                                <w:kern w:val="24"/>
                                <w:sz w:val="36"/>
                                <w:szCs w:val="36"/>
                              </w:rPr>
                            </w:pPr>
                            <w:proofErr w:type="spellStart"/>
                            <w:r>
                              <w:rPr>
                                <w:rFonts w:asciiTheme="minorHAnsi" w:cstheme="minorBidi"/>
                                <w:b/>
                                <w:bCs/>
                                <w:color w:val="000000" w:themeColor="text1"/>
                                <w:kern w:val="24"/>
                                <w:sz w:val="36"/>
                                <w:szCs w:val="36"/>
                              </w:rPr>
                              <w:t>mRS</w:t>
                            </w:r>
                            <w:proofErr w:type="spellEnd"/>
                            <w:r>
                              <w:rPr>
                                <w:rFonts w:asciiTheme="minorHAnsi" w:cstheme="minorBidi"/>
                                <w:b/>
                                <w:bCs/>
                                <w:color w:val="000000" w:themeColor="text1"/>
                                <w:kern w:val="24"/>
                                <w:sz w:val="36"/>
                                <w:szCs w:val="36"/>
                              </w:rPr>
                              <w:t xml:space="preserve"> 180</w:t>
                            </w:r>
                          </w:p>
                        </w:txbxContent>
                      </wps:txbx>
                      <wps:bodyPr rtlCol="0" anchor="ctr"/>
                    </wps:wsp>
                  </a:graphicData>
                </a:graphic>
              </wp:anchor>
            </w:drawing>
          </mc:Choice>
          <mc:Fallback>
            <w:pict>
              <v:rect w14:anchorId="65D73471" id="Rectangle 11" o:spid="_x0000_s1030" style="position:absolute;margin-left:54pt;margin-top:88.85pt;width:105.2pt;height:58.25pt;z-index:251661312;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" fillcolor="white [3212]" strokecolor="#09101d [484]" strokeweight="1pt">
                <v:textbox>
                  <w:txbxContent>
                    <w:p w14:paraId="06EB4252" w14:textId="77777777" w:rsidR="00236A5B" w:rsidRDefault="00236A5B" w:rsidP="00236A5B">
                      <w:pPr>
                        <w:jc w:val="center"/>
                        <w:rPr>
                          <w:rFonts w:asciiTheme="minorHAnsi" w:cstheme="minorBidi"/>
                          <w:b/>
                          <w:bCs/>
                          <w:color w:val="000000" w:themeColor="text1"/>
                          <w:kern w:val="24"/>
                          <w:sz w:val="36"/>
                          <w:szCs w:val="36"/>
                        </w:rPr>
                      </w:pPr>
                      <w:r>
                        <w:rPr>
                          <w:rFonts w:asciiTheme="minorHAnsi" w:cstheme="minorBidi"/>
                          <w:b/>
                          <w:bCs/>
                          <w:color w:val="000000" w:themeColor="text1"/>
                          <w:kern w:val="24"/>
                          <w:sz w:val="36"/>
                          <w:szCs w:val="36"/>
                        </w:rPr>
                        <w:t>mRS 180</w:t>
                      </w:r>
                    </w:p>
                  </w:txbxContent>
                </v:textbox>
                <w10:wrap anchorx="margin"/>
              </v:rect>
            </w:pict>
          </mc:Fallback>
        </mc:AlternateContent>
      </w:r>
      <w:r w:rsidRPr="00F7228F">
        <w:rPr>
          <w:rFonts w:ascii="Arial" w:hAnsi="Arial" w:cs="Arial"/>
          <w:b/>
          <w:bCs/>
          <w:noProof/>
        </w:rPr>
        <mc:AlternateContent>
          <mc:Choice Requires="wps">
            <w:drawing>
              <wp:anchor distT="0" distB="0" distL="114300" distR="114300" simplePos="0" relativeHeight="251660288" behindDoc="0" locked="0" layoutInCell="1" allowOverlap="1" wp14:anchorId="06DB182C" wp14:editId="1E3B088F">
                <wp:simplePos x="0" y="0"/>
                <wp:positionH relativeFrom="margin">
                  <wp:align>center</wp:align>
                </wp:positionH>
                <wp:positionV relativeFrom="paragraph">
                  <wp:posOffset>10795</wp:posOffset>
                </wp:positionV>
                <wp:extent cx="1335880" cy="739941"/>
                <wp:effectExtent l="0" t="0" r="17145" b="22225"/>
                <wp:wrapNone/>
                <wp:docPr id="11" name="Rectangle 10">
                  <a:extLst xmlns:a="http://schemas.openxmlformats.org/drawingml/2006/main">
                    <a:ext uri="{FF2B5EF4-FFF2-40B4-BE49-F238E27FC236}">
                      <a16:creationId xmlns:a16="http://schemas.microsoft.com/office/drawing/2014/main" id="{DCA722BB-0CF3-8640-4A22-5F4902ACBCF0}"/>
                    </a:ext>
                  </a:extLst>
                </wp:docPr>
                <wp:cNvGraphicFramePr/>
                <a:graphic xmlns:a="http://schemas.openxmlformats.org/drawingml/2006/main">
                  <a:graphicData uri="http://schemas.microsoft.com/office/word/2010/wordprocessingShape">
                    <wps:wsp>
                      <wps:cNvSpPr/>
                      <wps:spPr>
                        <a:xfrm>
                          <a:off x="0" y="0"/>
                          <a:ext cx="1335880" cy="73994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A5BF1E0" w14:textId="77777777" w:rsidR="00236A5B" w:rsidRDefault="00236A5B" w:rsidP="00236A5B">
                            <w:pPr>
                              <w:jc w:val="center"/>
                              <w:rPr>
                                <w:rFonts w:asciiTheme="minorHAnsi" w:cstheme="minorBidi"/>
                                <w:b/>
                                <w:bCs/>
                                <w:color w:val="000000" w:themeColor="text1"/>
                                <w:kern w:val="24"/>
                                <w:sz w:val="36"/>
                                <w:szCs w:val="36"/>
                              </w:rPr>
                            </w:pPr>
                            <w:r>
                              <w:rPr>
                                <w:rFonts w:asciiTheme="minorHAnsi" w:cstheme="minorBidi"/>
                                <w:b/>
                                <w:bCs/>
                                <w:color w:val="000000" w:themeColor="text1"/>
                                <w:kern w:val="24"/>
                                <w:sz w:val="36"/>
                                <w:szCs w:val="36"/>
                              </w:rPr>
                              <w:t>Plasma IL-6</w:t>
                            </w:r>
                          </w:p>
                        </w:txbxContent>
                      </wps:txbx>
                      <wps:bodyPr rtlCol="0" anchor="ctr"/>
                    </wps:wsp>
                  </a:graphicData>
                </a:graphic>
              </wp:anchor>
            </w:drawing>
          </mc:Choice>
          <mc:Fallback>
            <w:pict>
              <v:rect w14:anchorId="06DB182C" id="Rectangle 10" o:spid="_x0000_s1031" style="position:absolute;margin-left:0;margin-top:.85pt;width:105.2pt;height:58.25pt;z-index:25166028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" fillcolor="white [3212]" strokecolor="#09101d [484]" strokeweight="1pt">
                <v:textbox>
                  <w:txbxContent>
                    <w:p w14:paraId="0A5BF1E0" w14:textId="77777777" w:rsidR="00236A5B" w:rsidRDefault="00236A5B" w:rsidP="00236A5B">
                      <w:pPr>
                        <w:jc w:val="center"/>
                        <w:rPr>
                          <w:rFonts w:asciiTheme="minorHAnsi" w:cstheme="minorBidi"/>
                          <w:b/>
                          <w:bCs/>
                          <w:color w:val="000000" w:themeColor="text1"/>
                          <w:kern w:val="24"/>
                          <w:sz w:val="36"/>
                          <w:szCs w:val="36"/>
                        </w:rPr>
                      </w:pPr>
                      <w:r>
                        <w:rPr>
                          <w:rFonts w:asciiTheme="minorHAnsi" w:cstheme="minorBidi"/>
                          <w:b/>
                          <w:bCs/>
                          <w:color w:val="000000" w:themeColor="text1"/>
                          <w:kern w:val="24"/>
                          <w:sz w:val="36"/>
                          <w:szCs w:val="36"/>
                        </w:rPr>
                        <w:t>Plasma IL-6</w:t>
                      </w:r>
                    </w:p>
                  </w:txbxContent>
                </v:textbox>
                <w10:wrap anchorx="margin"/>
              </v:rect>
            </w:pict>
          </mc:Fallback>
        </mc:AlternateContent>
      </w:r>
      <w:r w:rsidRPr="00F7228F">
        <w:rPr>
          <w:rFonts w:ascii="Arial" w:hAnsi="Arial" w:cs="Arial"/>
          <w:b/>
          <w:bCs/>
          <w:noProof/>
        </w:rPr>
        <mc:AlternateContent>
          <mc:Choice Requires="wps">
            <w:drawing>
              <wp:anchor distT="0" distB="0" distL="114300" distR="114300" simplePos="0" relativeHeight="251659264" behindDoc="0" locked="0" layoutInCell="1" allowOverlap="1" wp14:anchorId="59C40EBE" wp14:editId="51768316">
                <wp:simplePos x="0" y="0"/>
                <wp:positionH relativeFrom="column">
                  <wp:posOffset>0</wp:posOffset>
                </wp:positionH>
                <wp:positionV relativeFrom="paragraph">
                  <wp:posOffset>1128395</wp:posOffset>
                </wp:positionV>
                <wp:extent cx="1335880" cy="739941"/>
                <wp:effectExtent l="0" t="0" r="17145" b="22225"/>
                <wp:wrapNone/>
                <wp:docPr id="10" name="Rectangle 9">
                  <a:extLst xmlns:a="http://schemas.openxmlformats.org/drawingml/2006/main">
                    <a:ext uri="{FF2B5EF4-FFF2-40B4-BE49-F238E27FC236}">
                      <a16:creationId xmlns:a16="http://schemas.microsoft.com/office/drawing/2014/main" id="{2E6BFA40-68D5-94D0-9504-F2E626498A15}"/>
                    </a:ext>
                  </a:extLst>
                </wp:docPr>
                <wp:cNvGraphicFramePr/>
                <a:graphic xmlns:a="http://schemas.openxmlformats.org/drawingml/2006/main">
                  <a:graphicData uri="http://schemas.microsoft.com/office/word/2010/wordprocessingShape">
                    <wps:wsp>
                      <wps:cNvSpPr/>
                      <wps:spPr>
                        <a:xfrm>
                          <a:off x="0" y="0"/>
                          <a:ext cx="1335880" cy="739941"/>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45AC6B1" w14:textId="77777777" w:rsidR="00236A5B" w:rsidRDefault="00236A5B" w:rsidP="00236A5B">
                            <w:pPr>
                              <w:jc w:val="center"/>
                              <w:rPr>
                                <w:rFonts w:asciiTheme="minorHAnsi" w:cstheme="minorBidi"/>
                                <w:b/>
                                <w:bCs/>
                                <w:color w:val="000000" w:themeColor="text1"/>
                                <w:kern w:val="24"/>
                                <w:sz w:val="36"/>
                                <w:szCs w:val="36"/>
                              </w:rPr>
                            </w:pPr>
                            <w:r>
                              <w:rPr>
                                <w:rFonts w:asciiTheme="minorHAnsi" w:cstheme="minorBidi"/>
                                <w:b/>
                                <w:bCs/>
                                <w:color w:val="000000" w:themeColor="text1"/>
                                <w:kern w:val="24"/>
                                <w:sz w:val="36"/>
                                <w:szCs w:val="36"/>
                              </w:rPr>
                              <w:t>Blood Volume</w:t>
                            </w:r>
                          </w:p>
                        </w:txbxContent>
                      </wps:txbx>
                      <wps:bodyPr rtlCol="0" anchor="ctr"/>
                    </wps:wsp>
                  </a:graphicData>
                </a:graphic>
              </wp:anchor>
            </w:drawing>
          </mc:Choice>
          <mc:Fallback>
            <w:pict>
              <v:rect w14:anchorId="59C40EBE" id="Rectangle 9" o:spid="_x0000_s1032" style="position:absolute;margin-left:0;margin-top:88.85pt;width:105.2pt;height:5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" fillcolor="white [3212]" strokecolor="#09101d [484]" strokeweight="1pt">
                <v:textbox>
                  <w:txbxContent>
                    <w:p w14:paraId="045AC6B1" w14:textId="77777777" w:rsidR="00236A5B" w:rsidRDefault="00236A5B" w:rsidP="00236A5B">
                      <w:pPr>
                        <w:jc w:val="center"/>
                        <w:rPr>
                          <w:rFonts w:asciiTheme="minorHAnsi" w:cstheme="minorBidi"/>
                          <w:b/>
                          <w:bCs/>
                          <w:color w:val="000000" w:themeColor="text1"/>
                          <w:kern w:val="24"/>
                          <w:sz w:val="36"/>
                          <w:szCs w:val="36"/>
                        </w:rPr>
                      </w:pPr>
                      <w:r>
                        <w:rPr>
                          <w:rFonts w:asciiTheme="minorHAnsi" w:cstheme="minorBidi"/>
                          <w:b/>
                          <w:bCs/>
                          <w:color w:val="000000" w:themeColor="text1"/>
                          <w:kern w:val="24"/>
                          <w:sz w:val="36"/>
                          <w:szCs w:val="36"/>
                        </w:rPr>
                        <w:t>Blood Volume</w:t>
                      </w:r>
                    </w:p>
                  </w:txbxContent>
                </v:textbox>
              </v:rect>
            </w:pict>
          </mc:Fallback>
        </mc:AlternateContent>
      </w:r>
    </w:p>
    <w:bookmarkEnd w:id="6"/>
    <w:p w14:paraId="60AF34CA" w14:textId="7525E6FC" w:rsidR="00AA72C0" w:rsidRPr="00F7228F" w:rsidRDefault="00AA72C0" w:rsidP="000B242D">
      <w:pPr>
        <w:spacing w:after="0"/>
      </w:pPr>
    </w:p>
    <w:p w14:paraId="71004E39" w14:textId="77777777" w:rsidR="00236A5B" w:rsidRPr="00F7228F" w:rsidRDefault="00236A5B" w:rsidP="000B242D">
      <w:pPr>
        <w:spacing w:after="0"/>
      </w:pPr>
    </w:p>
    <w:p w14:paraId="4835891F" w14:textId="77777777" w:rsidR="00236A5B" w:rsidRPr="00F7228F" w:rsidRDefault="00236A5B" w:rsidP="000B242D">
      <w:pPr>
        <w:spacing w:after="0"/>
      </w:pPr>
    </w:p>
    <w:p w14:paraId="7648A413" w14:textId="77777777" w:rsidR="00236A5B" w:rsidRPr="00F7228F" w:rsidRDefault="00236A5B" w:rsidP="000B242D">
      <w:pPr>
        <w:spacing w:after="0"/>
      </w:pPr>
    </w:p>
    <w:p w14:paraId="61ABC853" w14:textId="77777777" w:rsidR="00236A5B" w:rsidRPr="00F7228F" w:rsidRDefault="00236A5B" w:rsidP="000B242D">
      <w:pPr>
        <w:spacing w:after="0"/>
        <w:rPr>
          <w:rFonts w:ascii="Arial" w:hAnsi="Arial" w:cs="Arial"/>
          <w:b/>
          <w:bCs/>
        </w:rPr>
        <w:sectPr w:rsidR="00236A5B" w:rsidRPr="00F7228F" w:rsidSect="00CC00D1">
          <w:pgSz w:w="11906" w:h="16838"/>
          <w:pgMar w:top="1440" w:right="1440" w:bottom="1440" w:left="1440" w:header="708" w:footer="708" w:gutter="0"/>
          <w:cols w:space="708"/>
          <w:docGrid w:linePitch="360"/>
        </w:sectPr>
      </w:pPr>
    </w:p>
    <w:p w14:paraId="79543B4A" w14:textId="2F788DEE" w:rsidR="00236A5B" w:rsidRPr="00F7228F" w:rsidRDefault="00236A5B" w:rsidP="000B242D">
      <w:pPr>
        <w:spacing w:after="0"/>
        <w:rPr>
          <w:rFonts w:ascii="Arial" w:hAnsi="Arial" w:cs="Arial"/>
          <w:b/>
          <w:bCs/>
          <w:iCs/>
        </w:rPr>
      </w:pPr>
      <w:r w:rsidRPr="00F7228F">
        <w:rPr>
          <w:rFonts w:ascii="Arial" w:hAnsi="Arial" w:cs="Arial"/>
          <w:b/>
          <w:bCs/>
        </w:rPr>
        <w:lastRenderedPageBreak/>
        <w:t xml:space="preserve">Supplementary Table </w:t>
      </w:r>
      <w:r w:rsidR="00E2585B" w:rsidRPr="00F7228F">
        <w:rPr>
          <w:rFonts w:ascii="Arial" w:hAnsi="Arial" w:cs="Arial"/>
          <w:b/>
          <w:bCs/>
        </w:rPr>
        <w:t>8</w:t>
      </w:r>
      <w:r w:rsidRPr="00F7228F">
        <w:rPr>
          <w:rFonts w:ascii="Arial" w:hAnsi="Arial" w:cs="Arial"/>
          <w:b/>
          <w:bCs/>
        </w:rPr>
        <w:t xml:space="preserve"> – </w:t>
      </w:r>
      <w:r w:rsidRPr="00F7228F">
        <w:rPr>
          <w:rFonts w:ascii="Arial" w:hAnsi="Arial" w:cs="Arial"/>
          <w:b/>
          <w:bCs/>
          <w:iCs/>
        </w:rPr>
        <w:t>Characteristics of studies evaluating the association of cytokines with outcomes in patients with subarachnoid haemorrhage</w:t>
      </w:r>
    </w:p>
    <w:tbl>
      <w:tblPr>
        <w:tblW w:w="5000" w:type="pct"/>
        <w:tblLayout w:type="fixed"/>
        <w:tblLook w:val="04A0" w:firstRow="1" w:lastRow="0" w:firstColumn="1" w:lastColumn="0" w:noHBand="0" w:noVBand="1"/>
      </w:tblPr>
      <w:tblGrid>
        <w:gridCol w:w="1708"/>
        <w:gridCol w:w="1135"/>
        <w:gridCol w:w="1559"/>
        <w:gridCol w:w="1400"/>
        <w:gridCol w:w="1843"/>
        <w:gridCol w:w="1325"/>
        <w:gridCol w:w="1682"/>
        <w:gridCol w:w="1598"/>
        <w:gridCol w:w="1693"/>
      </w:tblGrid>
      <w:tr w:rsidR="00236A5B" w:rsidRPr="00F7228F" w14:paraId="3048052C" w14:textId="77777777" w:rsidTr="00236A5B">
        <w:trPr>
          <w:trHeight w:val="1104"/>
        </w:trPr>
        <w:tc>
          <w:tcPr>
            <w:tcW w:w="612"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2F737C1F"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Study ID</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6D7D03"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Number of patients </w:t>
            </w:r>
          </w:p>
        </w:tc>
        <w:tc>
          <w:tcPr>
            <w:tcW w:w="559" w:type="pct"/>
            <w:tcBorders>
              <w:top w:val="single" w:sz="4" w:space="0" w:color="auto"/>
              <w:left w:val="nil"/>
              <w:bottom w:val="single" w:sz="4" w:space="0" w:color="auto"/>
              <w:right w:val="single" w:sz="4" w:space="0" w:color="auto"/>
            </w:tcBorders>
            <w:shd w:val="clear" w:color="auto" w:fill="auto"/>
            <w:vAlign w:val="center"/>
            <w:hideMark/>
          </w:tcPr>
          <w:p w14:paraId="0F61CE6F"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Study design</w:t>
            </w:r>
          </w:p>
        </w:tc>
        <w:tc>
          <w:tcPr>
            <w:tcW w:w="502" w:type="pct"/>
            <w:tcBorders>
              <w:top w:val="single" w:sz="4" w:space="0" w:color="auto"/>
              <w:left w:val="nil"/>
              <w:bottom w:val="single" w:sz="4" w:space="0" w:color="auto"/>
              <w:right w:val="single" w:sz="4" w:space="0" w:color="auto"/>
            </w:tcBorders>
            <w:shd w:val="clear" w:color="auto" w:fill="auto"/>
            <w:vAlign w:val="center"/>
            <w:hideMark/>
          </w:tcPr>
          <w:p w14:paraId="363932FE" w14:textId="6EB18565"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Cytokines (/their receptors) measured</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4B661CBB"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Compartments sampled </w:t>
            </w:r>
          </w:p>
        </w:tc>
        <w:tc>
          <w:tcPr>
            <w:tcW w:w="475" w:type="pct"/>
            <w:tcBorders>
              <w:top w:val="single" w:sz="4" w:space="0" w:color="auto"/>
              <w:left w:val="nil"/>
              <w:bottom w:val="single" w:sz="4" w:space="0" w:color="auto"/>
              <w:right w:val="single" w:sz="4" w:space="0" w:color="auto"/>
            </w:tcBorders>
            <w:shd w:val="clear" w:color="auto" w:fill="auto"/>
            <w:vAlign w:val="center"/>
            <w:hideMark/>
          </w:tcPr>
          <w:p w14:paraId="2768FF56"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Timing of sampling</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02185213"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Trend in levels</w:t>
            </w:r>
          </w:p>
        </w:tc>
        <w:tc>
          <w:tcPr>
            <w:tcW w:w="573" w:type="pct"/>
            <w:tcBorders>
              <w:top w:val="single" w:sz="4" w:space="0" w:color="auto"/>
              <w:left w:val="nil"/>
              <w:bottom w:val="single" w:sz="4" w:space="0" w:color="auto"/>
              <w:right w:val="single" w:sz="4" w:space="0" w:color="auto"/>
            </w:tcBorders>
            <w:shd w:val="clear" w:color="auto" w:fill="auto"/>
            <w:vAlign w:val="center"/>
            <w:hideMark/>
          </w:tcPr>
          <w:p w14:paraId="7A114F7B"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Outcomes examined (and timepoints)</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052324D0" w14:textId="777777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Associations reported</w:t>
            </w:r>
          </w:p>
        </w:tc>
      </w:tr>
      <w:tr w:rsidR="00236A5B" w:rsidRPr="00F7228F" w14:paraId="54DF6F34"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5FB3902" w14:textId="538C8FD3"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Mathiesen et al., 1993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{"citationItems":[{"id":"ITEM-1","itemData":{"DOI":"10.3171/JNS.1993.78.4.0562","ISSN":"0022-3085","PMID":"8450329","abstract":"Serum and cerebrospinal fluid (CSF) samples from 12 patients were analyzed for interleukin (IL)-6, soluble IL-2 receptor (IL-2R), and soluble CD8 levels in order to determine the immune activation profile following subarachnoid hemorrhage (SAH). Dramatically increased levels of IL-6 and moderate increases of soluble IL-2R were detected in the CSF in 11 of the 12 patients; slightly elevated levels of soluble CD8 were observed in six patients. The IL-6 levels were higher on Day 6 than on Days 3 and 9. The increases in IL- 6, soluble IL-2R, and soluble CD8 levels in the CSF samples were not paralleled by increased values in the serum samples, and thus probably reflected an intrathecal synthesis of the cytokine. Passive transfer of IL-6 across the blood-brain barrier seemed not to occur since the serum and CSF levels of IL-6 showed a negative correlation. The findings suggest a severe inflammatory affection of the central nervous system that could be of importance in understanding the clinical course in patients following SAH.","author":[{"dropping-particle":"","family":"Mathiesen","given":"T.","non-dropping-particle":"","parse-names":false,"suffix":""},{"dropping-particle":"","family":"Andersson","given":"B.","non-dropping-particle":"","parse-names":false,"suffix":""},{"dropping-particle":"","family":"Loftenius","given":"A.","non-dropping-particle":"","parse-names":false,"suffix":""},{"dropping-particle":"","family":"Holst","given":"H.","non-dropping-particle":"Von","parse-names":false,"suffix":""}],"container-title":"Journal of neurosurgery","id":"ITEM-1","issue":"4","issued":{"date-parts":[["1993"]]},"page":"562-567","publisher":"J Neurosurg","title":"Increased interleukin-6 levels in cerebrospinal fluid following subarachnoid hemorrhage","type":"article-journal","volume":"78"},"uris":["http://www.mendeley.com/documents/?uuid=c331c873-cfff-3eb1-b851-5f21c6d2b0d1"]}],"mendeley":{"formattedCitation":"(1)","plainTextFormattedCitation":"(1)","previouslyFormattedCitation":"(1)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1C6DB4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12 SAH</w:t>
            </w:r>
          </w:p>
        </w:tc>
        <w:tc>
          <w:tcPr>
            <w:tcW w:w="559" w:type="pct"/>
            <w:tcBorders>
              <w:top w:val="nil"/>
              <w:left w:val="nil"/>
              <w:bottom w:val="single" w:sz="4" w:space="0" w:color="auto"/>
              <w:right w:val="single" w:sz="4" w:space="0" w:color="auto"/>
            </w:tcBorders>
            <w:shd w:val="clear" w:color="auto" w:fill="auto"/>
            <w:vAlign w:val="center"/>
            <w:hideMark/>
          </w:tcPr>
          <w:p w14:paraId="64D69BD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Prospective cohort study </w:t>
            </w:r>
          </w:p>
        </w:tc>
        <w:tc>
          <w:tcPr>
            <w:tcW w:w="502" w:type="pct"/>
            <w:tcBorders>
              <w:top w:val="nil"/>
              <w:left w:val="nil"/>
              <w:bottom w:val="single" w:sz="4" w:space="0" w:color="auto"/>
              <w:right w:val="single" w:sz="4" w:space="0" w:color="auto"/>
            </w:tcBorders>
            <w:shd w:val="clear" w:color="auto" w:fill="auto"/>
            <w:vAlign w:val="center"/>
            <w:hideMark/>
          </w:tcPr>
          <w:p w14:paraId="1826572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11EA8CA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6E21899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3, 6, 9</w:t>
            </w:r>
          </w:p>
        </w:tc>
        <w:tc>
          <w:tcPr>
            <w:tcW w:w="603" w:type="pct"/>
            <w:tcBorders>
              <w:top w:val="nil"/>
              <w:left w:val="nil"/>
              <w:bottom w:val="single" w:sz="4" w:space="0" w:color="auto"/>
              <w:right w:val="single" w:sz="4" w:space="0" w:color="auto"/>
            </w:tcBorders>
            <w:shd w:val="clear" w:color="auto" w:fill="auto"/>
            <w:vAlign w:val="center"/>
            <w:hideMark/>
          </w:tcPr>
          <w:p w14:paraId="17A8AA9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showed a marked increase in CSF (up to 300-fold) after SAH. This was not paralleled by a systemic increase of IL-6 in plasma</w:t>
            </w:r>
          </w:p>
        </w:tc>
        <w:tc>
          <w:tcPr>
            <w:tcW w:w="573" w:type="pct"/>
            <w:tcBorders>
              <w:top w:val="nil"/>
              <w:left w:val="nil"/>
              <w:bottom w:val="single" w:sz="4" w:space="0" w:color="auto"/>
              <w:right w:val="single" w:sz="4" w:space="0" w:color="auto"/>
            </w:tcBorders>
            <w:shd w:val="clear" w:color="auto" w:fill="auto"/>
            <w:vAlign w:val="center"/>
            <w:hideMark/>
          </w:tcPr>
          <w:p w14:paraId="3CA648F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Delayed ischemic deficit (</w:t>
            </w:r>
            <w:proofErr w:type="gramStart"/>
            <w:r w:rsidRPr="00F7228F">
              <w:rPr>
                <w:rFonts w:ascii="Arial" w:eastAsia="Times New Roman" w:hAnsi="Arial" w:cs="Arial"/>
                <w:color w:val="000000"/>
              </w:rPr>
              <w:t>DID)  at</w:t>
            </w:r>
            <w:proofErr w:type="gramEnd"/>
            <w:r w:rsidRPr="00F7228F">
              <w:rPr>
                <w:rFonts w:ascii="Arial" w:eastAsia="Times New Roman" w:hAnsi="Arial" w:cs="Arial"/>
                <w:color w:val="000000"/>
              </w:rPr>
              <w:t xml:space="preserve">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5248FB5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Mean CSF IL-6 in patients with DID </w:t>
            </w:r>
            <w:proofErr w:type="gramStart"/>
            <w:r w:rsidRPr="00F7228F">
              <w:rPr>
                <w:rFonts w:ascii="Arial" w:eastAsia="Times New Roman" w:hAnsi="Arial" w:cs="Arial"/>
                <w:color w:val="000000"/>
              </w:rPr>
              <w:t>increased</w:t>
            </w:r>
            <w:proofErr w:type="gramEnd"/>
            <w:r w:rsidRPr="00F7228F">
              <w:rPr>
                <w:rFonts w:ascii="Arial" w:eastAsia="Times New Roman" w:hAnsi="Arial" w:cs="Arial"/>
                <w:color w:val="000000"/>
              </w:rPr>
              <w:t xml:space="preserve"> significantly</w:t>
            </w:r>
          </w:p>
        </w:tc>
      </w:tr>
      <w:tr w:rsidR="00236A5B" w:rsidRPr="00F7228F" w14:paraId="720FAE3E"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ABA10FC" w14:textId="0BBFB182"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Kikuchi et al., 1995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{"citationItems":[{"id":"ITEM-1","itemData":{"DOI":"10.1080/01616412.1995.11740296","ISSN":"0161-6412","PMID":"7609845","abstract":"Pathophysiological mechanisms for vasospasm after subarachnoid haemorrhage (SAH) remain unclear and, so far, roles of cytokines in vasospasm have not been known. In the present study, we measured interleukin-1α (IL-1α), interleukin-1β (IL-1β), interleukin-6 (IL-6), interleukin-8 (IL-8), and tumour necrosis factor-α (TNF-α) concentrations in the cerebrospinal fluid (CSF) of patients with subarachnoid haemorrhage (SAH). ELISA assay were performed on 21 CSF samples from 7 patients with SAH and on 4 sera samples. Both IL-6 and IL-8 were detected in all CSF samples, but IL-1α, IL-1β, and TNF-α were not detected. IL-6 and IL-8 were also detected in sera, but at much lower concentrations. This study indicates that IL-6 and IL-8 may play roles as immunomodulators in patients with SAH. In addition, it has been reported that IL-6 inhibits prostaglandin I2 production and increases the mRNA level of c-sis gene, suggesting that IL-6 may play an important role in vasospasm as vasoconstrictor.","author":[{"dropping-particle":"","family":"Kikuchi","given":"T.","non-dropping-particle":"","parse-names":false,"suffix":""},{"dropping-particle":"","family":"Okuda","given":"Y.","non-dropping-particle":"","parse-names":false,"suffix":""},{"dropping-particle":"","family":"Kaito","given":"N.","non-dropping-particle":"","parse-names":false,"suffix":""},{"dropping-particle":"","family":"Abe","given":"T.","non-dropping-particle":"","parse-names":false,"suffix":""}],"container-title":"Neurological research","id":"ITEM-1","issue":"2","issued":{"date-parts":[["1995"]]},"page":"106-108","publisher":"Neurol Res","title":"Cytokine production in cerebrospinal fluid after subarachnoid haemorrhage","type":"article-journal","volume":"17"},"uris":["http://www.mendeley.com/documents/?uuid=f2bd4311-f6fc-3534-9462-e7879f989b34"]}],"mendeley":{"formattedCitation":"(2)","plainTextFormattedCitation":"(2)","previouslyFormattedCitation":"(2)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F2A470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7 SAH</w:t>
            </w:r>
          </w:p>
        </w:tc>
        <w:tc>
          <w:tcPr>
            <w:tcW w:w="559" w:type="pct"/>
            <w:tcBorders>
              <w:top w:val="nil"/>
              <w:left w:val="nil"/>
              <w:bottom w:val="single" w:sz="4" w:space="0" w:color="auto"/>
              <w:right w:val="single" w:sz="4" w:space="0" w:color="auto"/>
            </w:tcBorders>
            <w:shd w:val="clear" w:color="auto" w:fill="auto"/>
            <w:vAlign w:val="center"/>
            <w:hideMark/>
          </w:tcPr>
          <w:p w14:paraId="43F382D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FEFBEB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IL-1α, IL-1β, IL-6, IL-8, TNF-α</w:t>
            </w:r>
          </w:p>
        </w:tc>
        <w:tc>
          <w:tcPr>
            <w:tcW w:w="661" w:type="pct"/>
            <w:tcBorders>
              <w:top w:val="nil"/>
              <w:left w:val="nil"/>
              <w:bottom w:val="single" w:sz="4" w:space="0" w:color="auto"/>
              <w:right w:val="single" w:sz="4" w:space="0" w:color="auto"/>
            </w:tcBorders>
            <w:shd w:val="clear" w:color="auto" w:fill="auto"/>
            <w:vAlign w:val="center"/>
            <w:hideMark/>
          </w:tcPr>
          <w:p w14:paraId="5B750E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34B8888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3-4, 7-8, 13-14</w:t>
            </w:r>
          </w:p>
        </w:tc>
        <w:tc>
          <w:tcPr>
            <w:tcW w:w="603" w:type="pct"/>
            <w:tcBorders>
              <w:top w:val="nil"/>
              <w:left w:val="nil"/>
              <w:bottom w:val="single" w:sz="4" w:space="0" w:color="auto"/>
              <w:right w:val="single" w:sz="4" w:space="0" w:color="auto"/>
            </w:tcBorders>
            <w:shd w:val="clear" w:color="auto" w:fill="auto"/>
            <w:vAlign w:val="center"/>
            <w:hideMark/>
          </w:tcPr>
          <w:p w14:paraId="265A7DB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 concentrations of IL-6 and IL-8 - but not the other cytokines - in the CSF after SAH are much higher than in the serum</w:t>
            </w:r>
          </w:p>
        </w:tc>
        <w:tc>
          <w:tcPr>
            <w:tcW w:w="573" w:type="pct"/>
            <w:tcBorders>
              <w:top w:val="nil"/>
              <w:left w:val="nil"/>
              <w:bottom w:val="single" w:sz="4" w:space="0" w:color="auto"/>
              <w:right w:val="single" w:sz="4" w:space="0" w:color="auto"/>
            </w:tcBorders>
            <w:shd w:val="clear" w:color="auto" w:fill="auto"/>
            <w:vAlign w:val="center"/>
            <w:hideMark/>
          </w:tcPr>
          <w:p w14:paraId="78955A59" w14:textId="77777777" w:rsidR="00236A5B" w:rsidRPr="00F7228F" w:rsidRDefault="00236A5B" w:rsidP="000B242D">
            <w:pPr>
              <w:spacing w:after="0" w:line="240" w:lineRule="auto"/>
              <w:jc w:val="center"/>
              <w:rPr>
                <w:rFonts w:ascii="Arial" w:eastAsia="Times New Roman" w:hAnsi="Arial" w:cs="Arial"/>
                <w:color w:val="000000"/>
              </w:rPr>
            </w:pPr>
            <w:proofErr w:type="gramStart"/>
            <w:r w:rsidRPr="00F7228F">
              <w:rPr>
                <w:rFonts w:ascii="Arial" w:eastAsia="Times New Roman" w:hAnsi="Arial" w:cs="Arial"/>
                <w:color w:val="000000"/>
              </w:rPr>
              <w:t>DID  at</w:t>
            </w:r>
            <w:proofErr w:type="gramEnd"/>
            <w:r w:rsidRPr="00F7228F">
              <w:rPr>
                <w:rFonts w:ascii="Arial" w:eastAsia="Times New Roman" w:hAnsi="Arial" w:cs="Arial"/>
                <w:color w:val="000000"/>
              </w:rPr>
              <w:t xml:space="preserve">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14B8011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727D2348"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E9C7243" w14:textId="4D76427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Hirashima et al., 1997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{"citationItems":[{"id":"ITEM-1","itemData":{"DOI":"10.1023/A:1021985030331","ISSN":"0364-3190","PMID":"9342729","abstract":"The aim of the present study was to examine the changes of inflammatory and coagulation factors in blood of the internal jugular vein, not of peripheral vein, in patients with subarachnoid hemorrhage (SAH). The results show that while interleukin-6 (IL-6) and platelet activating factor (PAF) concentrations increased within first 4 days after SAH and remained elevated up to 14 days, interleukin-1 β (IL-1 β) showed a transient increase between 5-9 days after SAH and tumor necrosis factor-α (TNF-α) remained unchanged. Also different coagulation factors were increased between 5-9 days after SAH. Moreover, patients with delayed ischemic neurological deficits (DIND) displayed the highest levels of PAF and the coagulation factors, yon Willebrand factor (vWF) and thrombin-antithrombin III complex (TAT). These results suggest that elevation of PAF and other inflammatory cytokines following SAH may cause the hypercoagulation state that is associated with cerebral vasospasm and internal jugular vein may be more adequate vessel for sampling blood to examine these factors.","author":[{"dropping-particle":"","family":"Hirashima","given":"Yutaka","non-dropping-particle":"","parse-names":false,"suffix":""},{"dropping-particle":"","family":"Nakamura","given":"Shin","non-dropping-particle":"","parse-names":false,"suffix":""},{"dropping-particle":"","family":"Endo","given":"Shunro","non-dropping-particle":"","parse-names":false,"suffix":""},{"dropping-particle":"","family":"Kuwayama","given":"Naoya","non-dropping-particle":"","parse-names":false,"suffix":""},{"dropping-particle":"","family":"Naruse","given":"Yuchi","non-dropping-particle":"","parse-names":false,"suffix":""},{"dropping-particle":"","family":"Takaku","given":"Akira","non-dropping-particle":"","parse-names":false,"suffix":""}],"container-title":"Neurochemical research","id":"ITEM-1","issue":"10","issued":{"date-parts":[["1997"]]},"page":"1249-1255","publisher":"Neurochem Res","title":"Elevation of platelet activating factor, inflammatory cytokines, and coagulation factors in the internal jugular vein of patients with subarachnoid hemorrhage","type":"article-journal","volume":"22"},"uris":["http://www.mendeley.com/documents/?uuid=8773654d-9fac-3979-a1ed-f34272c9f095"]}],"mendeley":{"formattedCitation":"(3)","plainTextFormattedCitation":"(3)","previouslyFormattedCitation":"(3)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2D86A5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21 SAH</w:t>
            </w:r>
          </w:p>
        </w:tc>
        <w:tc>
          <w:tcPr>
            <w:tcW w:w="559" w:type="pct"/>
            <w:tcBorders>
              <w:top w:val="nil"/>
              <w:left w:val="nil"/>
              <w:bottom w:val="single" w:sz="4" w:space="0" w:color="auto"/>
              <w:right w:val="single" w:sz="4" w:space="0" w:color="auto"/>
            </w:tcBorders>
            <w:shd w:val="clear" w:color="auto" w:fill="auto"/>
            <w:vAlign w:val="center"/>
            <w:hideMark/>
          </w:tcPr>
          <w:p w14:paraId="3374DBC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51F6BE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TNF-α</w:t>
            </w:r>
          </w:p>
        </w:tc>
        <w:tc>
          <w:tcPr>
            <w:tcW w:w="661" w:type="pct"/>
            <w:tcBorders>
              <w:top w:val="nil"/>
              <w:left w:val="nil"/>
              <w:bottom w:val="single" w:sz="4" w:space="0" w:color="auto"/>
              <w:right w:val="single" w:sz="4" w:space="0" w:color="auto"/>
            </w:tcBorders>
            <w:shd w:val="clear" w:color="auto" w:fill="auto"/>
            <w:vAlign w:val="center"/>
            <w:hideMark/>
          </w:tcPr>
          <w:p w14:paraId="417A7EB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135CF6F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4, </w:t>
            </w:r>
            <w:proofErr w:type="gramStart"/>
            <w:r w:rsidRPr="00F7228F">
              <w:rPr>
                <w:rFonts w:ascii="Arial" w:eastAsia="Times New Roman" w:hAnsi="Arial" w:cs="Arial"/>
                <w:color w:val="000000"/>
              </w:rPr>
              <w:t>5,  9</w:t>
            </w:r>
            <w:proofErr w:type="gramEnd"/>
            <w:r w:rsidRPr="00F7228F">
              <w:rPr>
                <w:rFonts w:ascii="Arial" w:eastAsia="Times New Roman" w:hAnsi="Arial" w:cs="Arial"/>
                <w:color w:val="000000"/>
              </w:rPr>
              <w:t>, 10, 14</w:t>
            </w:r>
          </w:p>
        </w:tc>
        <w:tc>
          <w:tcPr>
            <w:tcW w:w="603" w:type="pct"/>
            <w:tcBorders>
              <w:top w:val="nil"/>
              <w:left w:val="nil"/>
              <w:bottom w:val="single" w:sz="4" w:space="0" w:color="auto"/>
              <w:right w:val="single" w:sz="4" w:space="0" w:color="auto"/>
            </w:tcBorders>
            <w:shd w:val="clear" w:color="auto" w:fill="auto"/>
            <w:vAlign w:val="center"/>
            <w:hideMark/>
          </w:tcPr>
          <w:p w14:paraId="707C626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IL-6 concentrations increased within the first 4 days after SAH and remained elevated up to </w:t>
            </w:r>
            <w:r w:rsidRPr="00F7228F">
              <w:rPr>
                <w:rFonts w:ascii="Arial" w:eastAsia="Times New Roman" w:hAnsi="Arial" w:cs="Arial"/>
                <w:color w:val="000000"/>
              </w:rPr>
              <w:lastRenderedPageBreak/>
              <w:t>14 days, IL-1β transiently increased between 5-9 days after SAH, and TNF-α remained unchanged</w:t>
            </w:r>
          </w:p>
        </w:tc>
        <w:tc>
          <w:tcPr>
            <w:tcW w:w="573" w:type="pct"/>
            <w:tcBorders>
              <w:top w:val="nil"/>
              <w:left w:val="nil"/>
              <w:bottom w:val="single" w:sz="4" w:space="0" w:color="auto"/>
              <w:right w:val="single" w:sz="4" w:space="0" w:color="auto"/>
            </w:tcBorders>
            <w:shd w:val="clear" w:color="auto" w:fill="auto"/>
            <w:vAlign w:val="center"/>
            <w:hideMark/>
          </w:tcPr>
          <w:p w14:paraId="6ED844D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Delayed ischemic neurological deficits (DIND) within 14 days</w:t>
            </w:r>
          </w:p>
        </w:tc>
        <w:tc>
          <w:tcPr>
            <w:tcW w:w="607" w:type="pct"/>
            <w:tcBorders>
              <w:top w:val="nil"/>
              <w:left w:val="nil"/>
              <w:bottom w:val="single" w:sz="4" w:space="0" w:color="auto"/>
              <w:right w:val="single" w:sz="4" w:space="0" w:color="auto"/>
            </w:tcBorders>
            <w:shd w:val="clear" w:color="auto" w:fill="auto"/>
            <w:vAlign w:val="center"/>
            <w:hideMark/>
          </w:tcPr>
          <w:p w14:paraId="79D4C45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levels significantly increased in patients suffering from DIND</w:t>
            </w:r>
          </w:p>
        </w:tc>
      </w:tr>
      <w:tr w:rsidR="00236A5B" w:rsidRPr="00F7228F" w14:paraId="2F3302BF" w14:textId="77777777" w:rsidTr="00236A5B">
        <w:trPr>
          <w:trHeight w:val="194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5BF6DBA" w14:textId="052468CA"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Mathieson et al., 1997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{"citationItems":[{"id":"ITEM-1","itemData":{"DOI":"10.3171/JNS.1997.87.2.0215","ISSN":"0022-3085","PMID":"9254084","abstract":"Subarachnoid hemorrhage (SAH) causes an inflammatory reaction and may lead to ischemic brain damage. Experimental ischemia has been shown to be connected with the alarm-reaction cytokines interleukin-1 receptor antagonist (IL-1Ra) and tumor necrosis factor-α (TNFα). Increased levels of these cytokines, however, have not been detected thus far in patients following an SAH event. For this reason daily cerebrospinal fluid (CSF) samples were collected from 22 consecutively enrolled patients with SAH and from 10 non- SAH patients (controls). The CSF samples were studied using immunoassays for IL-1Ra and TNFα to investigate whether an SAH caused increased cytokine levels. The mean IL-1Ra levels were significantly higher in patients with SAH who were in poor clinical condition on admission than in those who were in good condition (318 pg/ml vs. 82 pg/ml, p &lt; 0.02). The IL-1Ra levels increased during delayed ischemic episodes and after surgery in patients who were in poor clinical condition. Significant increases in IL-1Ra and TNFα were detected during Days 4 through 10 in patients suffering from SAH who eventually had a poor outcome (p &lt; 0.05). Patients with good outcomes and control patients had low levels of these cytokines. The levels of IL-1Ra increased after surgery in patients with Hunt and Hess Grades III through V, but not in those with Grade I or II. This finding indicates that patients in poor clinical condition have a labile biochemical state in the brain that is reflected in increased cytokine levels following the surgical trauma. Both IL-1Ra and TNFα are known to induce fever, malaise, leukocytosis, and nitric oxide synthesis and to mediate ischemic and traumatic brain injuries. The present study shows that levels of these cytokines increase after SAH occurs and that high cytokine levels correlate with brain damage. It is therefore likely that fever, leukocytosis, and nitric oxide synthesis are also mediated by IL-1 in patients suffering from SAH and it is probable that the inflammatory mediators contribute to brain damage.","author":[{"dropping-particle":"","family":"Mathieson","given":"Tiit","non-dropping-particle":"","parse-names":false,"suffix":""},{"dropping-particle":"","family":"Edner","given":"Göran","non-dropping-particle":"","parse-names":false,"suffix":""},{"dropping-particle":"","family":"Ulfarsson","given":"Elfar","non-dropping-particle":"","parse-names":false,"suffix":""},{"dropping-particle":"","family":"Andersson","given":"Birger","non-dropping-particle":"","parse-names":false,"suffix":""}],"container-title":"Journal of neurosurgery","id":"ITEM-1","issue":"2","issued":{"date-parts":[["1997","8","1"]]},"page":"215-220","publisher":"J Neurosurg","title":"Cerebrospinal fluid interleukin-1 receptor antagonist and tumor necrosis factor-alpha following subarachnoid hemorrhage","type":"article-journal","volume":"87"},"uris":["http://www.mendeley.com/documents/?uuid=716e1828-5dc9-432a-82c8-ec1b72176436"]}],"mendeley":{"formattedCitation":"(4)","plainTextFormattedCitation":"(4)","previouslyFormattedCitation":"(4)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BE15A0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22 SAH</w:t>
            </w:r>
            <w:r w:rsidRPr="00F7228F">
              <w:rPr>
                <w:rFonts w:ascii="Arial" w:eastAsia="Times New Roman" w:hAnsi="Arial" w:cs="Arial"/>
                <w:color w:val="000000"/>
              </w:rPr>
              <w:br/>
              <w:t>10 controls</w:t>
            </w:r>
          </w:p>
        </w:tc>
        <w:tc>
          <w:tcPr>
            <w:tcW w:w="559" w:type="pct"/>
            <w:tcBorders>
              <w:top w:val="nil"/>
              <w:left w:val="nil"/>
              <w:bottom w:val="single" w:sz="4" w:space="0" w:color="auto"/>
              <w:right w:val="single" w:sz="4" w:space="0" w:color="auto"/>
            </w:tcBorders>
            <w:shd w:val="clear" w:color="auto" w:fill="auto"/>
            <w:vAlign w:val="center"/>
            <w:hideMark/>
          </w:tcPr>
          <w:p w14:paraId="6F488A9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4CFAF72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IL-1Ra, TNF-α</w:t>
            </w:r>
          </w:p>
        </w:tc>
        <w:tc>
          <w:tcPr>
            <w:tcW w:w="661" w:type="pct"/>
            <w:tcBorders>
              <w:top w:val="nil"/>
              <w:left w:val="nil"/>
              <w:bottom w:val="single" w:sz="4" w:space="0" w:color="auto"/>
              <w:right w:val="single" w:sz="4" w:space="0" w:color="auto"/>
            </w:tcBorders>
            <w:shd w:val="clear" w:color="auto" w:fill="auto"/>
            <w:vAlign w:val="center"/>
            <w:hideMark/>
          </w:tcPr>
          <w:p w14:paraId="52E8D46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492984E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 11, 12</w:t>
            </w:r>
          </w:p>
        </w:tc>
        <w:tc>
          <w:tcPr>
            <w:tcW w:w="603" w:type="pct"/>
            <w:tcBorders>
              <w:top w:val="nil"/>
              <w:left w:val="nil"/>
              <w:bottom w:val="single" w:sz="4" w:space="0" w:color="auto"/>
              <w:right w:val="single" w:sz="4" w:space="0" w:color="auto"/>
            </w:tcBorders>
            <w:shd w:val="clear" w:color="auto" w:fill="auto"/>
            <w:vAlign w:val="center"/>
            <w:hideMark/>
          </w:tcPr>
          <w:p w14:paraId="58DD6E8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 increases in IL-1Ra and TNFα were detected during days 4 through 10 in patients suffering from SAH who eventually had a poor outcome. Patients with good outcomes and control patients had low levels of these cytokines.</w:t>
            </w:r>
          </w:p>
        </w:tc>
        <w:tc>
          <w:tcPr>
            <w:tcW w:w="573" w:type="pct"/>
            <w:tcBorders>
              <w:top w:val="nil"/>
              <w:left w:val="nil"/>
              <w:bottom w:val="single" w:sz="4" w:space="0" w:color="auto"/>
              <w:right w:val="single" w:sz="4" w:space="0" w:color="auto"/>
            </w:tcBorders>
            <w:shd w:val="clear" w:color="auto" w:fill="auto"/>
            <w:vAlign w:val="center"/>
            <w:hideMark/>
          </w:tcPr>
          <w:p w14:paraId="41E744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DID within 12 days, Glasgow Outcome Scale (GOS) at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603A148B" w14:textId="6F36DB6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Patients with an </w:t>
            </w:r>
            <w:r w:rsidR="00A0213A" w:rsidRPr="00F7228F">
              <w:rPr>
                <w:rFonts w:ascii="Arial" w:eastAsia="Times New Roman" w:hAnsi="Arial" w:cs="Arial"/>
                <w:color w:val="000000"/>
              </w:rPr>
              <w:t>unfavourable</w:t>
            </w:r>
            <w:r w:rsidRPr="00F7228F">
              <w:rPr>
                <w:rFonts w:ascii="Arial" w:eastAsia="Times New Roman" w:hAnsi="Arial" w:cs="Arial"/>
                <w:color w:val="000000"/>
              </w:rPr>
              <w:t xml:space="preserve"> outcome had marked increases in IL-1Ra levels between Days 3 and 10. Patients with GOS scores of 3 or less or who experienced an episode of DID </w:t>
            </w:r>
            <w:proofErr w:type="gramStart"/>
            <w:r w:rsidRPr="00F7228F">
              <w:rPr>
                <w:rFonts w:ascii="Arial" w:eastAsia="Times New Roman" w:hAnsi="Arial" w:cs="Arial"/>
                <w:color w:val="000000"/>
              </w:rPr>
              <w:t>had</w:t>
            </w:r>
            <w:proofErr w:type="gramEnd"/>
            <w:r w:rsidRPr="00F7228F">
              <w:rPr>
                <w:rFonts w:ascii="Arial" w:eastAsia="Times New Roman" w:hAnsi="Arial" w:cs="Arial"/>
                <w:color w:val="000000"/>
              </w:rPr>
              <w:t xml:space="preserve"> IL-1Ra levels that were higher than 1000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 xml:space="preserve">/ml at some time point, whereas no other patient had levels greater than 500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/ml</w:t>
            </w:r>
          </w:p>
        </w:tc>
      </w:tr>
      <w:tr w:rsidR="00236A5B" w:rsidRPr="00F7228F" w14:paraId="7A8D7674"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2FD2297" w14:textId="29EA3E8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McKeating et al., 1997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{"citationItems":[{"id":"ITEM-1","itemData":{"DOI":"10.1093/BJA/78.5.520","ISSN":"0007-0912","PMID":"9175965","abstract":"After acute brain injury there may be increased intracranial production of cytokines, with activation of inflammatory cascades. We have sought to determine if a transcranial cytokine gradient was demonstrable in paired sera of 32 patients requiring intensive care after acute brain injury. The difference between concentrations of IL-1β, IL-6, IL-8 and TNFα in jugular venous and arterial serum was measured on admission, and at 24, 48 and 96 h after the primary injury. There were no differences in IL-1β, IL-8 or TNFα, but median gradients of 6.7 and 11.5 pg ml-1 for IL-6 were demonstrated in the traumatic brain injury (n = 22) and subarachnoid haemorrhage (n = 10) groups, respectively (normal values in serum &lt; 4.7 pg ml-1; P &lt; 0.001 both groups). This suggests that there is significant production of IL-6 by intracranial cells after acute brain injury. Therapy directed towards combatting the negative effects of IL-6 may potentially benefit patients who have sustained an acute brain injury.","author":[{"dropping-particle":"","family":"Mckeating","given":"E. G.","non-dropping-particle":"","parse-names":false,"suffix":""},{"dropping-particle":"","family":"Andrews","given":"P. J.D.","non-dropping-particle":"","parse-names":false,"suffix":""},{"dropping-particle":"","family":"Signorini","given":"D. F.","non-dropping-particle":"","parse-names":false,"suffix":""},{"dropping-particle":"","family":"Mascia","given":"L.","non-dropping-particle":"","parse-names":false,"suffix":""}],"container-title":"British journal of anaesthesia","id":"ITEM-1","issue":"5","issued":{"date-parts":[["1997"]]},"page":"520-523","publisher":"Br J Anaesth","title":"Transcranial cytokine gradients in patients requiring intensive care after acute brain injury","type":"article-journal","volume":"78"},"uris":["http://www.mendeley.com/documents/?uuid=70244144-5cdf-3631-b596-7d5fc684177d"]}],"mendeley":{"formattedCitation":"(5)","plainTextFormattedCitation":"(5)","previouslyFormattedCitation":"(5)"},"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424E67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10 SAH</w:t>
            </w:r>
          </w:p>
        </w:tc>
        <w:tc>
          <w:tcPr>
            <w:tcW w:w="559" w:type="pct"/>
            <w:tcBorders>
              <w:top w:val="nil"/>
              <w:left w:val="nil"/>
              <w:bottom w:val="single" w:sz="4" w:space="0" w:color="auto"/>
              <w:right w:val="single" w:sz="4" w:space="0" w:color="auto"/>
            </w:tcBorders>
            <w:shd w:val="clear" w:color="auto" w:fill="auto"/>
            <w:vAlign w:val="center"/>
            <w:hideMark/>
          </w:tcPr>
          <w:p w14:paraId="26A9C3B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9C4FEB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IL-8, TNF-α</w:t>
            </w:r>
          </w:p>
        </w:tc>
        <w:tc>
          <w:tcPr>
            <w:tcW w:w="661" w:type="pct"/>
            <w:tcBorders>
              <w:top w:val="nil"/>
              <w:left w:val="nil"/>
              <w:bottom w:val="single" w:sz="4" w:space="0" w:color="auto"/>
              <w:right w:val="single" w:sz="4" w:space="0" w:color="auto"/>
            </w:tcBorders>
            <w:shd w:val="clear" w:color="auto" w:fill="auto"/>
            <w:vAlign w:val="center"/>
            <w:hideMark/>
          </w:tcPr>
          <w:p w14:paraId="756CB32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w:t>
            </w:r>
          </w:p>
        </w:tc>
        <w:tc>
          <w:tcPr>
            <w:tcW w:w="475" w:type="pct"/>
            <w:tcBorders>
              <w:top w:val="nil"/>
              <w:left w:val="nil"/>
              <w:bottom w:val="single" w:sz="4" w:space="0" w:color="auto"/>
              <w:right w:val="single" w:sz="4" w:space="0" w:color="auto"/>
            </w:tcBorders>
            <w:shd w:val="clear" w:color="auto" w:fill="auto"/>
            <w:vAlign w:val="center"/>
            <w:hideMark/>
          </w:tcPr>
          <w:p w14:paraId="6620F47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Hours 12, 24, 48, 96</w:t>
            </w:r>
          </w:p>
        </w:tc>
        <w:tc>
          <w:tcPr>
            <w:tcW w:w="603" w:type="pct"/>
            <w:tcBorders>
              <w:top w:val="nil"/>
              <w:left w:val="nil"/>
              <w:bottom w:val="single" w:sz="4" w:space="0" w:color="auto"/>
              <w:right w:val="single" w:sz="4" w:space="0" w:color="auto"/>
            </w:tcBorders>
            <w:shd w:val="clear" w:color="auto" w:fill="auto"/>
            <w:vAlign w:val="center"/>
            <w:hideMark/>
          </w:tcPr>
          <w:p w14:paraId="194F869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1AEC523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7" w:type="pct"/>
            <w:tcBorders>
              <w:top w:val="nil"/>
              <w:left w:val="nil"/>
              <w:bottom w:val="single" w:sz="4" w:space="0" w:color="auto"/>
              <w:right w:val="single" w:sz="4" w:space="0" w:color="auto"/>
            </w:tcBorders>
            <w:shd w:val="clear" w:color="auto" w:fill="auto"/>
            <w:vAlign w:val="center"/>
            <w:hideMark/>
          </w:tcPr>
          <w:p w14:paraId="771BA4C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Increased jugular venous serum concentrations of IL-6 relative to arterial concentrations after SAH,</w:t>
            </w:r>
          </w:p>
        </w:tc>
      </w:tr>
      <w:tr w:rsidR="00236A5B" w:rsidRPr="00F7228F" w14:paraId="336AD609"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20062C44" w14:textId="21DFFFA4"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Gaetani et al., 1998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{"citationItems":[{"id":"ITEM-1","itemData":{"DOI":"10.1080/01616412.1998.11740528","ISSN":"0161-6412","PMID":"9618698","abstract":"Cytokines are considered as mediators of immune and inflammatory responses. Cisternal CSF levels of interleukin (IL)-6, IL-8, monocyte chemoattractant protein-1 (MCP-1) and of the soluble adhesion molecule E- selectin were evaluated in patients operated on for intracranial aneurysms. Cisternal CSF samples were obtained at surgery in 41 selected patients (31 with diagnosis of subarachnoid hemorrhage (SAH) and 10 control patients operated on for incidental unruptured aneurysms); 14 patients were operated within 72 h after SAH (early surgery) and 17 were operated after day 10 after the hemorrhage (delayed surgery). The CSF levels of cytokines were evaluated using radioimmunoassay and their concentrations were related to the timing of surgery, the amount of cisternal subarachnoid blood clots and the onset of clinical and angiographical evidence of arterial vasospasm. Mean cisternal CSF levels of IL-6, IL-8 and AMCP-1 are significantly higher in samples obtained from patients early operated after SAH, while levels of E-selectin were below the threshold value of the method in all 41 cases. In the early operated group 7 patients presented symptomatic vasospasm: levels of IL-8 and MCP-1 were not significantly different when compared to those of uncomplicated cases; on the other hand, significantly higher levels of IL-6 were shown in the subgroup of patients operated within 72 h after SAH and developing vasospasm. Among the patients undergoing delayed surgery 5 presented symptomatic vasospasm, but no significant difference was shown in cisternal CSF levels of cytokines measured. The results of the present study show that in patients with unruptured aneurysms cytokines are present in cisternal CSF in scarce quantities and that in subarachnoid spaces after SAH there is an impressive increase of IL-6, IL-8 and MCP-1. Moreover, the higher cisternal CSF levels of IL-6 found in the early stage after SAH might have a predictive value regarding the occurrence of symptomatic vasospasm.","author":[{"dropping-particle":"","family":"Gaetani","given":"Paolo","non-dropping-particle":"","parse-names":false,"suffix":""},{"dropping-particle":"","family":"Tartara","given":"Fulvio","non-dropping-particle":"","parse-names":false,"suffix":""},{"dropping-particle":"","family":"Pignatti","given":"Patrizia","non-dropping-particle":"","parse-names":false,"suffix":""},{"dropping-particle":"","family":"Tancioni","given":"Flavio","non-dropping-particle":"","parse-names":false,"suffix":""},{"dropping-particle":"","family":"Rodriguez Y Baena","given":"Riccardo","non-dropping-particle":"","parse-names":false,"suffix":""},{"dropping-particle":"","family":"Benedetti","given":"Fabrizio","non-dropping-particle":"De","parse-names":false,"suffix":""}],"container-title":"Neurological research","id":"ITEM-1","issue":"4","issued":{"date-parts":[["1998"]]},"page":"337-342","publisher":"Neurol Res","title":"Cisternal CSF levels of cytokines after subarachnoid hemorrhage","type":"article-journal","volume":"20"},"uris":["http://www.mendeley.com/documents/?uuid=3ba2ba00-6cae-3927-a7a5-769546d3759b"]}],"mendeley":{"formattedCitation":"(6)","plainTextFormattedCitation":"(6)","previouslyFormattedCitation":"(6)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7DCE46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31 SAH</w:t>
            </w:r>
            <w:r w:rsidRPr="00F7228F">
              <w:rPr>
                <w:rFonts w:ascii="Arial" w:eastAsia="Times New Roman" w:hAnsi="Arial" w:cs="Arial"/>
                <w:color w:val="000000"/>
              </w:rPr>
              <w:br/>
              <w:t>10 controls</w:t>
            </w:r>
          </w:p>
        </w:tc>
        <w:tc>
          <w:tcPr>
            <w:tcW w:w="559" w:type="pct"/>
            <w:tcBorders>
              <w:top w:val="nil"/>
              <w:left w:val="nil"/>
              <w:bottom w:val="single" w:sz="4" w:space="0" w:color="auto"/>
              <w:right w:val="single" w:sz="4" w:space="0" w:color="auto"/>
            </w:tcBorders>
            <w:shd w:val="clear" w:color="auto" w:fill="auto"/>
            <w:vAlign w:val="center"/>
            <w:hideMark/>
          </w:tcPr>
          <w:p w14:paraId="60320F2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7B7BB0D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IL-8</w:t>
            </w:r>
          </w:p>
        </w:tc>
        <w:tc>
          <w:tcPr>
            <w:tcW w:w="661" w:type="pct"/>
            <w:tcBorders>
              <w:top w:val="nil"/>
              <w:left w:val="nil"/>
              <w:bottom w:val="single" w:sz="4" w:space="0" w:color="auto"/>
              <w:right w:val="single" w:sz="4" w:space="0" w:color="auto"/>
            </w:tcBorders>
            <w:shd w:val="clear" w:color="auto" w:fill="auto"/>
            <w:vAlign w:val="center"/>
            <w:hideMark/>
          </w:tcPr>
          <w:p w14:paraId="533D17D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69C8F2E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0-3, 10+</w:t>
            </w:r>
          </w:p>
        </w:tc>
        <w:tc>
          <w:tcPr>
            <w:tcW w:w="603" w:type="pct"/>
            <w:tcBorders>
              <w:top w:val="nil"/>
              <w:left w:val="nil"/>
              <w:bottom w:val="single" w:sz="4" w:space="0" w:color="auto"/>
              <w:right w:val="single" w:sz="4" w:space="0" w:color="auto"/>
            </w:tcBorders>
            <w:shd w:val="clear" w:color="auto" w:fill="auto"/>
            <w:vAlign w:val="center"/>
            <w:hideMark/>
          </w:tcPr>
          <w:p w14:paraId="5D1BEA5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CSF levels of IL-6 and IL-8 were higher in samples obtained in the earlier </w:t>
            </w:r>
            <w:proofErr w:type="gramStart"/>
            <w:r w:rsidRPr="00F7228F">
              <w:rPr>
                <w:rFonts w:ascii="Arial" w:eastAsia="Times New Roman" w:hAnsi="Arial" w:cs="Arial"/>
                <w:color w:val="000000"/>
              </w:rPr>
              <w:t>time period</w:t>
            </w:r>
            <w:proofErr w:type="gramEnd"/>
          </w:p>
        </w:tc>
        <w:tc>
          <w:tcPr>
            <w:tcW w:w="573" w:type="pct"/>
            <w:tcBorders>
              <w:top w:val="nil"/>
              <w:left w:val="nil"/>
              <w:bottom w:val="single" w:sz="4" w:space="0" w:color="auto"/>
              <w:right w:val="single" w:sz="4" w:space="0" w:color="auto"/>
            </w:tcBorders>
            <w:shd w:val="clear" w:color="auto" w:fill="auto"/>
            <w:vAlign w:val="center"/>
            <w:hideMark/>
          </w:tcPr>
          <w:p w14:paraId="12FA556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Symptomatic vasospasm as an inpatient</w:t>
            </w:r>
          </w:p>
        </w:tc>
        <w:tc>
          <w:tcPr>
            <w:tcW w:w="607" w:type="pct"/>
            <w:tcBorders>
              <w:top w:val="nil"/>
              <w:left w:val="nil"/>
              <w:bottom w:val="single" w:sz="4" w:space="0" w:color="auto"/>
              <w:right w:val="single" w:sz="4" w:space="0" w:color="auto"/>
            </w:tcBorders>
            <w:shd w:val="clear" w:color="auto" w:fill="auto"/>
            <w:vAlign w:val="center"/>
            <w:hideMark/>
          </w:tcPr>
          <w:p w14:paraId="28AA96E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 increase of IL-6 in patients who developed vasospasm</w:t>
            </w:r>
          </w:p>
        </w:tc>
      </w:tr>
      <w:tr w:rsidR="00236A5B" w:rsidRPr="00F7228F" w14:paraId="052B25D4" w14:textId="77777777" w:rsidTr="00236A5B">
        <w:trPr>
          <w:trHeight w:val="1392"/>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24A1D5C3" w14:textId="31BB6350"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Osuka</w:t>
            </w:r>
            <w:proofErr w:type="spellEnd"/>
            <w:r w:rsidRPr="00F7228F">
              <w:rPr>
                <w:rFonts w:ascii="Arial" w:eastAsia="Times New Roman" w:hAnsi="Arial" w:cs="Arial"/>
                <w:b/>
                <w:bCs/>
                <w:color w:val="000000"/>
              </w:rPr>
              <w:t xml:space="preserve"> et al., 1998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{"citationItems":[{"id":"ITEM-1","itemData":{"DOI":"10.1007/S007010050197/METRICS","ISSN":"00016268","PMID":"9842432","abstract":"The authors characterized the role of interleukins in the cerebrospinal fluid (CSF) in the development of vasospasm after subarachnoid haemorrhage (SAH), particularly interleukin-6 (IL-6). Concentrations of interleukin-1β (IL-1 β), IL-6, and interleukin-8 (IL-8) were measured serially in CSF of 24 patients and in serum of 9 patients with SAH and correlated clinically. Additionally, the effects of the same cytokines on the cerebral arteries of dogs were analyzed on angiograms after intracisternal injection. Changes in levels of eicosanoids, angiogenic factors, and soluble cell adhesion molecules were investigated in the CSF of injected dogs. CSF concentrations of IL-6 and IL-8 were elevated significantly above control levels from the acute stage of SAH until the chronic stage. Patients with symptomatic vasospasm had significantly higher levels of IL-6 as well as IL-8 in CSF on days 5 and 7. Intracisternal injection of IL-6 induced long-lasting vasoconstriction in five out of eight dogs, while IL-8 did not. The diameter of canine basilar artery after IL-6 was reduced 29 ± 5% from pretreatment diameter at 8 hours. Prostaglandins E2 and I2 were elevated in CSF for the first 4.5 hour of this IL-6-induced vasospasm. Neither angioenic factors such as platelet-derived growth factor-AB and vascular endothelial growth factor nor soluble cell adhesion molecules were significantly elevated in CSF. IL-6, which increases to very high concentrations in CSF after SAH, may be important in inducing vasospasm, as IL-6 produced long-lasting vasoconstriction in the canine cerebral artery, which may be partly related to activation of the prostaglandin cascade.","author":[{"dropping-particle":"","family":"Osuka","given":"K.","non-dropping-particle":"","parse-names":false,"suffix":""},{"dropping-particle":"","family":"Suzuki","given":"Y.","non-dropping-particle":"","parse-names":false,"suffix":""},{"dropping-particle":"","family":"Tanazawa","given":"T.","non-dropping-particle":"","parse-names":false,"suffix":""},{"dropping-particle":"","family":"Hattori","given":"K.","non-dropping-particle":"","parse-names":false,"suffix":""},{"dropping-particle":"","family":"Yamamoto","given":"N.","non-dropping-particle":"","parse-names":false,"suffix":""},{"dropping-particle":"","family":"Takayasu","given":"M.","non-dropping-particle":"","parse-names":false,"suffix":""},{"dropping-particle":"","family":"Shibuya","given":"M.","non-dropping-particle":"","parse-names":false,"suffix":""},{"dropping-particle":"","family":"Yoshida","given":"J.","non-dropping-particle":"","parse-names":false,"suffix":""}],"container-title":"Acta Neurochirurgica","id":"ITEM-1","issue":"9","issued":{"date-parts":[["1998"]]},"page":"943-951","publisher":"Springer","title":"Interleukin-6 and development of vasospasm after subarachnoid haemorrhage","type":"article-journal","volume":"140"},"uris":["http://www.mendeley.com/documents/?uuid=3f26e22a-9bd2-3b0a-b025-4b3ed52ab1db"]}],"mendeley":{"formattedCitation":"(7)","plainTextFormattedCitation":"(7)","previouslyFormattedCitation":"(7)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F92600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24 SAH</w:t>
            </w:r>
            <w:r w:rsidRPr="00F7228F">
              <w:rPr>
                <w:rFonts w:ascii="Arial" w:eastAsia="Times New Roman" w:hAnsi="Arial" w:cs="Arial"/>
                <w:color w:val="000000"/>
              </w:rPr>
              <w:br/>
              <w:t>9 controls</w:t>
            </w:r>
          </w:p>
        </w:tc>
        <w:tc>
          <w:tcPr>
            <w:tcW w:w="559" w:type="pct"/>
            <w:tcBorders>
              <w:top w:val="nil"/>
              <w:left w:val="nil"/>
              <w:bottom w:val="single" w:sz="4" w:space="0" w:color="auto"/>
              <w:right w:val="single" w:sz="4" w:space="0" w:color="auto"/>
            </w:tcBorders>
            <w:shd w:val="clear" w:color="auto" w:fill="auto"/>
            <w:vAlign w:val="center"/>
            <w:hideMark/>
          </w:tcPr>
          <w:p w14:paraId="5D7B8DC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7FA772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IL-8</w:t>
            </w:r>
          </w:p>
        </w:tc>
        <w:tc>
          <w:tcPr>
            <w:tcW w:w="661" w:type="pct"/>
            <w:tcBorders>
              <w:top w:val="nil"/>
              <w:left w:val="nil"/>
              <w:bottom w:val="single" w:sz="4" w:space="0" w:color="auto"/>
              <w:right w:val="single" w:sz="4" w:space="0" w:color="auto"/>
            </w:tcBorders>
            <w:shd w:val="clear" w:color="auto" w:fill="auto"/>
            <w:vAlign w:val="center"/>
            <w:hideMark/>
          </w:tcPr>
          <w:p w14:paraId="0EB958E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7793571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 1, 2, 3, 5, 7, 11, 14</w:t>
            </w:r>
          </w:p>
        </w:tc>
        <w:tc>
          <w:tcPr>
            <w:tcW w:w="603" w:type="pct"/>
            <w:tcBorders>
              <w:top w:val="nil"/>
              <w:left w:val="nil"/>
              <w:bottom w:val="single" w:sz="4" w:space="0" w:color="auto"/>
              <w:right w:val="single" w:sz="4" w:space="0" w:color="auto"/>
            </w:tcBorders>
            <w:shd w:val="clear" w:color="auto" w:fill="auto"/>
            <w:vAlign w:val="center"/>
            <w:hideMark/>
          </w:tcPr>
          <w:p w14:paraId="6A805B9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CSF concentrations of IL-6 and IL-8 in patients with SAH were thousands of times higher than in serum or in control CSF samples throughout, </w:t>
            </w:r>
            <w:proofErr w:type="gramStart"/>
            <w:r w:rsidRPr="00F7228F">
              <w:rPr>
                <w:rFonts w:ascii="Arial" w:eastAsia="Times New Roman" w:hAnsi="Arial" w:cs="Arial"/>
                <w:color w:val="000000"/>
              </w:rPr>
              <w:t>but  IL</w:t>
            </w:r>
            <w:proofErr w:type="gramEnd"/>
            <w:r w:rsidRPr="00F7228F">
              <w:rPr>
                <w:rFonts w:ascii="Arial" w:eastAsia="Times New Roman" w:hAnsi="Arial" w:cs="Arial"/>
                <w:color w:val="000000"/>
              </w:rPr>
              <w:t>-6 and IL-8 serum concentrations were only higher than controls in the acute period</w:t>
            </w:r>
          </w:p>
        </w:tc>
        <w:tc>
          <w:tcPr>
            <w:tcW w:w="573" w:type="pct"/>
            <w:tcBorders>
              <w:top w:val="nil"/>
              <w:left w:val="nil"/>
              <w:bottom w:val="single" w:sz="4" w:space="0" w:color="auto"/>
              <w:right w:val="single" w:sz="4" w:space="0" w:color="auto"/>
            </w:tcBorders>
            <w:shd w:val="clear" w:color="auto" w:fill="auto"/>
            <w:vAlign w:val="center"/>
            <w:hideMark/>
          </w:tcPr>
          <w:p w14:paraId="59470BC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Symptomatic vasospasm between days 5 and 8</w:t>
            </w:r>
          </w:p>
        </w:tc>
        <w:tc>
          <w:tcPr>
            <w:tcW w:w="607" w:type="pct"/>
            <w:tcBorders>
              <w:top w:val="nil"/>
              <w:left w:val="nil"/>
              <w:bottom w:val="single" w:sz="4" w:space="0" w:color="auto"/>
              <w:right w:val="single" w:sz="4" w:space="0" w:color="auto"/>
            </w:tcBorders>
            <w:shd w:val="clear" w:color="auto" w:fill="auto"/>
            <w:vAlign w:val="center"/>
            <w:hideMark/>
          </w:tcPr>
          <w:p w14:paraId="159B62D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Levels of IL-6 in CSF of the patients with symptomatic </w:t>
            </w:r>
            <w:proofErr w:type="gramStart"/>
            <w:r w:rsidRPr="00F7228F">
              <w:rPr>
                <w:rFonts w:ascii="Arial" w:eastAsia="Times New Roman" w:hAnsi="Arial" w:cs="Arial"/>
                <w:color w:val="000000"/>
              </w:rPr>
              <w:t>vasospasm  revealed</w:t>
            </w:r>
            <w:proofErr w:type="gramEnd"/>
            <w:r w:rsidRPr="00F7228F">
              <w:rPr>
                <w:rFonts w:ascii="Arial" w:eastAsia="Times New Roman" w:hAnsi="Arial" w:cs="Arial"/>
                <w:color w:val="000000"/>
              </w:rPr>
              <w:t xml:space="preserve"> a significant excess on day 5 and 7. Concentrations of IL-8 in CSF of patients with symptomatic vasospasm also were significantly higher on day 5</w:t>
            </w:r>
          </w:p>
        </w:tc>
      </w:tr>
      <w:tr w:rsidR="00236A5B" w:rsidRPr="00F7228F" w14:paraId="6C6B2E19" w14:textId="77777777" w:rsidTr="00236A5B">
        <w:trPr>
          <w:trHeight w:val="166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6356DC14" w14:textId="68E0E335"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Gruber et al., 2000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{"citationItems":[{"id":"ITEM-1","itemData":{"DOI":"10.1097/00008506-200010000-00001","ISSN":"0898-4921","PMID":"11147377","abstract":"Postsubarachnoid hemorrhage, systemic inflammatory response syndrome and associated organ system failure are more frequently found in patients in poor neurologic condition. Since subarachnoid hemorrhage causes a profound intrathecal inflammatory response with production of proinflammatory cytokines TNFα, IL-1β, and IL-6, a possible explanation for this association is that brain-derived cytokines may enter the systemic circulation in the presence of postsubarachnoid hemorrhage blood brain barrier disruption to systemically activate inflammatory cascades and thereby contribute to the development of postsubarachnoid hemorrhage systemic inflammatory response syndrome and extracerebral organ system failures. In 44 patients with aneurysmal subarachnoid hemorrhage admitted within 3 days of the initial bleed, extracerebral organ system functions were assessed individually and in aggregate using the modified Multiple Organ Dysfunction Score. Serum and cerebrospinal fluid concentrations of soluble tumor necrosis factor-α receptor-I, interleukin-1β receptor antagonist, and IL-6 were determined during the first 2 weeks after subarachnoid hemorrhage and tested for correlation with (1) admission Hunt-Hess grade, (2) development of systemic inflammatory response syndrome and extracerebral organ system failures, and (3) neurologic outcome. The development of postsubarachnoid hemorrhage systemic inflammatory response syndrome and extracerebral organ system failures was paralleled by a significant increase in serum but not in cerebrospinal fluid levels of soluble tumor necrosis factor-α receptor-I and IL-1ra, that is, patients with and without extracerebral organ system failures did not differ in pattern and time course of cerebrospinal fluid cytokine concentrations. In contrast, increasing soluble tumor necrosis factor-α receptor-I and interleukin-1β receptor antagonist serum levels correlated with a higher Multiple Organ Dysfunction score and with individual organ system dysfunctions. Postsubarachnoid hemorrhage, systemic inflammatory response syndrome and extracerebral organ system failures could therefore not be linked to changes in cerebrospinal fluid cytokine concentration profiles.","author":[{"dropping-particle":"","family":"Gruber","given":"Andreas","non-dropping-particle":"","parse-names":false,"suffix":""},{"dropping-particle":"","family":"Rössler","given":"Karl","non-dropping-particle":"","parse-names":false,"suffix":""},{"dropping-particle":"","family":"Graninger","given":"Wolfgang","non-dropping-particle":"","parse-names":false,"suffix":""},{"dropping-particle":"","family":"Donner","given":"Andrew","non-dropping-particle":"","parse-names":false,"suffix":""},{"dropping-particle":"","family":"Illievich","given":"Udo M.","non-dropping-particle":"","parse-names":false,"suffix":""},{"dropping-particle":"","family":"Czech","given":"Thomas","non-dropping-particle":"","parse-names":false,"suffix":""}],"container-title":"Journal of neurosurgical anesthesiology","id":"ITEM-1","issue":"4","issued":{"date-parts":[["2000"]]},"page":"297-306","publisher":"J Neurosurg Anesthesiol","title":"Ventricular cerebrospinal fluid and serum concentrations of sTNFR-I, IL-1ra, and IL-6 after aneurysmal subarachnoid hemorrhage","type":"article-journal","volume":"12"},"uris":["http://www.mendeley.com/documents/?uuid=19135cbb-0cba-353c-9ba1-cde903e47c15"]}],"mendeley":{"formattedCitation":"(8)","plainTextFormattedCitation":"(8)","previouslyFormattedCitation":"(8)"},"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(8)</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645CF9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44 SAH</w:t>
            </w:r>
          </w:p>
        </w:tc>
        <w:tc>
          <w:tcPr>
            <w:tcW w:w="559" w:type="pct"/>
            <w:tcBorders>
              <w:top w:val="nil"/>
              <w:left w:val="nil"/>
              <w:bottom w:val="single" w:sz="4" w:space="0" w:color="auto"/>
              <w:right w:val="single" w:sz="4" w:space="0" w:color="auto"/>
            </w:tcBorders>
            <w:shd w:val="clear" w:color="auto" w:fill="auto"/>
            <w:vAlign w:val="center"/>
            <w:hideMark/>
          </w:tcPr>
          <w:p w14:paraId="0F39DC6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9C826C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 </w:t>
            </w:r>
            <w:proofErr w:type="spellStart"/>
            <w:r w:rsidRPr="00F7228F">
              <w:rPr>
                <w:rFonts w:ascii="Arial" w:eastAsia="Times New Roman" w:hAnsi="Arial" w:cs="Arial"/>
                <w:color w:val="000000"/>
              </w:rPr>
              <w:t>sTNFR</w:t>
            </w:r>
            <w:proofErr w:type="spellEnd"/>
            <w:r w:rsidRPr="00F7228F">
              <w:rPr>
                <w:rFonts w:ascii="Arial" w:eastAsia="Times New Roman" w:hAnsi="Arial" w:cs="Arial"/>
                <w:color w:val="000000"/>
              </w:rPr>
              <w:t>-I, IL-1ra, IL-6</w:t>
            </w:r>
          </w:p>
        </w:tc>
        <w:tc>
          <w:tcPr>
            <w:tcW w:w="661" w:type="pct"/>
            <w:tcBorders>
              <w:top w:val="nil"/>
              <w:left w:val="nil"/>
              <w:bottom w:val="single" w:sz="4" w:space="0" w:color="auto"/>
              <w:right w:val="single" w:sz="4" w:space="0" w:color="auto"/>
            </w:tcBorders>
            <w:shd w:val="clear" w:color="auto" w:fill="auto"/>
            <w:vAlign w:val="center"/>
            <w:hideMark/>
          </w:tcPr>
          <w:p w14:paraId="4E84098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3A6DDE6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0–2, 3–5, 6–8, 9–11, 12–14</w:t>
            </w:r>
          </w:p>
        </w:tc>
        <w:tc>
          <w:tcPr>
            <w:tcW w:w="603" w:type="pct"/>
            <w:tcBorders>
              <w:top w:val="nil"/>
              <w:left w:val="nil"/>
              <w:bottom w:val="single" w:sz="4" w:space="0" w:color="auto"/>
              <w:right w:val="single" w:sz="4" w:space="0" w:color="auto"/>
            </w:tcBorders>
            <w:shd w:val="clear" w:color="auto" w:fill="auto"/>
            <w:vAlign w:val="center"/>
            <w:hideMark/>
          </w:tcPr>
          <w:p w14:paraId="23F9D9E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In the CSF of SAH patients, </w:t>
            </w:r>
            <w:proofErr w:type="spellStart"/>
            <w:r w:rsidRPr="00F7228F">
              <w:rPr>
                <w:rFonts w:ascii="Arial" w:eastAsia="Times New Roman" w:hAnsi="Arial" w:cs="Arial"/>
                <w:color w:val="000000"/>
              </w:rPr>
              <w:t>sTNFR</w:t>
            </w:r>
            <w:proofErr w:type="spellEnd"/>
            <w:r w:rsidRPr="00F7228F">
              <w:rPr>
                <w:rFonts w:ascii="Arial" w:eastAsia="Times New Roman" w:hAnsi="Arial" w:cs="Arial"/>
                <w:color w:val="000000"/>
              </w:rPr>
              <w:t xml:space="preserve">-I, IL-1ra, and IL-6 levels were significantly higher than those of the non-SAH control group. This was also true for the mean serum concentrations of </w:t>
            </w:r>
            <w:proofErr w:type="spellStart"/>
            <w:r w:rsidRPr="00F7228F">
              <w:rPr>
                <w:rFonts w:ascii="Arial" w:eastAsia="Times New Roman" w:hAnsi="Arial" w:cs="Arial"/>
                <w:color w:val="000000"/>
              </w:rPr>
              <w:t>sTNFR</w:t>
            </w:r>
            <w:proofErr w:type="spellEnd"/>
            <w:r w:rsidRPr="00F7228F">
              <w:rPr>
                <w:rFonts w:ascii="Arial" w:eastAsia="Times New Roman" w:hAnsi="Arial" w:cs="Arial"/>
                <w:color w:val="000000"/>
              </w:rPr>
              <w:t>-I and IL-1ra, whereas IL-6 serum levels were not significantly elevated.</w:t>
            </w:r>
          </w:p>
        </w:tc>
        <w:tc>
          <w:tcPr>
            <w:tcW w:w="573" w:type="pct"/>
            <w:tcBorders>
              <w:top w:val="nil"/>
              <w:left w:val="nil"/>
              <w:bottom w:val="single" w:sz="4" w:space="0" w:color="auto"/>
              <w:right w:val="single" w:sz="4" w:space="0" w:color="auto"/>
            </w:tcBorders>
            <w:shd w:val="clear" w:color="auto" w:fill="auto"/>
            <w:vAlign w:val="center"/>
            <w:hideMark/>
          </w:tcPr>
          <w:p w14:paraId="43294D8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Multiple Organ Dysfunction Score on admission; GOS at 6 months</w:t>
            </w:r>
          </w:p>
        </w:tc>
        <w:tc>
          <w:tcPr>
            <w:tcW w:w="607" w:type="pct"/>
            <w:tcBorders>
              <w:top w:val="nil"/>
              <w:left w:val="nil"/>
              <w:bottom w:val="single" w:sz="4" w:space="0" w:color="auto"/>
              <w:right w:val="single" w:sz="4" w:space="0" w:color="auto"/>
            </w:tcBorders>
            <w:shd w:val="clear" w:color="auto" w:fill="auto"/>
            <w:vAlign w:val="center"/>
            <w:hideMark/>
          </w:tcPr>
          <w:p w14:paraId="228F3ED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post-SAH IL-1ra and IL-6 </w:t>
            </w:r>
            <w:proofErr w:type="gramStart"/>
            <w:r w:rsidRPr="00F7228F">
              <w:rPr>
                <w:rFonts w:ascii="Arial" w:eastAsia="Times New Roman" w:hAnsi="Arial" w:cs="Arial"/>
                <w:color w:val="000000"/>
              </w:rPr>
              <w:t>levels  correlated</w:t>
            </w:r>
            <w:proofErr w:type="gramEnd"/>
            <w:r w:rsidRPr="00F7228F">
              <w:rPr>
                <w:rFonts w:ascii="Arial" w:eastAsia="Times New Roman" w:hAnsi="Arial" w:cs="Arial"/>
                <w:color w:val="000000"/>
              </w:rPr>
              <w:t xml:space="preserve"> with worse GOS scores</w:t>
            </w:r>
          </w:p>
        </w:tc>
      </w:tr>
      <w:tr w:rsidR="00236A5B" w:rsidRPr="00F7228F" w14:paraId="08D10A7B" w14:textId="77777777" w:rsidTr="00236A5B">
        <w:trPr>
          <w:trHeight w:val="166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66D46D6A" w14:textId="5F7E7B30"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Fassbender et al., 2001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{"citationItems":[{"id":"ITEM-1","itemData":{"DOI":"10.1136/JNNP.70.4.534","ISSN":"0022-3050","PMID":"11254783","abstract":"Subarachnoidal release of inflammatory cytokines (interleukin (IL)-1β, IL-6, and tumour necrosis factor (TNF)-α) was characterised in 35 patients with subarachnoid haemorrhage (SAH) and control subjects and compared with development of complicating haemodynamic abnormalities in basal cerebral arteries and clinical outcome. Serial analysis allowed the observation of a subacute response profile of these key mediators of inflammation in the subarachnoidal space. This compartmentalised inflammatory host response was closely associated in time and extent with development of increased blood flow velocities in the basal cerebral vessels as recorded by transcranial Doppler sonography. Moreover, intrathecal secretion of inflammatory cytokines was significantly increased in patients with poor clinical outcome. Together, these findings suggest a role of excessive compartmentalised inflammatory host response in pathogenesis of cerebrovascular complications after SAH.","author":[{"dropping-particle":"","family":"Fassbender","given":"K.","non-dropping-particle":"","parse-names":false,"suffix":""},{"dropping-particle":"","family":"Hodapp","given":"B.","non-dropping-particle":"","parse-names":false,"suffix":""},{"dropping-particle":"","family":"Rossol","given":"S.","non-dropping-particle":"","parse-names":false,"suffix":""},{"dropping-particle":"","family":"Bertsch","given":"T.","non-dropping-particle":"","parse-names":false,"suffix":""},{"dropping-particle":"","family":"Schmeck","given":"J.","non-dropping-particle":"","parse-names":false,"suffix":""},{"dropping-particle":"","family":"Schütt","given":"S.","non-dropping-particle":"","parse-names":false,"suffix":""},{"dropping-particle":"","family":"Fritzinger","given":"M.","non-dropping-particle":"","parse-names":false,"suffix":""},{"dropping-particle":"","family":"Horn","given":"P.","non-dropping-particle":"","parse-names":false,"suffix":""},{"dropping-particle":"","family":"Vajkoczy","given":"P.","non-dropping-particle":"","parse-names":false,"suffix":""},{"dropping-particle":"","family":"Kreisel","given":"S.","non-dropping-particle":"","parse-names":false,"suffix":""},{"dropping-particle":"","family":"Brunner","given":"J.","non-dropping-particle":"","parse-names":false,"suffix":""},{"dropping-particle":"","family":"Schmiedek","given":"P.","non-dropping-particle":"","parse-names":false,"suffix":""},{"dropping-particle":"","family":"Hennerici","given":"M.","non-dropping-particle":"","parse-names":false,"suffix":""}],"container-title":"Journal of Neurology, Neurosurgery &amp; Psychiatry","id":"ITEM-1","issue":"4","issued":{"date-parts":[["2001","4","1"]]},"page":"534-537","publisher":"J Neurol Neurosurg Psychiatry","title":"Inflammatory cytokines in subarachnoid haemorrhage: association with abnormal blood flow velocities in basal cerebral arteries","type":"article-journal","volume":"70"},"uris":["http://www.mendeley.com/documents/?uuid=53d2393b-1f17-41db-a801-7dfdbbacf4e5"]}],"mendeley":{"formattedCitation":"(9)","plainTextFormattedCitation":"(9)","previouslyFormattedCitation":"(9)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E7670E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35 SAH</w:t>
            </w:r>
            <w:r w:rsidRPr="00F7228F">
              <w:rPr>
                <w:rFonts w:ascii="Arial" w:eastAsia="Times New Roman" w:hAnsi="Arial" w:cs="Arial"/>
                <w:color w:val="000000"/>
              </w:rPr>
              <w:br/>
              <w:t>20 controls</w:t>
            </w:r>
          </w:p>
        </w:tc>
        <w:tc>
          <w:tcPr>
            <w:tcW w:w="559" w:type="pct"/>
            <w:tcBorders>
              <w:top w:val="nil"/>
              <w:left w:val="nil"/>
              <w:bottom w:val="single" w:sz="4" w:space="0" w:color="auto"/>
              <w:right w:val="single" w:sz="4" w:space="0" w:color="auto"/>
            </w:tcBorders>
            <w:shd w:val="clear" w:color="auto" w:fill="auto"/>
            <w:vAlign w:val="center"/>
            <w:hideMark/>
          </w:tcPr>
          <w:p w14:paraId="20D6D96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D5F7CA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TNF-α</w:t>
            </w:r>
          </w:p>
        </w:tc>
        <w:tc>
          <w:tcPr>
            <w:tcW w:w="661" w:type="pct"/>
            <w:tcBorders>
              <w:top w:val="nil"/>
              <w:left w:val="nil"/>
              <w:bottom w:val="single" w:sz="4" w:space="0" w:color="auto"/>
              <w:right w:val="single" w:sz="4" w:space="0" w:color="auto"/>
            </w:tcBorders>
            <w:shd w:val="clear" w:color="auto" w:fill="auto"/>
            <w:vAlign w:val="center"/>
            <w:hideMark/>
          </w:tcPr>
          <w:p w14:paraId="033E78B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w:t>
            </w:r>
          </w:p>
        </w:tc>
        <w:tc>
          <w:tcPr>
            <w:tcW w:w="475" w:type="pct"/>
            <w:tcBorders>
              <w:top w:val="nil"/>
              <w:left w:val="nil"/>
              <w:bottom w:val="single" w:sz="4" w:space="0" w:color="auto"/>
              <w:right w:val="single" w:sz="4" w:space="0" w:color="auto"/>
            </w:tcBorders>
            <w:shd w:val="clear" w:color="auto" w:fill="auto"/>
            <w:vAlign w:val="center"/>
            <w:hideMark/>
          </w:tcPr>
          <w:p w14:paraId="0EA9371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2, 3, 5, 7, 9, 11</w:t>
            </w:r>
          </w:p>
        </w:tc>
        <w:tc>
          <w:tcPr>
            <w:tcW w:w="603" w:type="pct"/>
            <w:tcBorders>
              <w:top w:val="nil"/>
              <w:left w:val="nil"/>
              <w:bottom w:val="single" w:sz="4" w:space="0" w:color="auto"/>
              <w:right w:val="single" w:sz="4" w:space="0" w:color="auto"/>
            </w:tcBorders>
            <w:shd w:val="clear" w:color="auto" w:fill="auto"/>
            <w:vAlign w:val="center"/>
            <w:hideMark/>
          </w:tcPr>
          <w:p w14:paraId="0CB2E21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In SAH, concentrations of IL-1β and IL-6 were significantly lower in plasma than in CSF</w:t>
            </w:r>
          </w:p>
        </w:tc>
        <w:tc>
          <w:tcPr>
            <w:tcW w:w="573" w:type="pct"/>
            <w:tcBorders>
              <w:top w:val="nil"/>
              <w:left w:val="nil"/>
              <w:bottom w:val="single" w:sz="4" w:space="0" w:color="auto"/>
              <w:right w:val="single" w:sz="4" w:space="0" w:color="auto"/>
            </w:tcBorders>
            <w:shd w:val="clear" w:color="auto" w:fill="auto"/>
            <w:vAlign w:val="center"/>
            <w:hideMark/>
          </w:tcPr>
          <w:p w14:paraId="4599804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between days 1 -11; GOS at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2CDBD6E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CSF IL-6 concentration at day 5 were significantly increased in patients with poor (GOS 1-2) compared with those with moderate (GOS3-5) outcome. Vasospasm was </w:t>
            </w:r>
            <w:r w:rsidRPr="00F7228F">
              <w:rPr>
                <w:rFonts w:ascii="Arial" w:eastAsia="Times New Roman" w:hAnsi="Arial" w:cs="Arial"/>
                <w:color w:val="000000"/>
              </w:rPr>
              <w:lastRenderedPageBreak/>
              <w:t>associated with increased CSF concentrations of IL-1β, IL-6, and TNF-α</w:t>
            </w:r>
          </w:p>
        </w:tc>
      </w:tr>
      <w:tr w:rsidR="00236A5B" w:rsidRPr="00F7228F" w14:paraId="70B08DD8"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68BD5FE" w14:textId="6C8506DC"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Kwon et al., 2001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{"citationItems":[{"id":"ITEM-1","itemData":{"DOI":"10.3346/JKMS.2001.16.6.774","ISBN":"726.35±707.18","ISSN":"10118934","PMID":"11748361","abstract":"Subarachnoid hemorrhage (SAH) induces an inflammatory reaction and may lead to ischemic brain damage. The pathogenesis of brain dysfunction and delayed ischemic symptoms remain difficult to understand despite extensive surveys of such reactions. Cytokine production in the central nervous system following SAH and its relation with clinical outcome have hardly been studied. This study was aimed to determine whether the levels of IL-1β, IL-6 and TNF-α in the initial cerebrospinal fluid would increase following aneurysmal SAH, and be related with development of delayed ischemic deficit and clinical outcome. Nineteen patients suffering from aneurysmal SAH and 12 control volunteers were the subjects in this study. Cerebrospinal fluid samples were obtained on admission and the levels of each cytokine were determined with enzyme-linked immunosorbent assay. Patients with aneurysmal subarachnoid hemorrhage showed elevated levels of IL-1β and TNF-α on admission. The patients with poor neurological status showed high levels of IL-1β, and IL-6. The patients who developed delayed ischemic deficit had high level of IL-6. We suggest that elevated level of IL-6 in cerebrospinal fluid of patients with aneurysmal SAH on admission can predict the high risk of delayed ischemic deficit. Copyright © The Korean Academy of Medical Sciences.","author":[{"dropping-particle":"","family":"Kwon","given":"Ki Young","non-dropping-particle":"","parse-names":false,"suffix":""},{"dropping-particle":"","family":"Jeon","given":"Byung Chan","non-dropping-particle":"","parse-names":false,"suffix":""}],"container-title":"Journal of Korean Medical Science","id":"ITEM-1","issue":"6","issued":{"date-parts":[["2001"]]},"page":"774","publisher":"Korean Academy of Medical Sciences","title":"Cytokine levels in cerebrospinal fluid and delayed ischemic deficits in patients with aneurysmal subarachnoid hemorrhage.","type":"article-journal","volume":"16"},"uris":["http://www.mendeley.com/documents/?uuid=5550b6f6-d3d0-4320-9f22-721461720346"]}],"mendeley":{"formattedCitation":"(10)","plainTextFormattedCitation":"(10)","previouslyFormattedCitation":"(10)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(10)</w:t>
            </w:r>
            <w:r w:rsidRPr="00F7228F">
              <w:rPr>
                <w:rFonts w:ascii="Arial" w:eastAsia="Times New Roman" w:hAnsi="Arial" w:cs="Arial"/>
                <w:b/>
                <w:bCs/>
                <w:color w:val="000000"/>
              </w:rPr>
              <w:fldChar w:fldCharType="end"/>
            </w:r>
            <w:r w:rsidRPr="00F7228F">
              <w:rPr>
                <w:rFonts w:ascii="Arial" w:eastAsia="Times New Roman" w:hAnsi="Arial" w:cs="Arial"/>
                <w:b/>
                <w:bCs/>
                <w:color w:val="000000"/>
              </w:rPr>
              <w:t xml:space="preserve"> </w:t>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D9D4BC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19 SAH</w:t>
            </w:r>
            <w:r w:rsidRPr="00F7228F">
              <w:rPr>
                <w:rFonts w:ascii="Arial" w:eastAsia="Times New Roman" w:hAnsi="Arial" w:cs="Arial"/>
                <w:color w:val="000000"/>
              </w:rPr>
              <w:br/>
              <w:t>12 controls</w:t>
            </w:r>
          </w:p>
        </w:tc>
        <w:tc>
          <w:tcPr>
            <w:tcW w:w="559" w:type="pct"/>
            <w:tcBorders>
              <w:top w:val="nil"/>
              <w:left w:val="nil"/>
              <w:bottom w:val="single" w:sz="4" w:space="0" w:color="auto"/>
              <w:right w:val="single" w:sz="4" w:space="0" w:color="auto"/>
            </w:tcBorders>
            <w:shd w:val="clear" w:color="auto" w:fill="auto"/>
            <w:vAlign w:val="center"/>
            <w:hideMark/>
          </w:tcPr>
          <w:p w14:paraId="2671480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2E5A8A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TNF-α</w:t>
            </w:r>
          </w:p>
        </w:tc>
        <w:tc>
          <w:tcPr>
            <w:tcW w:w="661" w:type="pct"/>
            <w:tcBorders>
              <w:top w:val="nil"/>
              <w:left w:val="nil"/>
              <w:bottom w:val="single" w:sz="4" w:space="0" w:color="auto"/>
              <w:right w:val="single" w:sz="4" w:space="0" w:color="auto"/>
            </w:tcBorders>
            <w:shd w:val="clear" w:color="auto" w:fill="auto"/>
            <w:vAlign w:val="center"/>
            <w:hideMark/>
          </w:tcPr>
          <w:p w14:paraId="1F842CF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2CBEDEB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 0 </w:t>
            </w:r>
          </w:p>
        </w:tc>
        <w:tc>
          <w:tcPr>
            <w:tcW w:w="603" w:type="pct"/>
            <w:tcBorders>
              <w:top w:val="nil"/>
              <w:left w:val="nil"/>
              <w:bottom w:val="single" w:sz="4" w:space="0" w:color="auto"/>
              <w:right w:val="single" w:sz="4" w:space="0" w:color="auto"/>
            </w:tcBorders>
            <w:shd w:val="clear" w:color="auto" w:fill="auto"/>
            <w:vAlign w:val="center"/>
            <w:hideMark/>
          </w:tcPr>
          <w:p w14:paraId="3172250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Significantly increased CSF IL-6 level after SAH compared with controls</w:t>
            </w:r>
          </w:p>
        </w:tc>
        <w:tc>
          <w:tcPr>
            <w:tcW w:w="573" w:type="pct"/>
            <w:tcBorders>
              <w:top w:val="nil"/>
              <w:left w:val="nil"/>
              <w:bottom w:val="single" w:sz="4" w:space="0" w:color="auto"/>
              <w:right w:val="single" w:sz="4" w:space="0" w:color="auto"/>
            </w:tcBorders>
            <w:shd w:val="clear" w:color="auto" w:fill="auto"/>
            <w:vAlign w:val="center"/>
            <w:hideMark/>
          </w:tcPr>
          <w:p w14:paraId="0302AF7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DID, </w:t>
            </w:r>
            <w:proofErr w:type="gramStart"/>
            <w:r w:rsidRPr="00F7228F">
              <w:rPr>
                <w:rFonts w:ascii="Arial" w:eastAsia="Times New Roman" w:hAnsi="Arial" w:cs="Arial"/>
                <w:color w:val="000000"/>
              </w:rPr>
              <w:t>GOS  at</w:t>
            </w:r>
            <w:proofErr w:type="gramEnd"/>
            <w:r w:rsidRPr="00F7228F">
              <w:rPr>
                <w:rFonts w:ascii="Arial" w:eastAsia="Times New Roman" w:hAnsi="Arial" w:cs="Arial"/>
                <w:color w:val="000000"/>
              </w:rPr>
              <w:t xml:space="preserve">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19125E1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IL-6 </w:t>
            </w:r>
            <w:proofErr w:type="gramStart"/>
            <w:r w:rsidRPr="00F7228F">
              <w:rPr>
                <w:rFonts w:ascii="Arial" w:eastAsia="Times New Roman" w:hAnsi="Arial" w:cs="Arial"/>
                <w:color w:val="000000"/>
              </w:rPr>
              <w:t>level</w:t>
            </w:r>
            <w:proofErr w:type="gramEnd"/>
            <w:r w:rsidRPr="00F7228F">
              <w:rPr>
                <w:rFonts w:ascii="Arial" w:eastAsia="Times New Roman" w:hAnsi="Arial" w:cs="Arial"/>
                <w:color w:val="000000"/>
              </w:rPr>
              <w:t xml:space="preserve"> 4-fold higher in patient with DID compared with patient without. No correlation with outcome on GOS</w:t>
            </w:r>
          </w:p>
        </w:tc>
      </w:tr>
      <w:tr w:rsidR="00236A5B" w:rsidRPr="00F7228F" w14:paraId="2BF7CEEF"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03E811E" w14:textId="0DEAC1C2"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Schoch et al., 2007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{"citationItems":[{"id":"ITEM-1","itemData":{"DOI":"10.1227/01.NEU.0000255440.21495.80","ISSN":"1524-4040","PMID":"17460517","abstract":"OBJECTIVE: Inflammatory response seems to be one of the relevant pathophysiological aspects for developing vasospasm in subarachnoid hemorrhage. The probable diagnostic value of intrathecal proinflammatory markers is still unclear and is assessed in this study. METHODS: We analyzed daily clinical data and laboratory tests of the cerebrospinal fluid (CSF) of 64 patients with mostly poor-grade subarachnoid hemorrhage during a period of 14 days. Special attention was given to the relationship between the development of vasospasm and the time course of the intrathecal interleukin (IL)-6 concentrations in CSF (IL-6CSF). The potential power of IL-6CSF for predicting vasospasm was studied. RESULTS: Vasospasm developed in 28.1% of the patients, with a mean onset of 6.4 days after bleeding, and was detected by conventional methods. Patients with vasospasm demonstrated statistically significant higher median values of IL-6CSF on Days 4 and 5 (P &lt; 0.05). Most importantly, the increase of IL-6CSF preceded the conventional signs of vasospasm. A cut-off value of IL-6CSF of at least 2000 pg/ml on Day 4 yielded an 11.72-fold higher relative risk (95% confidence interval, 2.93-46.60) of developing vasospasm, predicting vasospasm with a sensitivity of 88.9% and a specificity of 78.3%. We found a statistically significant correlation between IL-6CSF and delayed cerebral ischemia for Day 7 (P = 0.03). However, there was no correlation with IL-6CSF on any other day and outcome. CONCLUSION: IL-6CSF seems to be a reliable early marker for predicting vasospasm after subarachnoid hemorrhage on Days 4 and 5 before clinical onset. Copyright © by the Congress of Neurological Surgeons.","author":[{"dropping-particle":"","family":"Schoch","given":"Beate","non-dropping-particle":"","parse-names":false,"suffix":""},{"dropping-particle":"","family":"Regel","given":"Jens P.","non-dropping-particle":"","parse-names":false,"suffix":""},{"dropping-particle":"","family":"Wichert","given":"Marc","non-dropping-particle":"","parse-names":false,"suffix":""},{"dropping-particle":"","family":"Gasser","given":"Thomas","non-dropping-particle":"","parse-names":false,"suffix":""},{"dropping-particle":"","family":"Volbracht","given":"Lothar","non-dropping-particle":"","parse-names":false,"suffix":""},{"dropping-particle":"","family":"Stolke","given":"Dietmar","non-dropping-particle":"","parse-names":false,"suffix":""}],"container-title":"Neurosurgery","id":"ITEM-1","issue":"5","issued":{"date-parts":[["2007","5"]]},"page":"828-835","publisher":"Neurosurgery","title":"Analysis of intrathecal interleukin-6 as a potential predictive factor for vasospasm in subarachnoid hemorrhage","type":"article-journal","volume":"60"},"uris":["http://www.mendeley.com/documents/?uuid=8f07d749-453e-468d-9f3d-255c1fdad963"]}],"mendeley":{"formattedCitation":"(11)","plainTextFormattedCitation":"(11)","previouslyFormattedCitation":"(11)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(11)</w:t>
            </w:r>
            <w:r w:rsidRPr="00F7228F">
              <w:rPr>
                <w:rFonts w:ascii="Arial" w:eastAsia="Times New Roman" w:hAnsi="Arial" w:cs="Arial"/>
                <w:b/>
                <w:bCs/>
                <w:color w:val="000000"/>
              </w:rPr>
              <w:fldChar w:fldCharType="end"/>
            </w:r>
            <w:r w:rsidRPr="00F7228F">
              <w:rPr>
                <w:rFonts w:ascii="Arial" w:eastAsia="Times New Roman" w:hAnsi="Arial" w:cs="Arial"/>
                <w:b/>
                <w:bCs/>
                <w:color w:val="000000"/>
              </w:rPr>
              <w:t xml:space="preserve"> </w:t>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8EC3A3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64 SAH</w:t>
            </w:r>
          </w:p>
        </w:tc>
        <w:tc>
          <w:tcPr>
            <w:tcW w:w="559" w:type="pct"/>
            <w:tcBorders>
              <w:top w:val="nil"/>
              <w:left w:val="nil"/>
              <w:bottom w:val="single" w:sz="4" w:space="0" w:color="auto"/>
              <w:right w:val="single" w:sz="4" w:space="0" w:color="auto"/>
            </w:tcBorders>
            <w:shd w:val="clear" w:color="auto" w:fill="auto"/>
            <w:vAlign w:val="center"/>
            <w:hideMark/>
          </w:tcPr>
          <w:p w14:paraId="5982DD9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0C7B18B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696FBC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7E9DB32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 11, 12, 13, and 14</w:t>
            </w:r>
          </w:p>
        </w:tc>
        <w:tc>
          <w:tcPr>
            <w:tcW w:w="603" w:type="pct"/>
            <w:tcBorders>
              <w:top w:val="nil"/>
              <w:left w:val="nil"/>
              <w:bottom w:val="single" w:sz="4" w:space="0" w:color="auto"/>
              <w:right w:val="single" w:sz="4" w:space="0" w:color="auto"/>
            </w:tcBorders>
            <w:shd w:val="clear" w:color="auto" w:fill="auto"/>
            <w:vAlign w:val="center"/>
            <w:hideMark/>
          </w:tcPr>
          <w:p w14:paraId="02EE2F5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Mean CSF IL-6 values were 500-fold greater in SAH patients compared with expected normal levels</w:t>
            </w:r>
          </w:p>
        </w:tc>
        <w:tc>
          <w:tcPr>
            <w:tcW w:w="573" w:type="pct"/>
            <w:tcBorders>
              <w:top w:val="nil"/>
              <w:left w:val="nil"/>
              <w:bottom w:val="single" w:sz="4" w:space="0" w:color="auto"/>
              <w:right w:val="single" w:sz="4" w:space="0" w:color="auto"/>
            </w:tcBorders>
            <w:shd w:val="clear" w:color="auto" w:fill="auto"/>
            <w:vAlign w:val="center"/>
            <w:hideMark/>
          </w:tcPr>
          <w:p w14:paraId="069BE12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delayed cerebral ischemia (DCI), Rankin scale by/at discharge</w:t>
            </w:r>
          </w:p>
        </w:tc>
        <w:tc>
          <w:tcPr>
            <w:tcW w:w="607" w:type="pct"/>
            <w:tcBorders>
              <w:top w:val="nil"/>
              <w:left w:val="nil"/>
              <w:bottom w:val="single" w:sz="4" w:space="0" w:color="auto"/>
              <w:right w:val="single" w:sz="4" w:space="0" w:color="auto"/>
            </w:tcBorders>
            <w:shd w:val="clear" w:color="auto" w:fill="auto"/>
            <w:vAlign w:val="center"/>
            <w:hideMark/>
          </w:tcPr>
          <w:p w14:paraId="2518300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 correlation between IL-6 CSF and DCI, but no significant correlation with Rankin scale</w:t>
            </w:r>
          </w:p>
        </w:tc>
      </w:tr>
      <w:tr w:rsidR="00236A5B" w:rsidRPr="00F7228F" w14:paraId="1B1C0ED0" w14:textId="77777777" w:rsidTr="00236A5B">
        <w:trPr>
          <w:trHeight w:val="110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CCA7336" w14:textId="1883EE23"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Nakahara et al., 2009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{"citationItems":[{"id":"ITEM-1","itemData":{"PMID":"19777384","abstract":"Background: High-mobility group box 1 protein (HMGB1) is a nuclear factor that is a potent proinflammatory mediator, and may trigger increases in other inflammatory cytokines. The inflammatory cytokines in the cerebrospinal fluid (CSF) of patients with subarachnoid hemorrhage (SAH) have been reported previously, but HMGB1 has not. In this study, we measured HMGB1 and the inflammatory cytokines in the CSF of patients with SAH. Methods: CSF samples were collected on days 3, 7, and 14 from the drainage tubes of the postaneurysm clips of 39 patients with SAH. HMGB1, interleukin-6 (IL-6), IL-8, and tumor necrosis factor alpha (TNF-α) were measured in the CSF, and compared between the patients with favorable (good recovery and moderate disability) and unfavorable outcomes (severe disability, vegetative state, and death) at 3 months. Results: In the unfavorable outcome group, HMGB1 (P = 0.017), IL-6 (P = 0.003), IL-8 (P = 0.041), and TNF-α (P = 0.002) were significantly increased. HMGB1 correlated significantly with IL-6, IL-8, and TNF-α (R = 0.672, 0.421, and 0.697, respectively). Conclusions: HMGB1 was increased in the CSF of SAH patients with an unfavorable outcome, as were the other cytokines. These results suggest that HMGB1 and cytokines are related to the brain damage observed after SAH. HMGB1 might play a key role in the inflammatory response in the CNS of SAH patients. © 2009 Humana Press Inc.","author":[{"dropping-particle":"","family":"Nakahara","given":"Takashi","non-dropping-particle":"","parse-names":false,"suffix":""},{"dropping-particle":"","family":"Tsuruta","given":"Ryosuke","non-dropping-particle":"","parse-names":false,"suffix":""},{"dropping-particle":"","family":"Kaneko","given":"Tadashi","non-dropping-particle":"","parse-names":false,"suffix":""},{"dropping-particle":"","family":"Yamashita","given":"Susumu","non-dropping-particle":"","parse-names":false,"suffix":""},{"dropping-particle":"","family":"Fujita","given":"Motoki","non-dropping-particle":"","parse-names":false,"suffix":""},{"dropping-particle":"","family":"Kasaoka","given":"Shunji","non-dropping-particle":"","parse-names":false,"suffix":""},{"dropping-particle":"","family":"Hashiguchi","given":"Teruto","non-dropping-particle":"","parse-names":false,"suffix":""},{"dropping-particle":"","family":"Suzuki","given":"Michiyasu","non-dropping-particle":"","parse-names":false,"suffix":""},{"dropping-particle":"","family":"Maruyama","given":"Ikuro","non-dropping-particle":"","parse-names":false,"suffix":""},{"dropping-particle":"","family":"Maekawa","given":"Tsuyoshi","non-dropping-particle":"","parse-names":false,"suffix":""}],"container-title":"Neurocritical Care","id":"ITEM-1","issue":"3","issued":{"date-parts":[["2009","1","24"]]},"page":"362-368","title":"High-mobility group box 1 protein in CSF of patients with subarachnoid hemorrhage","type":"article-journal","volume":"11"},"uris":["http://www.mendeley.com/documents/?uuid=cc1eea56-bfbd-4b66-8fa2-523391c1f865"]}],"mendeley":{"formattedCitation":"(12)","plainTextFormattedCitation":"(12)","previouslyFormattedCitation":"(12)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DB2D2A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39 SAH</w:t>
            </w:r>
            <w:r w:rsidRPr="00F7228F">
              <w:rPr>
                <w:rFonts w:ascii="Arial" w:eastAsia="Times New Roman" w:hAnsi="Arial" w:cs="Arial"/>
                <w:color w:val="000000"/>
              </w:rPr>
              <w:br/>
              <w:t>13 controls</w:t>
            </w:r>
          </w:p>
        </w:tc>
        <w:tc>
          <w:tcPr>
            <w:tcW w:w="559" w:type="pct"/>
            <w:tcBorders>
              <w:top w:val="nil"/>
              <w:left w:val="nil"/>
              <w:bottom w:val="single" w:sz="4" w:space="0" w:color="auto"/>
              <w:right w:val="single" w:sz="4" w:space="0" w:color="auto"/>
            </w:tcBorders>
            <w:shd w:val="clear" w:color="auto" w:fill="auto"/>
            <w:vAlign w:val="center"/>
            <w:hideMark/>
          </w:tcPr>
          <w:p w14:paraId="3047D50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4EC3C2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IL-8, TNF-α</w:t>
            </w:r>
          </w:p>
        </w:tc>
        <w:tc>
          <w:tcPr>
            <w:tcW w:w="661" w:type="pct"/>
            <w:tcBorders>
              <w:top w:val="nil"/>
              <w:left w:val="nil"/>
              <w:bottom w:val="single" w:sz="4" w:space="0" w:color="auto"/>
              <w:right w:val="single" w:sz="4" w:space="0" w:color="auto"/>
            </w:tcBorders>
            <w:shd w:val="clear" w:color="auto" w:fill="auto"/>
            <w:vAlign w:val="center"/>
            <w:hideMark/>
          </w:tcPr>
          <w:p w14:paraId="4707F1B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16D028C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3, 7, 14</w:t>
            </w:r>
          </w:p>
        </w:tc>
        <w:tc>
          <w:tcPr>
            <w:tcW w:w="603" w:type="pct"/>
            <w:tcBorders>
              <w:top w:val="nil"/>
              <w:left w:val="nil"/>
              <w:bottom w:val="single" w:sz="4" w:space="0" w:color="auto"/>
              <w:right w:val="single" w:sz="4" w:space="0" w:color="auto"/>
            </w:tcBorders>
            <w:shd w:val="clear" w:color="auto" w:fill="auto"/>
            <w:vAlign w:val="center"/>
            <w:hideMark/>
          </w:tcPr>
          <w:p w14:paraId="4AB968C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IL-6 levels graphically peaked at day 7</w:t>
            </w:r>
          </w:p>
        </w:tc>
        <w:tc>
          <w:tcPr>
            <w:tcW w:w="573" w:type="pct"/>
            <w:tcBorders>
              <w:top w:val="nil"/>
              <w:left w:val="nil"/>
              <w:bottom w:val="single" w:sz="4" w:space="0" w:color="auto"/>
              <w:right w:val="single" w:sz="4" w:space="0" w:color="auto"/>
            </w:tcBorders>
            <w:shd w:val="clear" w:color="auto" w:fill="auto"/>
            <w:vAlign w:val="center"/>
            <w:hideMark/>
          </w:tcPr>
          <w:p w14:paraId="45F6931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GOS at 3 months</w:t>
            </w:r>
          </w:p>
        </w:tc>
        <w:tc>
          <w:tcPr>
            <w:tcW w:w="607" w:type="pct"/>
            <w:tcBorders>
              <w:top w:val="nil"/>
              <w:left w:val="nil"/>
              <w:bottom w:val="single" w:sz="4" w:space="0" w:color="auto"/>
              <w:right w:val="single" w:sz="4" w:space="0" w:color="auto"/>
            </w:tcBorders>
            <w:shd w:val="clear" w:color="auto" w:fill="auto"/>
            <w:vAlign w:val="center"/>
            <w:hideMark/>
          </w:tcPr>
          <w:p w14:paraId="1F765EB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In the unfavourable outcome group, IL-6, IL-8, and TNF-α were significantly increased. </w:t>
            </w:r>
          </w:p>
        </w:tc>
      </w:tr>
      <w:tr w:rsidR="00236A5B" w:rsidRPr="00F7228F" w14:paraId="4DEE1F1A"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E70F8DD" w14:textId="4F9E6C03"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lastRenderedPageBreak/>
              <w:t>Sarrafzadeh</w:t>
            </w:r>
            <w:proofErr w:type="spellEnd"/>
            <w:r w:rsidRPr="00F7228F">
              <w:rPr>
                <w:rFonts w:ascii="Arial" w:eastAsia="Times New Roman" w:hAnsi="Arial" w:cs="Arial"/>
                <w:b/>
                <w:bCs/>
                <w:color w:val="000000"/>
              </w:rPr>
              <w:t xml:space="preserve"> et al., 2010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{"citationItems":[{"id":"ITEM-1","itemData":{"DOI":"10.1007/S12028-010-9432-4/FIGURES/2","ISSN":"15416933","PMID":"20725805","abstract":"Background: This study examines the inflammatory response via interleukin-6 (IL-6) in aneurysmal subarachnoid hemorrhage (aSAH) patients and its association with their clinical course (occurrence of acute focal neurological deficits, AFND; and delayed cerebral ischemia, DCI). Methods: A total of 38 consecutive aSAH patients were studied prospectively within 14 days after admission and classified as asymptomatic (n = 9; WFNS grade 1 (1-2), median and quartiles) and symptomatic (n = 29; WFNS grade 4 (2-5)); the latter presenting with AFND (n = 13), DCI (n = 10) or both (n = 6). Levels of pro-inflammatory cytokine IL-6 were determined in cerebral extracellular fluid (ECF, using cerebral microdialysis), cerebrospinal fluid (CSF) and plasma for 10 days after aSAH. Additionally, C-reactive protein (CRP) levels were measured in plasma. Results: High IL-6 levels in CSF, ECF and plasma were found in all patients, reflecting a pronounced local inflammatory response after aSAH, followed only in symptomatic patients by a delayed systemic inflammation (CRP P &lt; 0.025, days 7-9 after aSAH). In all compartments, IL-6 levels appeared to be higher in symptomatic patients, accompanied also by a higher ECF lactate-pyruvate ratio (P = 0.04). Cerebral, but not plasma IL-6, levels were indicative of the development of DCI in symptomatic patients (ECF P = 0.003; CSF P = 0.001). Conclusions: A pronounced initial cerebral inflammatory state was observed in patients of all WFNS grades, suggesting that IL-6 elevations are not necessarily detrimental. Cerebral, but not plasma IL-6, levels were predictive of the development of delayed ischemic deficits in symptomatic patients, suggesting that CSF or ECF are the best sampling media for future studies. © 2010 Springer Science+Business Media, LLC.","author":[{"dropping-particle":"","family":"Sarrafzadeh","given":"Asita","non-dropping-particle":"","parse-names":false,"suffix":""},{"dropping-particle":"","family":"Schlenk","given":"Florian","non-dropping-particle":"","parse-names":false,"suffix":""},{"dropping-particle":"","family":"Gericke","given":"Christine","non-dropping-particle":"","parse-names":false,"suffix":""},{"dropping-particle":"","family":"Vajkoczy","given":"Peter","non-dropping-particle":"","parse-names":false,"suffix":""}],"container-title":"Neurocritical Care","id":"ITEM-1","issue":"3","issued":{"date-parts":[["2010","12","20"]]},"page":"339-346","publisher":"Springer","title":"Relevance of cerebral interleukin-6 after aneurysmal subarachnoid hemorrhage","type":"article-journal","volume":"13"},"uris":["http://www.mendeley.com/documents/?uuid=37cacf00-41ce-4e1c-80bd-7eb871e9118e"]}],"mendeley":{"formattedCitation":"(13)","plainTextFormattedCitation":"(13)","previouslyFormattedCitation":"(13)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F07EBB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38 SAH</w:t>
            </w:r>
          </w:p>
        </w:tc>
        <w:tc>
          <w:tcPr>
            <w:tcW w:w="559" w:type="pct"/>
            <w:tcBorders>
              <w:top w:val="nil"/>
              <w:left w:val="nil"/>
              <w:bottom w:val="single" w:sz="4" w:space="0" w:color="auto"/>
              <w:right w:val="single" w:sz="4" w:space="0" w:color="auto"/>
            </w:tcBorders>
            <w:shd w:val="clear" w:color="auto" w:fill="auto"/>
            <w:vAlign w:val="center"/>
            <w:hideMark/>
          </w:tcPr>
          <w:p w14:paraId="1DEA6C2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4543CF2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56E49A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 ECF</w:t>
            </w:r>
          </w:p>
        </w:tc>
        <w:tc>
          <w:tcPr>
            <w:tcW w:w="475" w:type="pct"/>
            <w:tcBorders>
              <w:top w:val="nil"/>
              <w:left w:val="nil"/>
              <w:bottom w:val="single" w:sz="4" w:space="0" w:color="auto"/>
              <w:right w:val="single" w:sz="4" w:space="0" w:color="auto"/>
            </w:tcBorders>
            <w:shd w:val="clear" w:color="auto" w:fill="auto"/>
            <w:vAlign w:val="center"/>
            <w:hideMark/>
          </w:tcPr>
          <w:p w14:paraId="030D7B7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w:t>
            </w:r>
          </w:p>
        </w:tc>
        <w:tc>
          <w:tcPr>
            <w:tcW w:w="603" w:type="pct"/>
            <w:tcBorders>
              <w:top w:val="nil"/>
              <w:left w:val="nil"/>
              <w:bottom w:val="single" w:sz="4" w:space="0" w:color="auto"/>
              <w:right w:val="single" w:sz="4" w:space="0" w:color="auto"/>
            </w:tcBorders>
            <w:shd w:val="clear" w:color="auto" w:fill="auto"/>
            <w:vAlign w:val="center"/>
            <w:hideMark/>
          </w:tcPr>
          <w:p w14:paraId="37475E1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Highest IL-6 levels were measured in CSF followed by ECF, then plasma</w:t>
            </w:r>
          </w:p>
        </w:tc>
        <w:tc>
          <w:tcPr>
            <w:tcW w:w="573" w:type="pct"/>
            <w:tcBorders>
              <w:top w:val="nil"/>
              <w:left w:val="nil"/>
              <w:bottom w:val="single" w:sz="4" w:space="0" w:color="auto"/>
              <w:right w:val="single" w:sz="4" w:space="0" w:color="auto"/>
            </w:tcBorders>
            <w:shd w:val="clear" w:color="auto" w:fill="auto"/>
            <w:vAlign w:val="center"/>
            <w:hideMark/>
          </w:tcPr>
          <w:p w14:paraId="47F1D04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or neurological deficit during admission, </w:t>
            </w:r>
            <w:proofErr w:type="gramStart"/>
            <w:r w:rsidRPr="00F7228F">
              <w:rPr>
                <w:rFonts w:ascii="Arial" w:eastAsia="Times New Roman" w:hAnsi="Arial" w:cs="Arial"/>
                <w:color w:val="000000"/>
              </w:rPr>
              <w:t>GOS  at</w:t>
            </w:r>
            <w:proofErr w:type="gramEnd"/>
            <w:r w:rsidRPr="00F7228F">
              <w:rPr>
                <w:rFonts w:ascii="Arial" w:eastAsia="Times New Roman" w:hAnsi="Arial" w:cs="Arial"/>
                <w:color w:val="000000"/>
              </w:rPr>
              <w:t xml:space="preserve"> 6 and 12 months</w:t>
            </w:r>
          </w:p>
        </w:tc>
        <w:tc>
          <w:tcPr>
            <w:tcW w:w="607" w:type="pct"/>
            <w:tcBorders>
              <w:top w:val="nil"/>
              <w:left w:val="nil"/>
              <w:bottom w:val="single" w:sz="4" w:space="0" w:color="auto"/>
              <w:right w:val="single" w:sz="4" w:space="0" w:color="auto"/>
            </w:tcBorders>
            <w:shd w:val="clear" w:color="auto" w:fill="auto"/>
            <w:vAlign w:val="center"/>
            <w:hideMark/>
          </w:tcPr>
          <w:p w14:paraId="22D12E6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Cerebral, but not plasma IL-6, levels were predictive for the development of ischaemic deficits</w:t>
            </w:r>
          </w:p>
        </w:tc>
      </w:tr>
      <w:tr w:rsidR="00236A5B" w:rsidRPr="00F7228F" w14:paraId="0DFB74FB"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32C01AF" w14:textId="415158BD"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Graetz et al., 2010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{"citationItems":[{"id":"ITEM-1","itemData":{"DOI":"10.1179/016164109X12464612122650","PMID":"19682408","abstract":"Objective: There is a rising debate about the role of inflammation in the pathogenesis of complications after aneurysmal subarachnoid hemorrhage (SAH) such as intracranial hypertension (intracranial pressure, ICP &gt;20 mmHg). This study aimed to analyse the origin of interleukin-6 (IL-6) in respect to ICP and cerebral metabolism in SAH patients. Methods: Prospectively, IL-6 was measured in three compartments, the extracellular fluid (ECF) monitored by cerebral microdialysis (MD), cerebrospinal fluid (CSF) and plasma for 10 days after SAH (days 0-4, three times daily; days 5-10, two times daily). Patients were classified having intracranial hypertension (n=7) or normal ICP (n=17) during 10 days after bleeding. Glasgow outcome scale (GOS) was assessed after 3 and 6 months. Results: Patient groups were comparable for age, WFNS and Fisher grade. Intracranial hypertension was associated with an inflammatory response, indicating activation of the inflammatory cascade in the brain (ECF) and systemic circulation with high IL-6 and C-reactive protein (CRP) plasma levels after SAH, the latter associated with unfavourable outcome. The data suggest the ECF but not the CSF as main origin of IL-6 in the systemic circulation in the presence of intracranial hypertension in SAH. Discussion: Intracranial hypertension is associated with a strong activation of the inflammatory cascade in the brain and systemic circulation, and might be underestimated as proinflammmatory trigger in the pathogenesis of complications after SAH. Future therapies targeting anti-inflammatory response in plasma may help to reduce the inflammatory cascade responsible for development of intracranial hypertension. © 2010 Maney Publishing.","author":[{"dropping-particle":"","family":"Graetz","given":"Daniela","non-dropping-particle":"","parse-names":false,"suffix":""},{"dropping-particle":"","family":"Nagel","given":"Alexandra","non-dropping-particle":"","parse-names":false,"suffix":""},{"dropping-particle":"","family":"Schlenk","given":"Florian","non-dropping-particle":"","parse-names":false,"suffix":""},{"dropping-particle":"","family":"Sakowitz","given":"Oliver","non-dropping-particle":"","parse-names":false,"suffix":""},{"dropping-particle":"","family":"Vajkoczy","given":"Peter","non-dropping-particle":"","parse-names":false,"suffix":""},{"dropping-particle":"","family":"Sarrafzadeh","given":"Asita","non-dropping-particle":"","parse-names":false,"suffix":""}],"container-title":"Neurological research","id":"ITEM-1","issue":"7","issued":{"date-parts":[["2010","9","1"]]},"page":"728-735","title":"High ICP as trigger of proinflammatory IL-6 cytokine activation in aneurysmal subarachnoid hemorrhage","type":"article-journal","volume":"32"},"uris":["http://www.mendeley.com/documents/?uuid=3c564ccc-6ba7-4c92-b5c8-82d52535b769"]}],"mendeley":{"formattedCitation":"(14)","plainTextFormattedCitation":"(14)","previouslyFormattedCitation":"(14)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(14)</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A497D3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24 SAH</w:t>
            </w:r>
          </w:p>
        </w:tc>
        <w:tc>
          <w:tcPr>
            <w:tcW w:w="559" w:type="pct"/>
            <w:tcBorders>
              <w:top w:val="nil"/>
              <w:left w:val="nil"/>
              <w:bottom w:val="single" w:sz="4" w:space="0" w:color="auto"/>
              <w:right w:val="single" w:sz="4" w:space="0" w:color="auto"/>
            </w:tcBorders>
            <w:shd w:val="clear" w:color="auto" w:fill="auto"/>
            <w:vAlign w:val="center"/>
            <w:hideMark/>
          </w:tcPr>
          <w:p w14:paraId="4055EE1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B9ACD6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3CC6D05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 ECF</w:t>
            </w:r>
          </w:p>
        </w:tc>
        <w:tc>
          <w:tcPr>
            <w:tcW w:w="475" w:type="pct"/>
            <w:tcBorders>
              <w:top w:val="nil"/>
              <w:left w:val="nil"/>
              <w:bottom w:val="single" w:sz="4" w:space="0" w:color="auto"/>
              <w:right w:val="single" w:sz="4" w:space="0" w:color="auto"/>
            </w:tcBorders>
            <w:shd w:val="clear" w:color="auto" w:fill="auto"/>
            <w:vAlign w:val="center"/>
            <w:hideMark/>
          </w:tcPr>
          <w:p w14:paraId="3233975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w:t>
            </w:r>
          </w:p>
        </w:tc>
        <w:tc>
          <w:tcPr>
            <w:tcW w:w="603" w:type="pct"/>
            <w:tcBorders>
              <w:top w:val="nil"/>
              <w:left w:val="nil"/>
              <w:bottom w:val="single" w:sz="4" w:space="0" w:color="auto"/>
              <w:right w:val="single" w:sz="4" w:space="0" w:color="auto"/>
            </w:tcBorders>
            <w:shd w:val="clear" w:color="auto" w:fill="auto"/>
            <w:vAlign w:val="center"/>
            <w:hideMark/>
          </w:tcPr>
          <w:p w14:paraId="0041902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Highest IL-6 levels were measured in CSF followed by ECF, then plasma. Patients with higher intracranial pressure had higher IL-6 levels.</w:t>
            </w:r>
          </w:p>
        </w:tc>
        <w:tc>
          <w:tcPr>
            <w:tcW w:w="573" w:type="pct"/>
            <w:tcBorders>
              <w:top w:val="nil"/>
              <w:left w:val="nil"/>
              <w:bottom w:val="single" w:sz="4" w:space="0" w:color="auto"/>
              <w:right w:val="single" w:sz="4" w:space="0" w:color="auto"/>
            </w:tcBorders>
            <w:shd w:val="clear" w:color="auto" w:fill="auto"/>
            <w:vAlign w:val="center"/>
            <w:hideMark/>
          </w:tcPr>
          <w:p w14:paraId="6E437D0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DIND within 10 days, GOS at 3 and 6 months</w:t>
            </w:r>
          </w:p>
        </w:tc>
        <w:tc>
          <w:tcPr>
            <w:tcW w:w="607" w:type="pct"/>
            <w:tcBorders>
              <w:top w:val="nil"/>
              <w:left w:val="nil"/>
              <w:bottom w:val="single" w:sz="4" w:space="0" w:color="auto"/>
              <w:right w:val="single" w:sz="4" w:space="0" w:color="auto"/>
            </w:tcBorders>
            <w:shd w:val="clear" w:color="auto" w:fill="auto"/>
            <w:vAlign w:val="center"/>
            <w:hideMark/>
          </w:tcPr>
          <w:p w14:paraId="2E1F9DF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In the unfavourable outcome group, IL-6 levels were significantly increased. </w:t>
            </w:r>
          </w:p>
        </w:tc>
      </w:tr>
      <w:tr w:rsidR="00236A5B" w:rsidRPr="00F7228F" w14:paraId="75F1A431"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02C384C6" w14:textId="2AE8C87A"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Muroi</w:t>
            </w:r>
            <w:proofErr w:type="spellEnd"/>
            <w:r w:rsidRPr="00F7228F">
              <w:rPr>
                <w:rFonts w:ascii="Arial" w:eastAsia="Times New Roman" w:hAnsi="Arial" w:cs="Arial"/>
                <w:b/>
                <w:bCs/>
                <w:color w:val="000000"/>
              </w:rPr>
              <w:t xml:space="preserve"> et al., 2011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{"citationItems":[{"id":"ITEM-1","itemData":{"DOI":"10.1016/J.JOCN.2011.03.022","ISSN":"1532-2653","PMID":"22019436","abstract":"Patients with spontaneous non-aneurysmal subarachnoid hemorrhage (non-aSAH) are considered to have a benign illness in contrast to patients with aSAH. The occurrence of the systemic inflammatory response syndrome has been linked to worse outcomes in patients with aSAH. We analyzed systemic interleukin (IL)-6, a proinflammatory cytokine, to determine whether its concentration differs between patients with non-aSAH and those with aSAH, reflecting the more benign illness. Daily systemic IL-6 levels were measured in the acute phase in 11 patients with non-aneurysmal perimesencephalic SAH (pmSAH), with bleeding strictly located around the midbrain, and in nine patients with non-aneurysmal non-perimesencephalic (non-pmSAH), with hemorrhage extending into adjacent cisterns (group 1). IL-6 levels were compared with those from patients suffering from aSAH with cerebral vasospasm (CVS) (group 2) and without CVS (group 3). The mean IL-6 level (±standard error of the mean) was significantly lower in group 1 compared to group 2 (9.9 ± 1.9 vs. 29.1 ± 6.7 pg/mL, p = 0.018). The difference in mean IL-6 level between group 1 and 3 fell short of significance (9.9 ± 1.9 vs. 14.9 ± 1.1 pg/mL, p = 0.073). Patients in group 1 had a significantly better outcome (Glasgow Outcome Scale score 4-5) compared to group 2 (p &lt; 0.001) and a trend towards better outcome compared to group 3 (p = 0.102). A subgroup analysis revealed a higher mean IL-6 concentration in patients with non-pmSAH compared to patients with pm-SAH (p = 0.001). We concluded that systemic IL-6 concentration reflects the severity of the inflammatory stress response and course of the illness. The more benign illness and good prognosis of patients with pmSAH or non-pmSAH in contrast to patients with aSAH is reflected by the lower concentrations of IL-6. © 2011 Elsevier Ltd. All rights reserved.","author":[{"dropping-particle":"","family":"Muroi","given":"Carl","non-dropping-particle":"","parse-names":false,"suffix":""},{"dropping-particle":"","family":"Bellut","given":"David","non-dropping-particle":"","parse-names":false,"suffix":""},{"dropping-particle":"","family":"Coluccia","given":"Daniel","non-dropping-particle":"","parse-names":false,"suffix":""},{"dropping-particle":"","family":"Mink","given":"Susanne","non-dropping-particle":"","parse-names":false,"suffix":""},{"dropping-particle":"","family":"Fujioka","given":"Masayuki","non-dropping-particle":"","parse-names":false,"suffix":""},{"dropping-particle":"","family":"Keller","given":"E.","non-dropping-particle":"","parse-names":false,"suffix":""}],"container-title":"Journal of clinical neuroscience : official journal of the Neurosurgical Society of Australasia","id":"ITEM-1","issue":"12","issued":{"date-parts":[["2011","12"]]},"page":"1626-1629","publisher":"J Clin Neurosci","title":"Systemic interleukin-6 concentrations in patients with perimesencephalic non-aneurysmal subarachnoid hemorrhage","type":"article-journal","volume":"18"},"uris":["http://www.mendeley.com/documents/?uuid=f857351e-b669-3251-bcdf-6ff84b189e57"]}],"mendeley":{"formattedCitation":"(15)","plainTextFormattedCitation":"(15)","previouslyFormattedCitation":"(15)"},"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(15)</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1C94D4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99 SAH</w:t>
            </w:r>
            <w:r w:rsidRPr="00F7228F">
              <w:rPr>
                <w:rFonts w:ascii="Arial" w:eastAsia="Times New Roman" w:hAnsi="Arial" w:cs="Arial"/>
                <w:color w:val="000000"/>
              </w:rPr>
              <w:br/>
              <w:t>20 controls</w:t>
            </w:r>
          </w:p>
        </w:tc>
        <w:tc>
          <w:tcPr>
            <w:tcW w:w="559" w:type="pct"/>
            <w:tcBorders>
              <w:top w:val="nil"/>
              <w:left w:val="nil"/>
              <w:bottom w:val="single" w:sz="4" w:space="0" w:color="auto"/>
              <w:right w:val="single" w:sz="4" w:space="0" w:color="auto"/>
            </w:tcBorders>
            <w:shd w:val="clear" w:color="auto" w:fill="auto"/>
            <w:vAlign w:val="center"/>
            <w:hideMark/>
          </w:tcPr>
          <w:p w14:paraId="42A5D90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F84FD7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BFDE44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362C3ED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w:t>
            </w:r>
          </w:p>
        </w:tc>
        <w:tc>
          <w:tcPr>
            <w:tcW w:w="603" w:type="pct"/>
            <w:tcBorders>
              <w:top w:val="nil"/>
              <w:left w:val="nil"/>
              <w:bottom w:val="single" w:sz="4" w:space="0" w:color="auto"/>
              <w:right w:val="single" w:sz="4" w:space="0" w:color="auto"/>
            </w:tcBorders>
            <w:shd w:val="clear" w:color="auto" w:fill="auto"/>
            <w:vAlign w:val="center"/>
            <w:hideMark/>
          </w:tcPr>
          <w:p w14:paraId="5A742C1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Aneurysmatic SAH patients had significantly higher IL-6 values compared with peri- mesencephalic SAH patients</w:t>
            </w:r>
          </w:p>
        </w:tc>
        <w:tc>
          <w:tcPr>
            <w:tcW w:w="573" w:type="pct"/>
            <w:tcBorders>
              <w:top w:val="nil"/>
              <w:left w:val="nil"/>
              <w:bottom w:val="single" w:sz="4" w:space="0" w:color="auto"/>
              <w:right w:val="single" w:sz="4" w:space="0" w:color="auto"/>
            </w:tcBorders>
            <w:shd w:val="clear" w:color="auto" w:fill="auto"/>
            <w:vAlign w:val="center"/>
            <w:hideMark/>
          </w:tcPr>
          <w:p w14:paraId="35CBD0E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between days 4 and 14, GOS at 3 months</w:t>
            </w:r>
          </w:p>
        </w:tc>
        <w:tc>
          <w:tcPr>
            <w:tcW w:w="607" w:type="pct"/>
            <w:tcBorders>
              <w:top w:val="nil"/>
              <w:left w:val="nil"/>
              <w:bottom w:val="single" w:sz="4" w:space="0" w:color="auto"/>
              <w:right w:val="single" w:sz="4" w:space="0" w:color="auto"/>
            </w:tcBorders>
            <w:shd w:val="clear" w:color="auto" w:fill="auto"/>
            <w:vAlign w:val="center"/>
            <w:hideMark/>
          </w:tcPr>
          <w:p w14:paraId="671A45B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Higher IL-6 levels in patients who had vasospasm</w:t>
            </w:r>
          </w:p>
        </w:tc>
      </w:tr>
      <w:tr w:rsidR="00236A5B" w:rsidRPr="00F7228F" w14:paraId="64FDA9C5"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234F1C6" w14:textId="732D9DE0"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Ni et al., 2011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{"citationItems":[{"id":"ITEM-1","itemData":{"DOI":"10.1007/978-3-7091-0353-1_35","ISBN":"9783709103524","ISSN":"0065-1419","PMID":"21116940","abstract":"Background: It is hypothesized that inflammatory response after subarachnoid hemorrhage (SAH) may play a relevant role in the development and maintenance of vasospasm. This research investigated the correlation between IL-6 in cerebrospinal fluid (CSF) after SAH and the occurrence of vasospasm. Methods: We analyzed both daily clinical manifestation and laboratory data of CSF in 46 patients who suffered from intracranial aneurismal subarachnoid hemorrhage during a period of 14 days, studied the relationship between the development of vasospasm and the quantities of the inflammatory factor, revealing potential power of IL-6 for predicting vasospasm detected by transcranial doppler (TCD). Results: The incidence of vasospasm developed in 43.5% of the patients, with a mean onset of 6.1±4.6 days after intracranial aneurysm treatment. Patients with vasospasm demonstrated statistically significant higher median values of IL-6CSF on Day 1, 2, 3, 5 and 7 (P&lt;0.05). The cut-off value is settled in 400pg/ml on Day 3 after treatment. On the other hand, gender, Hunt &amp; Hess scale (H&amp;H) and Fisher scale of CT after SAH were proved to be the correlation factor with vasospasm. Conclusion: IL-6CSF seems to be a reliable early marker for predicting vasospasm after subarachnoid hemorrhage on Days 3 after treatment before clinical onset. © 2011 Springer-Verlag/Wien.","author":[{"dropping-particle":"","family":"Ni","given":"W.","non-dropping-particle":"","parse-names":false,"suffix":""},{"dropping-particle":"","family":"Gu","given":"Y. X.","non-dropping-particle":"","parse-names":false,"suffix":""},{"dropping-particle":"","family":"Song","given":"D. L.","non-dropping-particle":"","parse-names":false,"suffix":""},{"dropping-particle":"","family":"Leng","given":"B.","non-dropping-particle":"","parse-names":false,"suffix":""},{"dropping-particle":"","family":"Li","given":"P. L.","non-dropping-particle":"","parse-names":false,"suffix":""},{"dropping-particle":"","family":"Mao","given":"Y.","non-dropping-particle":"","parse-names":false,"suffix":""}],"container-title":"Acta neurochirurgica. Supplement","id":"ITEM-1","issue":"Pt 1","issued":{"date-parts":[["2011"]]},"page":"203-208","publisher":"Acta Neurochir Suppl","title":"The relationship between IL-6 in CSF and occurrence of vasospasm after subarachnoid hemorrhage","type":"article-journal","volume":"110"},"uris":["http://www.mendeley.com/documents/?uuid=6f94d90d-db83-332a-87fc-3240bf32cecc"]}],"mendeley":{"formattedCitation":"(16)","plainTextFormattedCitation":"(16)","previouslyFormattedCitation":"(16)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42C0A1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46 SAH</w:t>
            </w:r>
          </w:p>
        </w:tc>
        <w:tc>
          <w:tcPr>
            <w:tcW w:w="559" w:type="pct"/>
            <w:tcBorders>
              <w:top w:val="nil"/>
              <w:left w:val="nil"/>
              <w:bottom w:val="single" w:sz="4" w:space="0" w:color="auto"/>
              <w:right w:val="single" w:sz="4" w:space="0" w:color="auto"/>
            </w:tcBorders>
            <w:shd w:val="clear" w:color="auto" w:fill="auto"/>
            <w:vAlign w:val="center"/>
            <w:hideMark/>
          </w:tcPr>
          <w:p w14:paraId="388B703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85DBF3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1F7E29E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461B4DB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 2, 3, </w:t>
            </w:r>
            <w:proofErr w:type="gramStart"/>
            <w:r w:rsidRPr="00F7228F">
              <w:rPr>
                <w:rFonts w:ascii="Arial" w:eastAsia="Times New Roman" w:hAnsi="Arial" w:cs="Arial"/>
                <w:color w:val="000000"/>
              </w:rPr>
              <w:t>5,  7</w:t>
            </w:r>
            <w:proofErr w:type="gramEnd"/>
          </w:p>
        </w:tc>
        <w:tc>
          <w:tcPr>
            <w:tcW w:w="603" w:type="pct"/>
            <w:tcBorders>
              <w:top w:val="nil"/>
              <w:left w:val="nil"/>
              <w:bottom w:val="single" w:sz="4" w:space="0" w:color="auto"/>
              <w:right w:val="single" w:sz="4" w:space="0" w:color="auto"/>
            </w:tcBorders>
            <w:shd w:val="clear" w:color="auto" w:fill="auto"/>
            <w:vAlign w:val="center"/>
            <w:hideMark/>
          </w:tcPr>
          <w:p w14:paraId="2081B03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median level of IL-6 in CSF is greater than 400pg/ml </w:t>
            </w:r>
            <w:r w:rsidRPr="00F7228F">
              <w:rPr>
                <w:rFonts w:ascii="Arial" w:eastAsia="Times New Roman" w:hAnsi="Arial" w:cs="Arial"/>
                <w:color w:val="000000"/>
              </w:rPr>
              <w:lastRenderedPageBreak/>
              <w:t>at all time points</w:t>
            </w:r>
          </w:p>
        </w:tc>
        <w:tc>
          <w:tcPr>
            <w:tcW w:w="573" w:type="pct"/>
            <w:tcBorders>
              <w:top w:val="nil"/>
              <w:left w:val="nil"/>
              <w:bottom w:val="single" w:sz="4" w:space="0" w:color="auto"/>
              <w:right w:val="single" w:sz="4" w:space="0" w:color="auto"/>
            </w:tcBorders>
            <w:shd w:val="clear" w:color="auto" w:fill="auto"/>
            <w:vAlign w:val="center"/>
            <w:hideMark/>
          </w:tcPr>
          <w:p w14:paraId="2A52DB92" w14:textId="77777777" w:rsidR="00236A5B" w:rsidRPr="00F7228F" w:rsidRDefault="00236A5B" w:rsidP="000B242D">
            <w:pPr>
              <w:spacing w:after="0" w:line="240" w:lineRule="auto"/>
              <w:jc w:val="center"/>
              <w:rPr>
                <w:rFonts w:ascii="Arial" w:eastAsia="Times New Roman" w:hAnsi="Arial" w:cs="Arial"/>
                <w:color w:val="212121"/>
              </w:rPr>
            </w:pPr>
            <w:r w:rsidRPr="00F7228F">
              <w:rPr>
                <w:rFonts w:ascii="Arial" w:eastAsia="Times New Roman" w:hAnsi="Arial" w:cs="Arial"/>
                <w:color w:val="212121"/>
              </w:rPr>
              <w:lastRenderedPageBreak/>
              <w:t>Vasospasm within 14 days</w:t>
            </w:r>
          </w:p>
        </w:tc>
        <w:tc>
          <w:tcPr>
            <w:tcW w:w="607" w:type="pct"/>
            <w:tcBorders>
              <w:top w:val="nil"/>
              <w:left w:val="nil"/>
              <w:bottom w:val="single" w:sz="4" w:space="0" w:color="auto"/>
              <w:right w:val="single" w:sz="4" w:space="0" w:color="auto"/>
            </w:tcBorders>
            <w:shd w:val="clear" w:color="auto" w:fill="auto"/>
            <w:vAlign w:val="center"/>
            <w:hideMark/>
          </w:tcPr>
          <w:p w14:paraId="47BE277C" w14:textId="77777777" w:rsidR="00236A5B" w:rsidRPr="00F7228F" w:rsidRDefault="00236A5B" w:rsidP="000B242D">
            <w:pPr>
              <w:spacing w:after="0" w:line="240" w:lineRule="auto"/>
              <w:jc w:val="center"/>
              <w:rPr>
                <w:rFonts w:ascii="Arial" w:eastAsia="Times New Roman" w:hAnsi="Arial" w:cs="Arial"/>
                <w:color w:val="212121"/>
              </w:rPr>
            </w:pPr>
            <w:r w:rsidRPr="00F7228F">
              <w:rPr>
                <w:rFonts w:ascii="Arial" w:eastAsia="Times New Roman" w:hAnsi="Arial" w:cs="Arial"/>
                <w:color w:val="212121"/>
              </w:rPr>
              <w:t xml:space="preserve">Patients with vasospasm had higher median values </w:t>
            </w:r>
            <w:r w:rsidRPr="00F7228F">
              <w:rPr>
                <w:rFonts w:ascii="Arial" w:eastAsia="Times New Roman" w:hAnsi="Arial" w:cs="Arial"/>
                <w:color w:val="212121"/>
              </w:rPr>
              <w:lastRenderedPageBreak/>
              <w:t>of IL-6 CSF on all days</w:t>
            </w:r>
          </w:p>
        </w:tc>
      </w:tr>
      <w:tr w:rsidR="00236A5B" w:rsidRPr="00F7228F" w14:paraId="622C0452"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266CFB8" w14:textId="35F8F4DF"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Chou et al., 2012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{"citationItems":[{"id":"ITEM-1","itemData":{"DOI":"10.2310/JIM.0B013E3182686932","ISSN":"1708-8267","PMID":"22918199","abstract":"Objective: Subarachnoid hemorrhage (SAH) is associated with inflammation that may mediate poor outcome in SAH.We hypothesize that elevated serum tumor necrosis factor α (TNF-α) and interleukin 6 (IL-6) are associated with vasospasm and poor outcome in SAH. Methods: In 52 consecutive SAH subjects, we compared TNF-α and IL-6 levels on post-SAH days 0 to 1, 2 to 3, 4 to 5, 6 to 8, and 10 to 14 with respect to vasospasm and to poor outcome at 3 and 6 months. Vasospasm was defined as more than 50% reduction in vessel caliber on angiography. Poor outcome was defined as modified Rankin score greater than 2. Results: Elevated TNF-α on post-SAH days 2 to 3 was associated with poor 3-month outcome (P = 0.0004). Global elevation of TNF-α over time (post-SAH days 0Y14) was independently associated with poor 3-month outcome after adjusting for Hunt-and-Hess grade and age (P = 0.02). Neither cross-sectional nor IL-6 levels over time were associated with outcome. Neither TNF-α nor IL-6 levels were associated with vasospasm. Conclusions: Elevation in serum TNFα on post-SAH days 2 to 3 and global elevation of TNF-α over time are associated with poor outcome but not with angiographic vasospasm in this small cohort. Future studies are needed to define the role of TNF-α in SAH-related brain injury and its potential as a SAH outcome biomarker. © 2012 American Federation for Medical Research.","author":[{"dropping-particle":"","family":"Chou","given":"Sherry H.Y.","non-dropping-particle":"","parse-names":false,"suffix":""},{"dropping-particle":"","family":"Feske","given":"Steven K.","non-dropping-particle":"","parse-names":false,"suffix":""},{"dropping-particle":"","family":"Atherton","given":"Juli","non-dropping-particle":"","parse-names":false,"suffix":""},{"dropping-particle":"","family":"Konigsberg","given":"Rachael G.","non-dropping-particle":"","parse-names":false,"suffix":""},{"dropping-particle":"","family":"Jager","given":"Philip L.","non-dropping-particle":"De","parse-names":false,"suffix":""},{"dropping-particle":"","family":"Du","given":"Rose","non-dropping-particle":"","parse-names":false,"suffix":""},{"dropping-particle":"","family":"Ogilvy","given":"Christopher S.","non-dropping-particle":"","parse-names":false,"suffix":""},{"dropping-particle":"","family":"Lo","given":"Eng H.","non-dropping-particle":"","parse-names":false,"suffix":""},{"dropping-particle":"","family":"Ning","given":"Ming Ming","non-dropping-particle":"","parse-names":false,"suffix":""}],"container-title":"Journal of investigative medicine","id":"ITEM-1","issue":"7","issued":{"date-parts":[["2012"]]},"page":"1054-1058","publisher":"J Investig Med","title":"Early elevation of serum tumor necrosis factor-α is associated with poor outcome in subarachnoid hemorrhage","type":"article-journal","volume":"60"},"uris":["http://www.mendeley.com/documents/?uuid=5c58b526-bfd1-45a1-9af7-78292fdf4ff1"]}],"mendeley":{"formattedCitation":"(17)","plainTextFormattedCitation":"(17)","previouslyFormattedCitation":"(17)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D3BA7E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52 SAH</w:t>
            </w:r>
          </w:p>
        </w:tc>
        <w:tc>
          <w:tcPr>
            <w:tcW w:w="559" w:type="pct"/>
            <w:tcBorders>
              <w:top w:val="nil"/>
              <w:left w:val="nil"/>
              <w:bottom w:val="single" w:sz="4" w:space="0" w:color="auto"/>
              <w:right w:val="single" w:sz="4" w:space="0" w:color="auto"/>
            </w:tcBorders>
            <w:shd w:val="clear" w:color="auto" w:fill="auto"/>
            <w:vAlign w:val="center"/>
            <w:hideMark/>
          </w:tcPr>
          <w:p w14:paraId="24A6001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0F5E803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TNF-α</w:t>
            </w:r>
          </w:p>
        </w:tc>
        <w:tc>
          <w:tcPr>
            <w:tcW w:w="661" w:type="pct"/>
            <w:tcBorders>
              <w:top w:val="nil"/>
              <w:left w:val="nil"/>
              <w:bottom w:val="single" w:sz="4" w:space="0" w:color="auto"/>
              <w:right w:val="single" w:sz="4" w:space="0" w:color="auto"/>
            </w:tcBorders>
            <w:shd w:val="clear" w:color="auto" w:fill="auto"/>
            <w:vAlign w:val="center"/>
            <w:hideMark/>
          </w:tcPr>
          <w:p w14:paraId="3768D21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4B505A4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0–1, 2–3, 4–5, 6–8, 10–14</w:t>
            </w:r>
          </w:p>
        </w:tc>
        <w:tc>
          <w:tcPr>
            <w:tcW w:w="603" w:type="pct"/>
            <w:tcBorders>
              <w:top w:val="nil"/>
              <w:left w:val="nil"/>
              <w:bottom w:val="single" w:sz="4" w:space="0" w:color="auto"/>
              <w:right w:val="single" w:sz="4" w:space="0" w:color="auto"/>
            </w:tcBorders>
            <w:shd w:val="clear" w:color="auto" w:fill="auto"/>
            <w:vAlign w:val="center"/>
            <w:hideMark/>
          </w:tcPr>
          <w:p w14:paraId="64A3354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64407B99"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Vasopasm</w:t>
            </w:r>
            <w:proofErr w:type="spellEnd"/>
            <w:r w:rsidRPr="00F7228F">
              <w:rPr>
                <w:rFonts w:ascii="Arial" w:eastAsia="Times New Roman" w:hAnsi="Arial" w:cs="Arial"/>
                <w:color w:val="000000"/>
              </w:rPr>
              <w:t xml:space="preserve"> between days 6-8, modified Rankin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score at 3 and 6 months</w:t>
            </w:r>
          </w:p>
        </w:tc>
        <w:tc>
          <w:tcPr>
            <w:tcW w:w="607" w:type="pct"/>
            <w:tcBorders>
              <w:top w:val="nil"/>
              <w:left w:val="nil"/>
              <w:bottom w:val="single" w:sz="4" w:space="0" w:color="auto"/>
              <w:right w:val="single" w:sz="4" w:space="0" w:color="auto"/>
            </w:tcBorders>
            <w:shd w:val="clear" w:color="auto" w:fill="auto"/>
            <w:vAlign w:val="center"/>
            <w:hideMark/>
          </w:tcPr>
          <w:p w14:paraId="18D2985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Global elevation of TNFα levels over time (post-SAH days 0–14) is significantly associated with poor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outcome at 3 months after adjusting for SAH clinical severity and age</w:t>
            </w:r>
          </w:p>
        </w:tc>
      </w:tr>
      <w:tr w:rsidR="00236A5B" w:rsidRPr="00F7228F" w14:paraId="12C6C42A"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DAEA424" w14:textId="1305CB6B"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Chou et al., 2013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{"citationItems":[{"id":"ITEM-1","itemData":{"DOI":"10.1161/STR.44.SUPPL_1.ATP426","ISSN":"0039-2499","abstract":"Introduction: Growing evidence suggest inflammation plays a key role in the pathogenesis of vasospasm (VSP) and secondary ischemic injury following subarachnoid hemorrhage (SAH). While elevations o...","author":[{"dropping-particle":"","family":"Chou","given":"Sherry H","non-dropping-particle":"","parse-names":false,"suffix":""},{"dropping-particle":"","family":"Elyaman","given":"Wassim","non-dropping-particle":"","parse-names":false,"suffix":""},{"dropping-particle":"","family":"Bradshaw","given":"Elizabeth M","non-dropping-particle":"","parse-names":false,"suffix":""},{"dropping-particle":"","family":"Secor","given":"Elizabeth A","non-dropping-particle":"","parse-names":false,"suffix":""},{"dropping-particle":"","family":"Suh","given":"Sarah","non-dropping-particle":"","parse-names":false,"suffix":""},{"dropping-particle":"","family":"Orent","given":"William","non-dropping-particle":"","parse-names":false,"suffix":""},{"dropping-particle":"De","family":"Jager","given":"Philip L","non-dropping-particle":"","parse-names":false,"suffix":""},{"dropping-particle":"","family":"Du","given":"Rose","non-dropping-particle":"","parse-names":false,"suffix":""},{"dropping-particle":"","family":"Feske","given":"Steven K","non-dropping-particle":"","parse-names":false,"suffix":""},{"dropping-particle":"","family":"Lo","given":"Eng H","non-dropping-particle":"","parse-names":false,"suffix":""},{"dropping-particle":"","family":"Ning","given":"MingMing","non-dropping-particle":"","parse-names":false,"suffix":""}],"container-title":"Stroke","id":"ITEM-1","issue":"suppl_1","issued":{"date-parts":[["2013","2"]]},"publisher":"Lippincott Williams &amp; Wilkins","title":"Abstract TP426: Candidate CSF Cytokine and Chemokine Biomarkers for Vasospasm and Poor Outcome in Human Subarachnoid Hemorrhage","type":"article-journal","volume":"44"},"uris":["http://www.mendeley.com/documents/?uuid=462cfc53-2f9e-3dc5-895e-0d1f2ee73ff4"]}],"mendeley":{"formattedCitation":"(18)","plainTextFormattedCitation":"(18)","previouslyFormattedCitation":"(18)"},"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(18)</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FDBD79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29 SAH</w:t>
            </w:r>
          </w:p>
        </w:tc>
        <w:tc>
          <w:tcPr>
            <w:tcW w:w="559" w:type="pct"/>
            <w:tcBorders>
              <w:top w:val="nil"/>
              <w:left w:val="nil"/>
              <w:bottom w:val="single" w:sz="4" w:space="0" w:color="auto"/>
              <w:right w:val="single" w:sz="4" w:space="0" w:color="auto"/>
            </w:tcBorders>
            <w:shd w:val="clear" w:color="auto" w:fill="auto"/>
            <w:vAlign w:val="center"/>
            <w:hideMark/>
          </w:tcPr>
          <w:p w14:paraId="6FE98B0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D874B9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IL-2, IL-4, IL-5, IL17A</w:t>
            </w:r>
          </w:p>
        </w:tc>
        <w:tc>
          <w:tcPr>
            <w:tcW w:w="661" w:type="pct"/>
            <w:tcBorders>
              <w:top w:val="nil"/>
              <w:left w:val="nil"/>
              <w:bottom w:val="single" w:sz="4" w:space="0" w:color="auto"/>
              <w:right w:val="single" w:sz="4" w:space="0" w:color="auto"/>
            </w:tcBorders>
            <w:shd w:val="clear" w:color="auto" w:fill="auto"/>
            <w:vAlign w:val="center"/>
            <w:hideMark/>
          </w:tcPr>
          <w:p w14:paraId="7A6C5ED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2A7F166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3" w:type="pct"/>
            <w:tcBorders>
              <w:top w:val="nil"/>
              <w:left w:val="nil"/>
              <w:bottom w:val="single" w:sz="4" w:space="0" w:color="auto"/>
              <w:right w:val="single" w:sz="4" w:space="0" w:color="auto"/>
            </w:tcBorders>
            <w:shd w:val="clear" w:color="auto" w:fill="auto"/>
            <w:vAlign w:val="center"/>
            <w:hideMark/>
          </w:tcPr>
          <w:p w14:paraId="688A4A9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1C5CB4BD"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Vasopasm</w:t>
            </w:r>
            <w:proofErr w:type="spellEnd"/>
            <w:r w:rsidRPr="00F7228F">
              <w:rPr>
                <w:rFonts w:ascii="Arial" w:eastAsia="Times New Roman" w:hAnsi="Arial" w:cs="Arial"/>
                <w:color w:val="000000"/>
              </w:rPr>
              <w:t xml:space="preserve"> on day 7,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score at 3 and 6 months</w:t>
            </w:r>
          </w:p>
        </w:tc>
        <w:tc>
          <w:tcPr>
            <w:tcW w:w="607" w:type="pct"/>
            <w:tcBorders>
              <w:top w:val="nil"/>
              <w:left w:val="nil"/>
              <w:bottom w:val="single" w:sz="4" w:space="0" w:color="auto"/>
              <w:right w:val="single" w:sz="4" w:space="0" w:color="auto"/>
            </w:tcBorders>
            <w:shd w:val="clear" w:color="auto" w:fill="auto"/>
            <w:vAlign w:val="center"/>
            <w:hideMark/>
          </w:tcPr>
          <w:p w14:paraId="2B8E726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IL-4 showed strongest trend towards association with good outcome at 3-month and at 6-months</w:t>
            </w:r>
          </w:p>
        </w:tc>
      </w:tr>
      <w:tr w:rsidR="00236A5B" w:rsidRPr="00F7228F" w14:paraId="7573614A"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6E603953" w14:textId="731A6E54"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McMahon et al., 2013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{"citationItems":[{"id":"ITEM-1","itemData":{"DOI":"10.1136/NEURINTSURG-2012-010386","ISSN":"17598478","PMID":"22952245","abstract":"Background The mechanism of development of delayed cerebral ischemia (DCI) after aneurysmal subarachnoid hemorrhage (SAH) is poorly understood. Inflammatory processes are implicated in the development of ischemic stroke and may also predispose to the development of DCI following SAH. The objective of this study was to test whether concentrations of circulating inflammatory markers (C-reactive protein (CRP), interleukin-6 (IL-6) and interleukin 1 receptor antagonist (IL-1Ra)) were predictive for DCI following SAH. Secondary analyses considered white cell count (WCC) and erythrocyte sedimentation rate (ESR). Methods This was a single-center case-control study nested within a prospective cohort. Plasma inflammatory markers were measured in patients up to 15 days after SAH (initial, peak, average, final and rate of change to final). Cases were defined as those developing DCI. Inflammatory markers were compared between cases and randomly selected matched controls. Results Among the 179 participants there were 46 cases of DCI (26%). In primary analyses the rate of change of IL-6 was associated with DCI (OR 2.3 (95% CI 1.1 to 5.0); p=0.03). The final value and rate of change of WCC were associated with DCI (OR 1.2 (95% CI 1.0 to 1.3) and OR 1.3 (95% CI 1.0 to 1.6), respectively). High values of ESR were associated with DCI (OR 2.4 (95% CI 1.3 to 4.6) initial; OR 2.3 (95% CI 1.3 to 4.2) average; OR 2.1 (95% CI 1.1 to 3.9) peak; and OR 2.0 (95% CI 1.2 to 3.3) final value). Conclusions Leucocytosis and change in IL-6 prior to DCI reflect impending cerebral ischemia. The timeindependent association of ESR with DCI after SAH may identify this as a risk factor. These data suggest that systemic inflammatory mechanisms may increase the susceptibility to the development of DCI after SAH.","author":[{"dropping-particle":"","family":"McMahon","given":"Catherine J.","non-dropping-particle":"","parse-names":false,"suffix":""},{"dropping-particle":"","family":"Hopkins","given":"Stephen","non-dropping-particle":"","parse-names":false,"suffix":""},{"dropping-particle":"","family":"Vail","given":"Andy","non-dropping-particle":"","parse-names":false,"suffix":""},{"dropping-particle":"","family":"King","given":"Andrew T.","non-dropping-particle":"","parse-names":false,"suffix":""},{"dropping-particle":"","family":"Smith","given":"Debi","non-dropping-particle":"","parse-names":false,"suffix":""},{"dropping-particle":"","family":"Illingworth","given":"Karen J.","non-dropping-particle":"","parse-names":false,"suffix":""},{"dropping-particle":"","family":"Clark","given":"Simon","non-dropping-particle":"","parse-names":false,"suffix":""},{"dropping-particle":"","family":"Rothwell","given":"Nancy J.","non-dropping-particle":"","parse-names":false,"suffix":""},{"dropping-particle":"","family":"Tyrrell","given":"Pippa J.","non-dropping-particle":"","parse-names":false,"suffix":""}],"container-title":"Journal of Neurointerventional Surgery","id":"ITEM-1","issue":"6","issued":{"date-parts":[["2013","11"]]},"page":"512","publisher":"BMJ Publishing Group","title":"Original research: Inflammation as a predictor for delayed cerebral ischemia after aneurysmal subarachnoid haemorrhage","type":"article-journal","volume":"5"},"uris":["http://www.mendeley.com/documents/?uuid=b20614f8-936e-38d2-bb6c-e29a7444d44e"]}],"mendeley":{"formattedCitation":"(19)","plainTextFormattedCitation":"(19)","previouslyFormattedCitation":"(19)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(19)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C841C9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149 SAH</w:t>
            </w:r>
          </w:p>
        </w:tc>
        <w:tc>
          <w:tcPr>
            <w:tcW w:w="559" w:type="pct"/>
            <w:tcBorders>
              <w:top w:val="nil"/>
              <w:left w:val="nil"/>
              <w:bottom w:val="single" w:sz="4" w:space="0" w:color="auto"/>
              <w:right w:val="single" w:sz="4" w:space="0" w:color="auto"/>
            </w:tcBorders>
            <w:shd w:val="clear" w:color="auto" w:fill="auto"/>
            <w:vAlign w:val="center"/>
            <w:hideMark/>
          </w:tcPr>
          <w:p w14:paraId="7349950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Case control study </w:t>
            </w:r>
          </w:p>
        </w:tc>
        <w:tc>
          <w:tcPr>
            <w:tcW w:w="502" w:type="pct"/>
            <w:tcBorders>
              <w:top w:val="nil"/>
              <w:left w:val="nil"/>
              <w:bottom w:val="single" w:sz="4" w:space="0" w:color="auto"/>
              <w:right w:val="single" w:sz="4" w:space="0" w:color="auto"/>
            </w:tcBorders>
            <w:shd w:val="clear" w:color="auto" w:fill="auto"/>
            <w:vAlign w:val="center"/>
            <w:hideMark/>
          </w:tcPr>
          <w:p w14:paraId="68E66AE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IL-1Ra, IL-6</w:t>
            </w:r>
          </w:p>
        </w:tc>
        <w:tc>
          <w:tcPr>
            <w:tcW w:w="661" w:type="pct"/>
            <w:tcBorders>
              <w:top w:val="nil"/>
              <w:left w:val="nil"/>
              <w:bottom w:val="single" w:sz="4" w:space="0" w:color="auto"/>
              <w:right w:val="single" w:sz="4" w:space="0" w:color="auto"/>
            </w:tcBorders>
            <w:shd w:val="clear" w:color="auto" w:fill="auto"/>
            <w:vAlign w:val="center"/>
            <w:hideMark/>
          </w:tcPr>
          <w:p w14:paraId="6AA11A6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417DE6F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 11, 12, 13</w:t>
            </w:r>
          </w:p>
        </w:tc>
        <w:tc>
          <w:tcPr>
            <w:tcW w:w="603" w:type="pct"/>
            <w:tcBorders>
              <w:top w:val="nil"/>
              <w:left w:val="nil"/>
              <w:bottom w:val="single" w:sz="4" w:space="0" w:color="auto"/>
              <w:right w:val="single" w:sz="4" w:space="0" w:color="auto"/>
            </w:tcBorders>
            <w:shd w:val="clear" w:color="auto" w:fill="auto"/>
            <w:vAlign w:val="center"/>
            <w:hideMark/>
          </w:tcPr>
          <w:p w14:paraId="1613330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A rise in plasma cytokine levels generally occurred following angiography</w:t>
            </w:r>
          </w:p>
        </w:tc>
        <w:tc>
          <w:tcPr>
            <w:tcW w:w="573" w:type="pct"/>
            <w:tcBorders>
              <w:top w:val="nil"/>
              <w:left w:val="nil"/>
              <w:bottom w:val="single" w:sz="4" w:space="0" w:color="auto"/>
              <w:right w:val="single" w:sz="4" w:space="0" w:color="auto"/>
            </w:tcBorders>
            <w:shd w:val="clear" w:color="auto" w:fill="auto"/>
            <w:vAlign w:val="center"/>
            <w:hideMark/>
          </w:tcPr>
          <w:p w14:paraId="7999797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DCI within 15 days, GOS at 6 months</w:t>
            </w:r>
          </w:p>
        </w:tc>
        <w:tc>
          <w:tcPr>
            <w:tcW w:w="607" w:type="pct"/>
            <w:tcBorders>
              <w:top w:val="nil"/>
              <w:left w:val="nil"/>
              <w:bottom w:val="single" w:sz="4" w:space="0" w:color="auto"/>
              <w:right w:val="single" w:sz="4" w:space="0" w:color="auto"/>
            </w:tcBorders>
            <w:shd w:val="clear" w:color="auto" w:fill="auto"/>
            <w:vAlign w:val="center"/>
            <w:hideMark/>
          </w:tcPr>
          <w:p w14:paraId="0FD4E5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 rate of change of IL-6 was associated with DCI</w:t>
            </w:r>
          </w:p>
        </w:tc>
      </w:tr>
      <w:tr w:rsidR="00236A5B" w:rsidRPr="00F7228F" w14:paraId="08E4CD6D"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66683F07" w14:textId="669659E2"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lastRenderedPageBreak/>
              <w:t>Muroi</w:t>
            </w:r>
            <w:proofErr w:type="spellEnd"/>
            <w:r w:rsidRPr="00F7228F">
              <w:rPr>
                <w:rFonts w:ascii="Arial" w:eastAsia="Times New Roman" w:hAnsi="Arial" w:cs="Arial"/>
                <w:b/>
                <w:bCs/>
                <w:color w:val="000000"/>
              </w:rPr>
              <w:t xml:space="preserve"> et al., 2013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{"citationItems":[{"id":"ITEM-1","itemData":{"DOI":"10.1227/NEU.0B013E31828048CE","ISSN":"1524-4040","PMID":"23208059","abstract":"Background: The role and impact of systemic inflammatory response after aneurysmal subarachnoid hemorrhage remain to be elucidated. Objective: To assess the time course and correlation of systemic inflammatory parameters with outcome and the occurrence of delayed ischemic neurological deficits (DINDs) after subarachnoid hemorrhage. Methods: Besides the baseline characteristics, daily interleukin-6 (IL-6), procalcitonin, C-reactive protein levels, and leukocyte counts were prospectively measured until day 14 after subarachnoid hemorrhage. Occurrence of infectious complications and application of therapeutic hypothermia were assessed as confounding factors. The primary end point was outcome after 3 months, assessed by Glasgow Outcome Scale; the secondary end point was the occurrence of DINDs. Results: During a 3-year period, a total of 138 patients were included. All inflammatory parameters measured were higher in patients with unfavorable outcome (Glasgow Outcome Scale score, 1-3). After adjustment for confounding factors, elevated IL-6 and leukocyte counts remained significant risk factors for unfavorable outcome. The odds ratio for log IL-6 was 4.07 (95% confidence interval, 1.18 to 14.03; P = .03) and for leukocyte counts was 1.24 (95% confidence interval, 1.06-1.46, P = .008). The analysis of the time course established that IL-6 was the only significantly elevated parameter in the early phase in patients with unfavorable outcome. Higher IL-6 levels in the early phase (days 3-7) were associated with the occurrence of DINDs. The adjusted odds ratio for log IL-6 was 4.03 (95% confidence interval, 1.21-13.40; P = .02). Conclusion: Higher IL-6 levels are associated with worse clinical outcome and the occurrence of DINDs. Because IL-6 levels were significantly elevated in the early phase, they might be a useful parameter to monitor. Abbreviations: CRP, C-reactive proteinDIND, delayed ischemic neurological deficitGOS, Glasgow Outcome ScaleSAH, subarachnoid hemorrhageWFNS, World Federation of Neurological Surgeons. Copyright © 2012 by the Congress of Neurological Surgeons.","author":[{"dropping-particle":"","family":"Muroi","given":"Carl","non-dropping-particle":"","parse-names":false,"suffix":""},{"dropping-particle":"","family":"Hugelshofer","given":"Michael","non-dropping-particle":"","parse-names":false,"suffix":""},{"dropping-particle":"","family":"Seule","given":"Martin","non-dropping-particle":"","parse-names":false,"suffix":""},{"dropping-particle":"","family":"Tastan","given":"Ilhan","non-dropping-particle":"","parse-names":false,"suffix":""},{"dropping-particle":"","family":"Fujioka","given":"Masayuki","non-dropping-particle":"","parse-names":false,"suffix":""},{"dropping-particle":"","family":"Mishima","given":"Kenichi","non-dropping-particle":"","parse-names":false,"suffix":""},{"dropping-particle":"","family":"Keller","given":"Emanuela","non-dropping-particle":"","parse-names":false,"suffix":""}],"container-title":"Neurosurgery","id":"ITEM-1","issue":"3","issued":{"date-parts":[["2013","3"]]},"page":"367-375","publisher":"Neurosurgery","title":"Correlation among systemic inflammatory parameter, occurrence of delayed neurological deficits, and outcome after aneurysmal subarachnoid hemorrhage","type":"article-journal","volume":"72"},"uris":["http://www.mendeley.com/documents/?uuid=02dfab51-b96b-3e39-814d-d7a15e67e6e0"]}],"mendeley":{"formattedCitation":"(20)","plainTextFormattedCitation":"(20)","previouslyFormattedCitation":"(20)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(20)</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846E62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138 SAH</w:t>
            </w:r>
          </w:p>
        </w:tc>
        <w:tc>
          <w:tcPr>
            <w:tcW w:w="559" w:type="pct"/>
            <w:tcBorders>
              <w:top w:val="nil"/>
              <w:left w:val="nil"/>
              <w:bottom w:val="single" w:sz="4" w:space="0" w:color="auto"/>
              <w:right w:val="single" w:sz="4" w:space="0" w:color="auto"/>
            </w:tcBorders>
            <w:shd w:val="clear" w:color="auto" w:fill="auto"/>
            <w:vAlign w:val="center"/>
            <w:hideMark/>
          </w:tcPr>
          <w:p w14:paraId="62F8549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BD2DAD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1322086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1BA8336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0,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 11, 12, 13, 14</w:t>
            </w:r>
          </w:p>
        </w:tc>
        <w:tc>
          <w:tcPr>
            <w:tcW w:w="603" w:type="pct"/>
            <w:tcBorders>
              <w:top w:val="nil"/>
              <w:left w:val="nil"/>
              <w:bottom w:val="single" w:sz="4" w:space="0" w:color="auto"/>
              <w:right w:val="single" w:sz="4" w:space="0" w:color="auto"/>
            </w:tcBorders>
            <w:shd w:val="clear" w:color="auto" w:fill="auto"/>
            <w:vAlign w:val="center"/>
            <w:hideMark/>
          </w:tcPr>
          <w:p w14:paraId="1EC8B8C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IL-6 levels tended to be high at the beginning (day 3) with a discrete decrease in the following 2 days, followed by a second increase beginning at day 7, with a peak around day 10 to 11. </w:t>
            </w:r>
          </w:p>
        </w:tc>
        <w:tc>
          <w:tcPr>
            <w:tcW w:w="573" w:type="pct"/>
            <w:tcBorders>
              <w:top w:val="nil"/>
              <w:left w:val="nil"/>
              <w:bottom w:val="single" w:sz="4" w:space="0" w:color="auto"/>
              <w:right w:val="single" w:sz="4" w:space="0" w:color="auto"/>
            </w:tcBorders>
            <w:shd w:val="clear" w:color="auto" w:fill="auto"/>
            <w:vAlign w:val="center"/>
            <w:hideMark/>
          </w:tcPr>
          <w:p w14:paraId="15668E2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DIND at unspecified time point, GOS at 3 months</w:t>
            </w:r>
          </w:p>
        </w:tc>
        <w:tc>
          <w:tcPr>
            <w:tcW w:w="607" w:type="pct"/>
            <w:tcBorders>
              <w:top w:val="nil"/>
              <w:left w:val="nil"/>
              <w:bottom w:val="single" w:sz="4" w:space="0" w:color="auto"/>
              <w:right w:val="single" w:sz="4" w:space="0" w:color="auto"/>
            </w:tcBorders>
            <w:shd w:val="clear" w:color="auto" w:fill="auto"/>
            <w:vAlign w:val="center"/>
            <w:hideMark/>
          </w:tcPr>
          <w:p w14:paraId="1A6752E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Higher IL-6 levels in the early phase (days 3-7) were associated with the occurrence of DIND, and unfavourable outcomes</w:t>
            </w:r>
          </w:p>
        </w:tc>
      </w:tr>
      <w:tr w:rsidR="00236A5B" w:rsidRPr="00F7228F" w14:paraId="53BD93DB" w14:textId="77777777" w:rsidTr="00236A5B">
        <w:trPr>
          <w:trHeight w:val="87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CA99016" w14:textId="6432F949"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Helbok</w:t>
            </w:r>
            <w:proofErr w:type="spellEnd"/>
            <w:r w:rsidRPr="00F7228F">
              <w:rPr>
                <w:rFonts w:ascii="Arial" w:eastAsia="Times New Roman" w:hAnsi="Arial" w:cs="Arial"/>
                <w:b/>
                <w:bCs/>
                <w:color w:val="000000"/>
              </w:rPr>
              <w:t xml:space="preserve">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{"citationItems":[{"id":"ITEM-1","itemData":{"DOI":"10.1186/S13054-015-0809-9","ISSN":"1466-609X","PMID":"25887441","abstract":"Introduction: There is a substantial amount of evidence from animal models that early brain injury (EBI) may play an important role for secondary brain injury after aneurysmal subarachnoid hemorrhage (aSAH). Cerebral microdialysis (CMD) allows online measurement of brain metabolites, including the pro-inflammatory cytokine interleukin-6 (IL-6) and matrix metalloproteinase-9 (MMP-9), which is indicative for disruption of the blood-brain barrier. Methods: Twenty-six consecutive poor-grade aSAH patients with multimodal neuromonitoring were analyzed for brain hemodynamic and metabolic changes, including CMD-IL-6 and CMD-MMP-9 levels. Statistical analysis was performed by using a generalized estimating equation with an autoregressive function. Results: The baseline cerebral metabolic profile revealed brain metabolic distress and an excitatory response which improved over the following 5 days (P &lt;0.001). Brain tissue hypoxia (brain tissue oxygen tension of less than 20 mm Hg) was common (more than 60% of patients) in the first 24 hours of neuromonitoring and improved thereafter (P &lt;0.05). Baseline CMD-IL-6 and CMD-MMP-9 levels were elevated in all patients (median = 4,059 pg/mL, interquartile range (IQR) = 1,316 to 12,456 pg/mL and median = 851 pg/mL, IQR = 98 to 25,860 pg/mL) and significantly decreased over days (P &lt;0.05). A higher pro-inflammatory response was associated with the development of delayed cerebral ischemia (P = 0.04), whereas admission disease severity and early brain tissue hypoxia were associated with higher CMD-MMP-9 levels (P &lt;0.03). Brain metabolic distress and increased IL-6 levels were associated with poor functional outcome (modified Rankin Scale of more than 3, P ≤0.01). All models were adjusted for probe location, aneurysm securing procedure, and disease severity as appropriate. Conclusions: Multimodal neuromonitoring techniques allow insight into pathophysiologic changes in the early phase after aSAH. The results may be used as endpoints for future interventions targeting EBI in poor-grade aSAH patients.","author":[{"dropping-particle":"","family":"Helbok","given":"Raimund","non-dropping-particle":"","parse-names":false,"suffix":""},{"dropping-particle":"","family":"Schiefecker","given":"Alois Josef","non-dropping-particle":"","parse-names":false,"suffix":""},{"dropping-particle":"","family":"Beer","given":"Ronny","non-dropping-particle":"","parse-names":false,"suffix":""},{"dropping-particle":"","family":"Dietmann","given":"Anelia","non-dropping-particle":"","parse-names":false,"suffix":""},{"dropping-particle":"","family":"Antunes","given":"Ana Patrícia","non-dropping-particle":"","parse-names":false,"suffix":""},{"dropping-particle":"","family":"Sohm","given":"Florian","non-dropping-particle":"","parse-names":false,"suffix":""},{"dropping-particle":"","family":"Fischer","given":"Marlene","non-dropping-particle":"","parse-names":false,"suffix":""},{"dropping-particle":"","family":"Hackl","given":"Werner Oskar","non-dropping-particle":"","parse-names":false,"suffix":""},{"dropping-particle":"","family":"Rhomberg","given":"Paul","non-dropping-particle":"","parse-names":false,"suffix":""},{"dropping-particle":"","family":"Lackner","given":"Peter","non-dropping-particle":"","parse-names":false,"suffix":""},{"dropping-particle":"","family":"Pfausler","given":"Bettina","non-dropping-particle":"","parse-names":false,"suffix":""},{"dropping-particle":"","family":"Thomé","given":"Claudius","non-dropping-particle":"","parse-names":false,"suffix":""},{"dropping-particle":"","family":"Humpel","given":"Christian","non-dropping-particle":"","parse-names":false,"suffix":""},{"dropping-particle":"","family":"Schmutzhard","given":"Erich","non-dropping-particle":"","parse-names":false,"suffix":""}],"container-title":"Critical Care","id":"ITEM-1","issue":"1","issued":{"date-parts":[["2015","3","9"]]},"page":"1-9","publisher":"Crit Care","title":"Early brain injury after aneurysmal subarachnoid hemorrhage: A multimodal neuromonitoring study","type":"article-journal","volume":"19"},"uris":["http://www.mendeley.com/documents/?uuid=04d76a12-c53f-49c1-bc8b-6d2638f16d97"]}],"mendeley":{"formattedCitation":"(21)","plainTextFormattedCitation":"(21)","previouslyFormattedCitation":"(21)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0096C6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26 SAH</w:t>
            </w:r>
          </w:p>
        </w:tc>
        <w:tc>
          <w:tcPr>
            <w:tcW w:w="559" w:type="pct"/>
            <w:tcBorders>
              <w:top w:val="nil"/>
              <w:left w:val="nil"/>
              <w:bottom w:val="single" w:sz="4" w:space="0" w:color="auto"/>
              <w:right w:val="single" w:sz="4" w:space="0" w:color="auto"/>
            </w:tcBorders>
            <w:shd w:val="clear" w:color="auto" w:fill="auto"/>
            <w:vAlign w:val="center"/>
            <w:hideMark/>
          </w:tcPr>
          <w:p w14:paraId="24900E5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458333E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56A773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ECF</w:t>
            </w:r>
          </w:p>
        </w:tc>
        <w:tc>
          <w:tcPr>
            <w:tcW w:w="475" w:type="pct"/>
            <w:tcBorders>
              <w:top w:val="nil"/>
              <w:left w:val="nil"/>
              <w:bottom w:val="single" w:sz="4" w:space="0" w:color="auto"/>
              <w:right w:val="single" w:sz="4" w:space="0" w:color="auto"/>
            </w:tcBorders>
            <w:shd w:val="clear" w:color="auto" w:fill="auto"/>
            <w:vAlign w:val="center"/>
            <w:hideMark/>
          </w:tcPr>
          <w:p w14:paraId="706C341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Hours 0, 12, 24, 36, 48, 72, 96, 120, 144</w:t>
            </w:r>
          </w:p>
        </w:tc>
        <w:tc>
          <w:tcPr>
            <w:tcW w:w="603" w:type="pct"/>
            <w:tcBorders>
              <w:top w:val="nil"/>
              <w:left w:val="nil"/>
              <w:bottom w:val="single" w:sz="4" w:space="0" w:color="auto"/>
              <w:right w:val="single" w:sz="4" w:space="0" w:color="auto"/>
            </w:tcBorders>
            <w:shd w:val="clear" w:color="auto" w:fill="auto"/>
            <w:vAlign w:val="center"/>
            <w:hideMark/>
          </w:tcPr>
          <w:p w14:paraId="021788F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levels were highest in the first 36 hours</w:t>
            </w:r>
          </w:p>
        </w:tc>
        <w:tc>
          <w:tcPr>
            <w:tcW w:w="573" w:type="pct"/>
            <w:tcBorders>
              <w:top w:val="nil"/>
              <w:left w:val="nil"/>
              <w:bottom w:val="single" w:sz="4" w:space="0" w:color="auto"/>
              <w:right w:val="single" w:sz="4" w:space="0" w:color="auto"/>
            </w:tcBorders>
            <w:shd w:val="clear" w:color="auto" w:fill="auto"/>
            <w:vAlign w:val="center"/>
            <w:hideMark/>
          </w:tcPr>
          <w:p w14:paraId="5BEF069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DCI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3 months</w:t>
            </w:r>
          </w:p>
        </w:tc>
        <w:tc>
          <w:tcPr>
            <w:tcW w:w="607" w:type="pct"/>
            <w:tcBorders>
              <w:top w:val="nil"/>
              <w:left w:val="nil"/>
              <w:bottom w:val="single" w:sz="4" w:space="0" w:color="auto"/>
              <w:right w:val="single" w:sz="4" w:space="0" w:color="auto"/>
            </w:tcBorders>
            <w:shd w:val="clear" w:color="auto" w:fill="auto"/>
            <w:vAlign w:val="center"/>
            <w:hideMark/>
          </w:tcPr>
          <w:p w14:paraId="7BDC769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ECF IL-6 levels were higher in patients with poor 3-month </w:t>
            </w:r>
            <w:proofErr w:type="spellStart"/>
            <w:r w:rsidRPr="00F7228F">
              <w:rPr>
                <w:rFonts w:ascii="Arial" w:eastAsia="Times New Roman" w:hAnsi="Arial" w:cs="Arial"/>
                <w:color w:val="000000"/>
              </w:rPr>
              <w:t>mRS</w:t>
            </w:r>
            <w:proofErr w:type="spellEnd"/>
          </w:p>
        </w:tc>
      </w:tr>
      <w:tr w:rsidR="00236A5B" w:rsidRPr="00F7228F" w14:paraId="07AC46B7"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2ADE2A14" w14:textId="59F80FDD"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Höllig</w:t>
            </w:r>
            <w:proofErr w:type="spellEnd"/>
            <w:r w:rsidRPr="00F7228F">
              <w:rPr>
                <w:rFonts w:ascii="Arial" w:eastAsia="Times New Roman" w:hAnsi="Arial" w:cs="Arial"/>
                <w:b/>
                <w:bCs/>
                <w:color w:val="000000"/>
              </w:rPr>
              <w:t xml:space="preserve">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{"citationItems":[{"id":"ITEM-1","itemData":{"DOI":"10.1016/J.CLINEURO.2015.08.030","PMID":"26355810","abstract":"Objective Early brain injury after aneurysmal subarachnoid hemorrhage (aSAH) comprises a pronounced neuroinflammatory reaction. Nevertheless, its relevance for functional outcome and its role as outcome predictor remains uncertain. We evaluated the relationship of various early inflammatory parameters regarding functional outcome according to the modified Rankin Scale score (mRS) at discharge (primary objective) and six months after aSAH. Patients A total of 81 patients (63% female) with a mean age of 53.8 ± 13.2 years were included. Methods At admission clinical data and various inflammatory parameters in serum and - wherever applicable - cerebrospinal fluid (CSF) of patients after aSAH were assessed. Outcome was evaluated according to dichotomized mRS at discharge and six months after aSAH (unfavorable outcome: mRS 3-6). Univariate and thereafter multivariate logistic regression analyses were performed using SAS 9.2. Results Elevated levels of interleukin 6 (IL-6) and leukemia inhibitory factor (LIF) in serum and CSF were related to unfavorable outcome at discharge (p &lt; 0.05; univariate analyses). IL-6 remains the only parameter relevant for outcome applying a multivariate model including the relevant baseline characteristics. Six months after aSAH no significant correlation was found regarding the outcome, most likely due to the high drop-out rate (27%). A pronounced rise of LIF serum and CSF levels after aSAH was observed. Conclusion Higher early IL-6 serum levels after aSAH are associated with poor outcome at discharge. In addition, involvement of LIF in the early inflammatory reaction after aSAH has been demonstrated.","author":[{"dropping-particle":"","family":"Höllig","given":"Anke","non-dropping-particle":"","parse-names":false,"suffix":""},{"dropping-particle":"","family":"Remmel","given":"Daniel","non-dropping-particle":"","parse-names":false,"suffix":""},{"dropping-particle":"","family":"Stoffel-Wagner","given":"Birgit","non-dropping-particle":"","parse-names":false,"suffix":""},{"dropping-particle":"","family":"Schubert","given":"Gerrit A.","non-dropping-particle":"","parse-names":false,"suffix":""},{"dropping-particle":"","family":"Coburn","given":"Mark","non-dropping-particle":"","parse-names":false,"suffix":""},{"dropping-particle":"","family":"Clusmann","given":"Hans","non-dropping-particle":"","parse-names":false,"suffix":""}],"container-title":"Clinical Neurology and Neurosurgery","id":"ITEM-1","issued":{"date-parts":[["2015","11"]]},"page":"177-183","title":"Association of early inflammatory parameters after subarachnoid hemorrhage with functional outcome: A prospective cohort study","type":"article-journal","volume":"138"},"uris":["http://www.mendeley.com/documents/?uuid=af1447cc-c945-49d9-b783-3a76478f8a2b"]}],"mendeley":{"formattedCitation":"(22)","plainTextFormattedCitation":"(22)","previouslyFormattedCitation":"(22)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800FBD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81 SAH</w:t>
            </w:r>
          </w:p>
        </w:tc>
        <w:tc>
          <w:tcPr>
            <w:tcW w:w="559" w:type="pct"/>
            <w:tcBorders>
              <w:top w:val="nil"/>
              <w:left w:val="nil"/>
              <w:bottom w:val="single" w:sz="4" w:space="0" w:color="auto"/>
              <w:right w:val="single" w:sz="4" w:space="0" w:color="auto"/>
            </w:tcBorders>
            <w:shd w:val="clear" w:color="auto" w:fill="auto"/>
            <w:vAlign w:val="center"/>
            <w:hideMark/>
          </w:tcPr>
          <w:p w14:paraId="48CB026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F2847A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3752369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68047BD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0-1</w:t>
            </w:r>
          </w:p>
        </w:tc>
        <w:tc>
          <w:tcPr>
            <w:tcW w:w="603" w:type="pct"/>
            <w:tcBorders>
              <w:top w:val="nil"/>
              <w:left w:val="nil"/>
              <w:bottom w:val="single" w:sz="4" w:space="0" w:color="auto"/>
              <w:right w:val="single" w:sz="4" w:space="0" w:color="auto"/>
            </w:tcBorders>
            <w:shd w:val="clear" w:color="auto" w:fill="auto"/>
            <w:vAlign w:val="center"/>
            <w:hideMark/>
          </w:tcPr>
          <w:p w14:paraId="0F10E50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162E9D7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DIND at unspecified time point,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 and 6 months</w:t>
            </w:r>
          </w:p>
        </w:tc>
        <w:tc>
          <w:tcPr>
            <w:tcW w:w="607" w:type="pct"/>
            <w:tcBorders>
              <w:top w:val="nil"/>
              <w:left w:val="nil"/>
              <w:bottom w:val="single" w:sz="4" w:space="0" w:color="auto"/>
              <w:right w:val="single" w:sz="4" w:space="0" w:color="auto"/>
            </w:tcBorders>
            <w:shd w:val="clear" w:color="auto" w:fill="auto"/>
            <w:vAlign w:val="center"/>
            <w:hideMark/>
          </w:tcPr>
          <w:p w14:paraId="155C0EB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Higher early IL-6 serum levels after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w:t>
            </w:r>
            <w:proofErr w:type="gramStart"/>
            <w:r w:rsidRPr="00F7228F">
              <w:rPr>
                <w:rFonts w:ascii="Arial" w:eastAsia="Times New Roman" w:hAnsi="Arial" w:cs="Arial"/>
                <w:color w:val="000000"/>
              </w:rPr>
              <w:t>was</w:t>
            </w:r>
            <w:proofErr w:type="gramEnd"/>
            <w:r w:rsidRPr="00F7228F">
              <w:rPr>
                <w:rFonts w:ascii="Arial" w:eastAsia="Times New Roman" w:hAnsi="Arial" w:cs="Arial"/>
                <w:color w:val="000000"/>
              </w:rPr>
              <w:t xml:space="preserve"> associated with poor outcome at discharge</w:t>
            </w:r>
          </w:p>
        </w:tc>
      </w:tr>
      <w:tr w:rsidR="00236A5B" w:rsidRPr="00F7228F" w14:paraId="29F29688"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721869C" w14:textId="1EDA637E"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Höllig</w:t>
            </w:r>
            <w:proofErr w:type="spellEnd"/>
            <w:r w:rsidRPr="00F7228F">
              <w:rPr>
                <w:rFonts w:ascii="Arial" w:eastAsia="Times New Roman" w:hAnsi="Arial" w:cs="Arial"/>
                <w:b/>
                <w:bCs/>
                <w:color w:val="000000"/>
              </w:rPr>
              <w:t xml:space="preserve">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{"citationItems":[{"id":"ITEM-1","itemData":{"DOI":"10.1186/S13054-015-0954-1","ISSN":"1466609X","PMID":"25993987","abstract":"Introduction: The established neuroprotective property of the sex steroid precursor dehydroepiandrosterone-sulfate (DHEAS) has not yet been investigated in the context of aneurysmal subarachnoid hemorrhage (aSAH). The influence of DHEAS on inflammatory response resulting in modulation of interleukin 6 (IL-6) synthesis has been shown. Here, we evaluate DHEAS serum levels after aSAH (day 0-14) and levels of IL-6 related to functional outcome at discharge and at six months. Methods: A complete data set (DHEAS and IL-6 serum levels for days 0, 1, 4, 7, 10 and 14 after aSAH) and outcome assessment at discharge according to modified Rankin Scale score (mRS) was available for 53 patients of the initially screened cohort (n = 109). Outcome assessment six months after aSAH was obtained from 41 patients. Logarithmized levels of DHEAS and IL-6 were related to dichotomized functional outcome either assessed at discharge or at six months. A mixed between-within subjects ANOVA was applied for statistical analysis (SPSS 21.0). Results: DHEAS and IL-6 levels across time were related to functional outcome. Regarding outcome assessment at discharge and at six months after aSAH, DHEAS levels (transformed to square root for statistical purposes) were considerably higher in patients with favorable outcome (mRS 0-2) (p = .001; p = .020). Inversely, in patients with favorable outcome either at discharge or six months after aSAH, lower IL-6 levels (logarithmized for statistical purposes) were observed across time (both p &lt; .001). Conclusion: We provide new evidence that DHEAS is associated with protective properties resulting in improvement of functional outcome after aSAH, possibly by influencing the inflammatory response after aSAH shown in the decreasing IL-6 serum levels. But the results for outcome six months after SAH are limited due to a high drop-out rate.","author":[{"dropping-particle":"","family":"Höllig","given":"Anke","non-dropping-particle":"","parse-names":false,"suffix":""},{"dropping-particle":"","family":"Thiel","given":"Miriam","non-dropping-particle":"","parse-names":false,"suffix":""},{"dropping-particle":"","family":"Stoffel-Wagner","given":"Birgit","non-dropping-particle":"","parse-names":false,"suffix":""},{"dropping-particle":"","family":"Coburn","given":"Mark","non-dropping-particle":"","parse-names":false,"suffix":""},{"dropping-particle":"","family":"Clusmann","given":"Hans","non-dropping-particle":"","parse-names":false,"suffix":""}],"container-title":"Critical Care","id":"ITEM-1","issue":"1","issued":{"date-parts":[["2015","12","14"]]},"publisher":"BMC","title":"Neuroprotective properties of dehydroepiandrosterone-sulfate and its relationship to interleukin 6 after aneurysmal subarachnoid hemorrhage: a prospective cohort study","type":"article-journal","volume":"19"},"uris":["http://www.mendeley.com/documents/?uuid=08bbe9ba-5aab-35ce-a63f-1f2564649254"]}],"mendeley":{"formattedCitation":"(23)","plainTextFormattedCitation":"(23)","previouslyFormattedCitation":"(23)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C360E5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53 SAH</w:t>
            </w:r>
          </w:p>
        </w:tc>
        <w:tc>
          <w:tcPr>
            <w:tcW w:w="559" w:type="pct"/>
            <w:tcBorders>
              <w:top w:val="nil"/>
              <w:left w:val="nil"/>
              <w:bottom w:val="single" w:sz="4" w:space="0" w:color="auto"/>
              <w:right w:val="single" w:sz="4" w:space="0" w:color="auto"/>
            </w:tcBorders>
            <w:shd w:val="clear" w:color="auto" w:fill="auto"/>
            <w:vAlign w:val="center"/>
            <w:hideMark/>
          </w:tcPr>
          <w:p w14:paraId="20D159F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A74B58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0A64548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460CAFF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 1, 4, 7, 10, 14</w:t>
            </w:r>
          </w:p>
        </w:tc>
        <w:tc>
          <w:tcPr>
            <w:tcW w:w="603" w:type="pct"/>
            <w:tcBorders>
              <w:top w:val="nil"/>
              <w:left w:val="nil"/>
              <w:bottom w:val="single" w:sz="4" w:space="0" w:color="auto"/>
              <w:right w:val="single" w:sz="4" w:space="0" w:color="auto"/>
            </w:tcBorders>
            <w:shd w:val="clear" w:color="auto" w:fill="auto"/>
            <w:vAlign w:val="center"/>
            <w:hideMark/>
          </w:tcPr>
          <w:p w14:paraId="6FC86608" w14:textId="16917271"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w:t>
            </w:r>
            <w:r w:rsidR="00A0213A" w:rsidRPr="00F7228F">
              <w:rPr>
                <w:rFonts w:ascii="Arial" w:eastAsia="Times New Roman" w:hAnsi="Arial" w:cs="Arial"/>
                <w:color w:val="000000"/>
              </w:rPr>
              <w:t>time course</w:t>
            </w:r>
            <w:r w:rsidRPr="00F7228F">
              <w:rPr>
                <w:rFonts w:ascii="Arial" w:eastAsia="Times New Roman" w:hAnsi="Arial" w:cs="Arial"/>
                <w:color w:val="000000"/>
              </w:rPr>
              <w:t xml:space="preserve"> of serum IL-6 differed by the grade of the </w:t>
            </w:r>
            <w:r w:rsidRPr="00F7228F">
              <w:rPr>
                <w:rFonts w:ascii="Arial" w:eastAsia="Times New Roman" w:hAnsi="Arial" w:cs="Arial"/>
                <w:color w:val="000000"/>
              </w:rPr>
              <w:lastRenderedPageBreak/>
              <w:t>severity of the SAH</w:t>
            </w:r>
          </w:p>
        </w:tc>
        <w:tc>
          <w:tcPr>
            <w:tcW w:w="573" w:type="pct"/>
            <w:tcBorders>
              <w:top w:val="nil"/>
              <w:left w:val="nil"/>
              <w:bottom w:val="single" w:sz="4" w:space="0" w:color="auto"/>
              <w:right w:val="single" w:sz="4" w:space="0" w:color="auto"/>
            </w:tcBorders>
            <w:shd w:val="clear" w:color="auto" w:fill="auto"/>
            <w:vAlign w:val="center"/>
            <w:hideMark/>
          </w:tcPr>
          <w:p w14:paraId="75FF3B09"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lastRenderedPageBreak/>
              <w:t>mRS</w:t>
            </w:r>
            <w:proofErr w:type="spellEnd"/>
            <w:r w:rsidRPr="00F7228F">
              <w:rPr>
                <w:rFonts w:ascii="Arial" w:eastAsia="Times New Roman" w:hAnsi="Arial" w:cs="Arial"/>
                <w:color w:val="000000"/>
              </w:rPr>
              <w:t xml:space="preserve"> at discharge and 6 months</w:t>
            </w:r>
          </w:p>
        </w:tc>
        <w:tc>
          <w:tcPr>
            <w:tcW w:w="607" w:type="pct"/>
            <w:tcBorders>
              <w:top w:val="nil"/>
              <w:left w:val="nil"/>
              <w:bottom w:val="single" w:sz="4" w:space="0" w:color="auto"/>
              <w:right w:val="single" w:sz="4" w:space="0" w:color="auto"/>
            </w:tcBorders>
            <w:shd w:val="clear" w:color="auto" w:fill="auto"/>
            <w:vAlign w:val="center"/>
            <w:hideMark/>
          </w:tcPr>
          <w:p w14:paraId="5B88CB78" w14:textId="5CC38EF0"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Higher IL-6 levels across time in the group with an </w:t>
            </w:r>
            <w:r w:rsidR="00A0213A" w:rsidRPr="00F7228F">
              <w:rPr>
                <w:rFonts w:ascii="Arial" w:eastAsia="Times New Roman" w:hAnsi="Arial" w:cs="Arial"/>
                <w:color w:val="000000"/>
              </w:rPr>
              <w:t>unfavourable</w:t>
            </w:r>
            <w:r w:rsidRPr="00F7228F">
              <w:rPr>
                <w:rFonts w:ascii="Arial" w:eastAsia="Times New Roman" w:hAnsi="Arial" w:cs="Arial"/>
                <w:color w:val="000000"/>
              </w:rPr>
              <w:t xml:space="preserve"> outcome.</w:t>
            </w:r>
          </w:p>
        </w:tc>
      </w:tr>
      <w:tr w:rsidR="00236A5B" w:rsidRPr="00F7228F" w14:paraId="188D458A"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A85B460" w14:textId="48DB8760"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Kao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{"citationItems":[{"id":"ITEM-1","itemData":{"DOI":"10.1371/JOURNAL.PONE.0132115","ISSN":"1932-6203","PMID":"26176774","abstract":"Background: Interleukin-6 (IL-6), a proinflammatory cytokine, was found to surge in the cerebral spinal fluid after aneurysmal subarachnoid hemorrhage (SAH). We hypothesized that the plasma level of IL-6 could be an independent biomarker in predicting clinical outcome of patients with ruptured intracranial aneurysm. Methods: We prospectively included 53 consecutive patients treated with platinum coil embolization of the ruptured intracranial aneurysm. Plasma IL-6 levels were measured in the blood samples at the orifices of the aneurysms and from peripheral veins. The outcome measure was the modified Rankin Scale one month after SAH. Multiple logistic regression analyses were used to evaluate the associations between the plasma IL-6 levels and the neurological outcome. Results: Significant risk factors for the poor outcome were old age, low Glasgow Coma Scale (GCS) on day 0, high Fisher grades, and high aneurysmal and venous IL-6 levels in univariate analyses. Aneurysmal IL-6 levels showed modest to moderate correlations with GCS on day 0, vasospasm grade and Fisher grade. A strong correlation was found between the aneurysmal and the corresponding venous IL-6 levels (ρ = 0.721; P&lt;0.001). In the multiple logistic regression models, the poor 30-day mRS was significantly associated with high aneurysmal IL-6 level (OR, 17.97; 95% CI, 1.51-214.33; P = 0.022) and marginally associated with high venous IL-6 level (OR, 12.71; 95% CI, 0.90-180.35; P = 0.022) after adjusting for dichotomized age, GCS on day 0, and vasospasm and Fisher grades. Conclusions: The plasma level of IL-6 is an independent prognostic biomarker that could be used to aid in the identification of patients at high-risk of poor neurological outcome after rupture of the intracranial aneurysm.","author":[{"dropping-particle":"","family":"Kao","given":"Hung Wen","non-dropping-particle":"","parse-names":false,"suffix":""},{"dropping-particle":"","family":"Lee","given":"Kwo Whei","non-dropping-particle":"","parse-names":false,"suffix":""},{"dropping-particle":"","family":"Kuo","given":"Chen Ling","non-dropping-particle":"","parse-names":false,"suffix":""},{"dropping-particle":"","family":"Huang","given":"Ching Shan","non-dropping-particle":"","parse-names":false,"suffix":""},{"dropping-particle":"","family":"Tseng","given":"Wan Min","non-dropping-particle":"","parse-names":false,"suffix":""},{"dropping-particle":"","family":"Liu","given":"Chin San","non-dropping-particle":"","parse-names":false,"suffix":""},{"dropping-particle":"","family":"Lin","given":"Ching Po","non-dropping-particle":"","parse-names":false,"suffix":""}],"container-title":"PloS one","id":"ITEM-1","issue":"7","issued":{"date-parts":[["2015","7","15"]]},"publisher":"PLoS One","title":"Interleukin-6 as a Prognostic Biomarker in Ruptured Intracranial Aneurysms","type":"article-journal","volume":"10"},"uris":["http://www.mendeley.com/documents/?uuid=d268cf8b-3759-4ed1-8229-d55593751970"]}],"mendeley":{"formattedCitation":"(24)","plainTextFormattedCitation":"(24)","previouslyFormattedCitation":"(24)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(24)</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6659FF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53 SAH</w:t>
            </w:r>
          </w:p>
        </w:tc>
        <w:tc>
          <w:tcPr>
            <w:tcW w:w="559" w:type="pct"/>
            <w:tcBorders>
              <w:top w:val="nil"/>
              <w:left w:val="nil"/>
              <w:bottom w:val="single" w:sz="4" w:space="0" w:color="auto"/>
              <w:right w:val="single" w:sz="4" w:space="0" w:color="auto"/>
            </w:tcBorders>
            <w:shd w:val="clear" w:color="auto" w:fill="auto"/>
            <w:vAlign w:val="center"/>
            <w:hideMark/>
          </w:tcPr>
          <w:p w14:paraId="13B69F7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00FB4A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592352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650DBB6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 of </w:t>
            </w:r>
            <w:proofErr w:type="spellStart"/>
            <w:r w:rsidRPr="00F7228F">
              <w:rPr>
                <w:rFonts w:ascii="Arial" w:eastAsia="Times New Roman" w:hAnsi="Arial" w:cs="Arial"/>
                <w:color w:val="000000"/>
              </w:rPr>
              <w:t>emmolisation</w:t>
            </w:r>
            <w:proofErr w:type="spellEnd"/>
          </w:p>
        </w:tc>
        <w:tc>
          <w:tcPr>
            <w:tcW w:w="603" w:type="pct"/>
            <w:tcBorders>
              <w:top w:val="nil"/>
              <w:left w:val="nil"/>
              <w:bottom w:val="single" w:sz="4" w:space="0" w:color="auto"/>
              <w:right w:val="single" w:sz="4" w:space="0" w:color="auto"/>
            </w:tcBorders>
            <w:shd w:val="clear" w:color="auto" w:fill="auto"/>
            <w:vAlign w:val="center"/>
            <w:hideMark/>
          </w:tcPr>
          <w:p w14:paraId="5ADB855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3297E893"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30 days</w:t>
            </w:r>
          </w:p>
        </w:tc>
        <w:tc>
          <w:tcPr>
            <w:tcW w:w="607" w:type="pct"/>
            <w:tcBorders>
              <w:top w:val="nil"/>
              <w:left w:val="nil"/>
              <w:bottom w:val="single" w:sz="4" w:space="0" w:color="auto"/>
              <w:right w:val="single" w:sz="4" w:space="0" w:color="auto"/>
            </w:tcBorders>
            <w:shd w:val="clear" w:color="auto" w:fill="auto"/>
            <w:vAlign w:val="center"/>
            <w:hideMark/>
          </w:tcPr>
          <w:p w14:paraId="08C2143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Patients with high l IL-6 levels were more likely to have poor neurological outcomes</w:t>
            </w:r>
          </w:p>
        </w:tc>
      </w:tr>
      <w:tr w:rsidR="00236A5B" w:rsidRPr="00F7228F" w14:paraId="455EBE71"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EB17946" w14:textId="043E338D"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Schallner</w:t>
            </w:r>
            <w:proofErr w:type="spellEnd"/>
            <w:r w:rsidRPr="00F7228F">
              <w:rPr>
                <w:rFonts w:ascii="Arial" w:eastAsia="Times New Roman" w:hAnsi="Arial" w:cs="Arial"/>
                <w:b/>
                <w:bCs/>
                <w:color w:val="000000"/>
              </w:rPr>
              <w:t xml:space="preserve">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{"citationItems":[{"id":"ITEM-1","itemData":{"DOI":"10.1172/JCI78443","ISSN":"1558-8238","PMID":"26011640","abstract":"Subarachnoid hemorrhage (SAH) carries a 50% mortality rate. The extravasated erythrocytes that surround the brain contain heme, which, when released from damaged red blood cells, functions as a potent danger molecule that induces sterile tissue injury and organ dysfunction. Free heme is metabolized by heme oxygenase (HO), resulting in the generation of carbon monoxide (CO), a bioactive gas with potent immunomodulatory capabilities. Here, using a murine model of SAH, we demonstrated that expression of the inducible HO isoform (HO-1, encoded by Hmox1) in microglia is necessary to attenuate neuronal cell death, vasospasm, impaired cognitive function, and clearance of cerebral blood burden. Initiation of CO inhalation after SAH rescued the absence of microglial HO-1 and reduced injury by enhancing erythrophagocytosis. Evaluation of correlative human data revealed that patients with SAH have markedly higher HO-1 activity in cerebrospinal fluid (CSF) compared with that in patients with unruptured cerebral aneurysms. Furthermore, cisternal hematoma volume correlated with HO-1 activity and cytokine expression in the CSF of these patients. Collectively, we found that microglial HO-1 and the generation of CO are essential for effective elimination of blood and heme after SAH that otherwise leads to neuronal injury and cognitive dysfunction. Administration of CO may have potential as a therapeutic modality in patients with ruptured cerebral aneurysms.","author":[{"dropping-particle":"","family":"Schallner","given":"Nils","non-dropping-particle":"","parse-names":false,"suffix":""},{"dropping-particle":"","family":"Pandit","given":"Rambhau","non-dropping-particle":"","parse-names":false,"suffix":""},{"dropping-particle":"","family":"LeBlanc","given":"Robert","non-dropping-particle":"","parse-names":false,"suffix":""},{"dropping-particle":"","family":"Thomas","given":"Ajith J.","non-dropping-particle":"","parse-names":false,"suffix":""},{"dropping-particle":"","family":"Ogilvy","given":"Christopher S.","non-dropping-particle":"","parse-names":false,"suffix":""},{"dropping-particle":"","family":"Zuckerbraun","given":"Brian S.","non-dropping-particle":"","parse-names":false,"suffix":""},{"dropping-particle":"","family":"Gallo","given":"David","non-dropping-particle":"","parse-names":false,"suffix":""},{"dropping-particle":"","family":"Otterbein","given":"Leo E.","non-dropping-particle":"","parse-names":false,"suffix":""},{"dropping-particle":"","family":"Hanafy","given":"Khalid A.","non-dropping-particle":"","parse-names":false,"suffix":""}],"container-title":"The Journal of clinical investigation","id":"ITEM-1","issue":"7","issued":{"date-parts":[["2015","7","1"]]},"page":"2609-2625","publisher":"J Clin Invest","title":"Microglia regulate blood clearance in subarachnoid hemorrhage by heme oxygenase-1","type":"article-journal","volume":"125"},"uris":["http://www.mendeley.com/documents/?uuid=81cf5611-0dcd-4b5d-957a-cba57647a6f4"]}],"mendeley":{"formattedCitation":"(25)","plainTextFormattedCitation":"(25)","previouslyFormattedCitation":"(25)"},"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(25)</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98670D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11 SAH</w:t>
            </w:r>
            <w:r w:rsidRPr="00F7228F">
              <w:rPr>
                <w:rFonts w:ascii="Arial" w:eastAsia="Times New Roman" w:hAnsi="Arial" w:cs="Arial"/>
                <w:color w:val="000000" w:themeColor="text1"/>
              </w:rPr>
              <w:br/>
              <w:t>Unknown number of controls</w:t>
            </w:r>
          </w:p>
        </w:tc>
        <w:tc>
          <w:tcPr>
            <w:tcW w:w="559" w:type="pct"/>
            <w:tcBorders>
              <w:top w:val="nil"/>
              <w:left w:val="nil"/>
              <w:bottom w:val="single" w:sz="4" w:space="0" w:color="auto"/>
              <w:right w:val="single" w:sz="4" w:space="0" w:color="auto"/>
            </w:tcBorders>
            <w:shd w:val="clear" w:color="auto" w:fill="auto"/>
            <w:vAlign w:val="center"/>
            <w:hideMark/>
          </w:tcPr>
          <w:p w14:paraId="35A385B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02" w:type="pct"/>
            <w:tcBorders>
              <w:top w:val="nil"/>
              <w:left w:val="nil"/>
              <w:bottom w:val="single" w:sz="4" w:space="0" w:color="auto"/>
              <w:right w:val="single" w:sz="4" w:space="0" w:color="auto"/>
            </w:tcBorders>
            <w:shd w:val="clear" w:color="auto" w:fill="auto"/>
            <w:vAlign w:val="center"/>
            <w:hideMark/>
          </w:tcPr>
          <w:p w14:paraId="5D4D1AA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IL-8, Il-10, TNF-α</w:t>
            </w:r>
          </w:p>
        </w:tc>
        <w:tc>
          <w:tcPr>
            <w:tcW w:w="661" w:type="pct"/>
            <w:tcBorders>
              <w:top w:val="nil"/>
              <w:left w:val="nil"/>
              <w:bottom w:val="single" w:sz="4" w:space="0" w:color="auto"/>
              <w:right w:val="single" w:sz="4" w:space="0" w:color="auto"/>
            </w:tcBorders>
            <w:shd w:val="clear" w:color="auto" w:fill="auto"/>
            <w:vAlign w:val="center"/>
            <w:hideMark/>
          </w:tcPr>
          <w:p w14:paraId="7203CDA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16F59C3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7</w:t>
            </w:r>
          </w:p>
        </w:tc>
        <w:tc>
          <w:tcPr>
            <w:tcW w:w="603" w:type="pct"/>
            <w:tcBorders>
              <w:top w:val="nil"/>
              <w:left w:val="nil"/>
              <w:bottom w:val="single" w:sz="4" w:space="0" w:color="auto"/>
              <w:right w:val="single" w:sz="4" w:space="0" w:color="auto"/>
            </w:tcBorders>
            <w:shd w:val="clear" w:color="auto" w:fill="auto"/>
            <w:vAlign w:val="center"/>
            <w:hideMark/>
          </w:tcPr>
          <w:p w14:paraId="6775EED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All CSF cytokines had levels higher than controls. IL-1β, IL-8, and TNF-</w:t>
            </w:r>
            <w:proofErr w:type="gramStart"/>
            <w:r w:rsidRPr="00F7228F">
              <w:rPr>
                <w:rFonts w:ascii="Arial" w:eastAsia="Times New Roman" w:hAnsi="Arial" w:cs="Arial"/>
                <w:color w:val="000000"/>
              </w:rPr>
              <w:t>α  levels</w:t>
            </w:r>
            <w:proofErr w:type="gramEnd"/>
            <w:r w:rsidRPr="00F7228F">
              <w:rPr>
                <w:rFonts w:ascii="Arial" w:eastAsia="Times New Roman" w:hAnsi="Arial" w:cs="Arial"/>
                <w:color w:val="000000"/>
              </w:rPr>
              <w:t xml:space="preserve"> at day 7 were greater than their levels at day 1</w:t>
            </w:r>
          </w:p>
        </w:tc>
        <w:tc>
          <w:tcPr>
            <w:tcW w:w="573" w:type="pct"/>
            <w:tcBorders>
              <w:top w:val="nil"/>
              <w:left w:val="nil"/>
              <w:bottom w:val="single" w:sz="4" w:space="0" w:color="auto"/>
              <w:right w:val="single" w:sz="4" w:space="0" w:color="auto"/>
            </w:tcBorders>
            <w:shd w:val="clear" w:color="auto" w:fill="auto"/>
            <w:vAlign w:val="center"/>
            <w:hideMark/>
          </w:tcPr>
          <w:p w14:paraId="3259D08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7" w:type="pct"/>
            <w:tcBorders>
              <w:top w:val="nil"/>
              <w:left w:val="nil"/>
              <w:bottom w:val="single" w:sz="4" w:space="0" w:color="auto"/>
              <w:right w:val="single" w:sz="4" w:space="0" w:color="auto"/>
            </w:tcBorders>
            <w:shd w:val="clear" w:color="auto" w:fill="auto"/>
            <w:vAlign w:val="center"/>
            <w:hideMark/>
          </w:tcPr>
          <w:p w14:paraId="3AA0C97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7988C2DD" w14:textId="77777777" w:rsidTr="00236A5B">
        <w:trPr>
          <w:trHeight w:val="87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EBCBC75" w14:textId="7719EFC6"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Tang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{"citationItems":[{"id":"ITEM-1","itemData":{"ISSN":"1940-5901","PMID":"25785135","abstract":"The aim of this study was to investigate the role of Von Willebrand Factor/thrombospondin type I repeats-13 (VWF/ADAMTS13) balance in aSAH. Fifty eight patients with aSAH at the First Affiliated hospital of Soochow University, Suzhou, China, between January 2012 and January 2014 were eligible for the study. They were divided into delayed cerebral ischemia group (DCI group) and non-delayed cerebral ischemia group (no DCI group), or cerebral vasospasm group (CVS group) and no spasm group (no CVS group), or good outcome group and poor outcome group. The control group consisted of twenty healthy people. All patients underwent CT, DSA, or (and) CTA diagnosed with intracranial subarachnoid hemorrhage which is caused by aneurysm rupture. Venous blood was drawn in tubes at 3 time points: 1 day after SAH (T1), (4±1) days after SAH (T2), and (9±1) days after SAH (T3) to determine plasma concentrations of ADAMTS13, VWF, P-selectin and IL-6 via enzyme-linked immunosorbent assay (ELISA). Transcranial doppler sonography (TCD) was used to measure mean blood flow velocity of the middle cerebral artery (VMCA). Glasgow Outcome Scale (GOS) was measured before discharge. Among 58 patients, 12 (20.7%) had DCI, 40 (68.9%) had TCD evidence of CVS, and 20 (34.5%) had poor outcome. The concentrations of VWF, P-selectin and IL-6 on T1, T2 and T3 after SAH were significantly higher in DCI, CVS and poor outcome groups compared with those of the control group (P &lt; 0.05). The concentrations of VWF, P-selectin and IL-6 were significantly higher in DCI, CVS and poor outcome groups compared with those of the no DCI, no CVS and good outcome groups. The activity of ADAMTS13 was lower in DCI and poor outcome groups compared with those of the no DCI and good outcome groups (P &lt; 0.05). The activity of ADAMTS13 showed no difference in CVS group and no CVS group (P &gt; 0.05). The results of our study suggest that the increased VWF and decreased ADAMTS13 activity were associated with DCI and poor outcome. The balance of VWF/ADAMTS13 could be used to predict the clinical outcome. The deficiency of ADAMTS13 can not only induce DCI but also accelerate inflammatory reaction. Our results reported in this paper may provide new insights into the possible use of ADAMTS13 as a therapeutic agent in aneurysmal subarachnoid hemorrhage.","author":[{"dropping-particle":"","family":"Tang","given":"Qi-Feng","non-dropping-particle":"","parse-names":false,"suffix":""},{"dropping-particle":"","family":"Lu","given":"Shi-Qi","non-dropping-particle":"","parse-names":false,"suffix":""},{"dropping-particle":"","family":"Zhao","given":"Yi-Ming","non-dropping-particle":"","parse-names":false,"suffix":""},{"dropping-particle":"","family":"Qian","given":"Jin-Xian","non-dropping-particle":"","parse-names":false,"suffix":""}],"container-title":"International Journal of Clinical and Experimental Medicine","id":"ITEM-1","issue":"1","issued":{"date-parts":[["2015"]]},"page":"1342","publisher":"e-Century Publishing Corporation","title":"The changes of von willebrand factor/a disintegrin-like and metalloprotease with thrombospondin type I repeats-13 balance in aneurysmal subarachnoid hemorrhage","type":"article-journal","volume":"8"},"uris":["http://www.mendeley.com/documents/?uuid=08c9e24d-f282-36f7-9ae0-c7c36f5430f8"]}],"mendeley":{"formattedCitation":"(26)","plainTextFormattedCitation":"(26)","previouslyFormattedCitation":"(26)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996B25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58 SAH</w:t>
            </w:r>
            <w:r w:rsidRPr="00F7228F">
              <w:rPr>
                <w:rFonts w:ascii="Arial" w:eastAsia="Times New Roman" w:hAnsi="Arial" w:cs="Arial"/>
                <w:color w:val="000000" w:themeColor="text1"/>
              </w:rPr>
              <w:br/>
              <w:t>20 controls</w:t>
            </w:r>
          </w:p>
        </w:tc>
        <w:tc>
          <w:tcPr>
            <w:tcW w:w="559" w:type="pct"/>
            <w:tcBorders>
              <w:top w:val="nil"/>
              <w:left w:val="nil"/>
              <w:bottom w:val="single" w:sz="4" w:space="0" w:color="auto"/>
              <w:right w:val="single" w:sz="4" w:space="0" w:color="auto"/>
            </w:tcBorders>
            <w:shd w:val="clear" w:color="auto" w:fill="auto"/>
            <w:vAlign w:val="center"/>
            <w:hideMark/>
          </w:tcPr>
          <w:p w14:paraId="754390C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C16542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3FA7FE3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2AD062D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3-5, 8-10</w:t>
            </w:r>
          </w:p>
        </w:tc>
        <w:tc>
          <w:tcPr>
            <w:tcW w:w="603" w:type="pct"/>
            <w:tcBorders>
              <w:top w:val="nil"/>
              <w:left w:val="nil"/>
              <w:bottom w:val="single" w:sz="4" w:space="0" w:color="auto"/>
              <w:right w:val="single" w:sz="4" w:space="0" w:color="auto"/>
            </w:tcBorders>
            <w:shd w:val="clear" w:color="auto" w:fill="auto"/>
            <w:vAlign w:val="center"/>
            <w:hideMark/>
          </w:tcPr>
          <w:p w14:paraId="176CAA4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 IL-6 levels were highest on day 1</w:t>
            </w:r>
          </w:p>
        </w:tc>
        <w:tc>
          <w:tcPr>
            <w:tcW w:w="573" w:type="pct"/>
            <w:tcBorders>
              <w:top w:val="nil"/>
              <w:left w:val="nil"/>
              <w:bottom w:val="single" w:sz="4" w:space="0" w:color="auto"/>
              <w:right w:val="single" w:sz="4" w:space="0" w:color="auto"/>
            </w:tcBorders>
            <w:shd w:val="clear" w:color="auto" w:fill="auto"/>
            <w:vAlign w:val="center"/>
            <w:hideMark/>
          </w:tcPr>
          <w:p w14:paraId="3ECDF76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DCI during admission, GOS at unspecified time point</w:t>
            </w:r>
          </w:p>
        </w:tc>
        <w:tc>
          <w:tcPr>
            <w:tcW w:w="607" w:type="pct"/>
            <w:tcBorders>
              <w:top w:val="nil"/>
              <w:left w:val="nil"/>
              <w:bottom w:val="single" w:sz="4" w:space="0" w:color="auto"/>
              <w:right w:val="single" w:sz="4" w:space="0" w:color="auto"/>
            </w:tcBorders>
            <w:shd w:val="clear" w:color="auto" w:fill="auto"/>
            <w:vAlign w:val="center"/>
            <w:hideMark/>
          </w:tcPr>
          <w:p w14:paraId="7E9A1E49" w14:textId="040534EF"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 The concentration </w:t>
            </w:r>
            <w:r w:rsidR="00A0213A" w:rsidRPr="00F7228F">
              <w:rPr>
                <w:rFonts w:ascii="Arial" w:eastAsia="Times New Roman" w:hAnsi="Arial" w:cs="Arial"/>
                <w:color w:val="000000"/>
              </w:rPr>
              <w:t>of plasma</w:t>
            </w:r>
            <w:r w:rsidRPr="00F7228F">
              <w:rPr>
                <w:rFonts w:ascii="Arial" w:eastAsia="Times New Roman" w:hAnsi="Arial" w:cs="Arial"/>
                <w:color w:val="000000"/>
              </w:rPr>
              <w:t xml:space="preserve"> IL-6 was significantly higher in patients who had vasospasm, DCI, or a poor outcome</w:t>
            </w:r>
          </w:p>
        </w:tc>
      </w:tr>
      <w:tr w:rsidR="00236A5B" w:rsidRPr="00F7228F" w14:paraId="1883D426" w14:textId="77777777" w:rsidTr="00236A5B">
        <w:trPr>
          <w:trHeight w:val="58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0EA88B4E" w14:textId="0F85D340"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Zhou et al., 2015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{"citationItems":[{"id":"ITEM-1","itemData":{"DOI":"10.1186/S12974-015-0415-4","ISSN":"1742-2094","PMID":"26527034","abstract":"Background: Subarachnoid hemorrhage (SAH) is a devastating neurological injury with high morbidity and mortality that is mainly caused by early brain injury (EBI). Progranulin (PGRN) is known to be involved in various biological functions, such as anti-inflammation and tissue repair. This study aimed to investigate the change of PGRN in the brain after SAH and its role on EBI. Methods: The levels of PGRN, myeloperoxidase (MPO), interleukin1β (IL-1β), and tumor necrosis factor-α (TNF-α) were detected in the cerebrospinal fluid (CSF) from SAH patients by enzyme-linked immunosorbent assay (ELISA). In addition, PGRN levels were also detected in the cerebral cortex after experimental SAH in rats by western blotting and immunohistochemistry (IHC). Recombinant human PGRN (r-PGRN) or an equal volume of phosphate-buffered saline (PBS) was administrated at 30 min after SAH. All rats were subsequently sacrificed at 24 h after SAH. Neurological score and brain water content were assessed. For mechanistic studies, the changes of MPO, matrix metalloproteinase-9 (MMP-9), zonula occludens 1 (ZO-1), Bcl-2, and cleaved caspase-3 were examined by western blotting and the levels of pro-inflammatory cytokines (IL-1β and TNF-α) were determined by ELISA. In addition, neuronal apoptosis and blood brain barrier (BBB) permeability were examined. Results: The levels of PGRN significantly decreased, and the levels of MPO, IL-1β, and TNF-α were markedly elevated in the CSF from SAH patients. In rats, PGRN levels in the brain also decreased after SAH. Administration of r-PGRN decreased brain water content and improved neurological scores at 24 h after SAH. These changes were associated with marked reductions in MPO, MMP-9, and proinflammation cytokine levels, as well as increased levels of Bcl-2 and ZO-1. In addition, neuronal apoptosis and BBB permeability were alleviated by r-PGRN. Conclusions: These results indicate that the levels of PGRN decreased after SAH and that r-PGRN alleviates EBI after SAH possibly via inhibition of neutrophil recruitment, providing a new target for the treatment of SAH.","author":[{"dropping-particle":"","family":"Zhou","given":"Chenhui","non-dropping-particle":"","parse-names":false,"suffix":""},{"dropping-particle":"","family":"Xie","given":"Guangbin","non-dropping-particle":"","parse-names":false,"suffix":""},{"dropping-particle":"","family":"Wang","given":"Chunxi","non-dropping-particle":"","parse-names":false,"suffix":""},{"dropping-particle":"","family":"Zhang","given":"Zihuan","non-dropping-particle":"","parse-names":false,"suffix":""},{"dropping-particle":"","family":"Chen","given":"Qiang","non-dropping-particle":"","parse-names":false,"suffix":""},{"dropping-particle":"","family":"Zhang","given":"Li","non-dropping-particle":"","parse-names":false,"suffix":""},{"dropping-particle":"","family":"Wu","given":"Lingyun","non-dropping-particle":"","parse-names":false,"suffix":""},{"dropping-particle":"","family":"Wei","given":"Yongxiang","non-dropping-particle":"","parse-names":false,"suffix":""},{"dropping-particle":"","family":"Ding","given":"Hui","non-dropping-particle":"","parse-names":false,"suffix":""},{"dropping-particle":"","family":"Hang","given":"Chunhua","non-dropping-particle":"","parse-names":false,"suffix":""},{"dropping-particle":"","family":"Zhou","given":"Mengliang","non-dropping-particle":"","parse-names":false,"suffix":""},{"dropping-particle":"","family":"Shi","given":"Jixin","non-dropping-particle":"","parse-names":false,"suffix":""}],"container-title":"Journal of neuroinflammation","id":"ITEM-1","issue":"1","issued":{"date-parts":[["2015","11","2"]]},"publisher":"J Neuroinflammation","title":"Decreased progranulin levels in patients and rats with subarachnoid hemorrhage: a potential role in inhibiting inflammation by suppressing neutrophil recruitment","type":"article-journal","volume":"12"},"uris":["http://www.mendeley.com/documents/?uuid=ee3afc66-02bb-4f54-8a3b-7e6bfe839113"]}],"mendeley":{"formattedCitation":"(27)","plainTextFormattedCitation":"(27)","previouslyFormattedCitation":"(27)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2F4DBE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43 SAH</w:t>
            </w:r>
            <w:r w:rsidRPr="00F7228F">
              <w:rPr>
                <w:rFonts w:ascii="Arial" w:eastAsia="Times New Roman" w:hAnsi="Arial" w:cs="Arial"/>
                <w:color w:val="000000" w:themeColor="text1"/>
              </w:rPr>
              <w:br/>
              <w:t>4 controls</w:t>
            </w:r>
          </w:p>
        </w:tc>
        <w:tc>
          <w:tcPr>
            <w:tcW w:w="559" w:type="pct"/>
            <w:tcBorders>
              <w:top w:val="nil"/>
              <w:left w:val="nil"/>
              <w:bottom w:val="single" w:sz="4" w:space="0" w:color="auto"/>
              <w:right w:val="single" w:sz="4" w:space="0" w:color="auto"/>
            </w:tcBorders>
            <w:shd w:val="clear" w:color="auto" w:fill="auto"/>
            <w:vAlign w:val="center"/>
            <w:hideMark/>
          </w:tcPr>
          <w:p w14:paraId="36A5A32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0B70246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TNF-α</w:t>
            </w:r>
          </w:p>
        </w:tc>
        <w:tc>
          <w:tcPr>
            <w:tcW w:w="661" w:type="pct"/>
            <w:tcBorders>
              <w:top w:val="nil"/>
              <w:left w:val="nil"/>
              <w:bottom w:val="single" w:sz="4" w:space="0" w:color="auto"/>
              <w:right w:val="single" w:sz="4" w:space="0" w:color="auto"/>
            </w:tcBorders>
            <w:shd w:val="clear" w:color="auto" w:fill="auto"/>
            <w:vAlign w:val="center"/>
            <w:hideMark/>
          </w:tcPr>
          <w:p w14:paraId="683116B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3E42985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1-3, 4-7, 8+</w:t>
            </w:r>
          </w:p>
        </w:tc>
        <w:tc>
          <w:tcPr>
            <w:tcW w:w="603" w:type="pct"/>
            <w:tcBorders>
              <w:top w:val="nil"/>
              <w:left w:val="nil"/>
              <w:bottom w:val="single" w:sz="4" w:space="0" w:color="auto"/>
              <w:right w:val="single" w:sz="4" w:space="0" w:color="auto"/>
            </w:tcBorders>
            <w:shd w:val="clear" w:color="auto" w:fill="auto"/>
            <w:vAlign w:val="center"/>
            <w:hideMark/>
          </w:tcPr>
          <w:p w14:paraId="1BDB4495" w14:textId="77777777" w:rsidR="00236A5B" w:rsidRPr="00F7228F" w:rsidRDefault="00236A5B" w:rsidP="000B242D">
            <w:pPr>
              <w:spacing w:after="0" w:line="240" w:lineRule="auto"/>
              <w:jc w:val="center"/>
              <w:rPr>
                <w:rFonts w:ascii="Arial" w:eastAsia="Times New Roman" w:hAnsi="Arial" w:cs="Arial"/>
                <w:color w:val="000000"/>
              </w:rPr>
            </w:pPr>
            <w:proofErr w:type="gramStart"/>
            <w:r w:rsidRPr="00F7228F">
              <w:rPr>
                <w:rFonts w:ascii="Arial" w:eastAsia="Times New Roman" w:hAnsi="Arial" w:cs="Arial"/>
                <w:color w:val="000000"/>
              </w:rPr>
              <w:t>CSF  IL</w:t>
            </w:r>
            <w:proofErr w:type="gramEnd"/>
            <w:r w:rsidRPr="00F7228F">
              <w:rPr>
                <w:rFonts w:ascii="Arial" w:eastAsia="Times New Roman" w:hAnsi="Arial" w:cs="Arial"/>
                <w:color w:val="000000"/>
              </w:rPr>
              <w:t>-1β and TNF-α were increased in SAH patients</w:t>
            </w:r>
          </w:p>
        </w:tc>
        <w:tc>
          <w:tcPr>
            <w:tcW w:w="573" w:type="pct"/>
            <w:tcBorders>
              <w:top w:val="nil"/>
              <w:left w:val="nil"/>
              <w:bottom w:val="single" w:sz="4" w:space="0" w:color="auto"/>
              <w:right w:val="single" w:sz="4" w:space="0" w:color="auto"/>
            </w:tcBorders>
            <w:shd w:val="clear" w:color="auto" w:fill="auto"/>
            <w:vAlign w:val="center"/>
            <w:hideMark/>
          </w:tcPr>
          <w:p w14:paraId="45E2CF1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GOS and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292F595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6C15E592"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46E725A" w14:textId="79DF0B2E"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themeColor="text1"/>
              </w:rPr>
              <w:lastRenderedPageBreak/>
              <w:t xml:space="preserve">Wu et al., 2016 </w:t>
            </w:r>
            <w:r w:rsidRPr="00F7228F">
              <w:rPr>
                <w:rFonts w:ascii="Arial" w:eastAsia="Times New Roman" w:hAnsi="Arial" w:cs="Arial"/>
                <w:b/>
                <w:bCs/>
                <w:color w:val="000000" w:themeColor="text1"/>
              </w:rPr>
              <w:fldChar w:fldCharType="begin" w:fldLock="1"/>
            </w:r>
            <w:r w:rsidR="008507E1" w:rsidRPr="00F7228F">
              <w:rPr>
                <w:rFonts w:ascii="Arial" w:eastAsia="Times New Roman" w:hAnsi="Arial" w:cs="Arial"/>
                <w:b/>
                <w:bCs/>
                <w:color w:val="000000" w:themeColor="text1"/>
              </w:rPr>
              <w:instrText>ADDIN CSL_CITATION {"citationItems":[{"id":"ITEM-1","itemData":{"PMID":"26063595","abstract":"The present study investigated the correlation between interleukin-6 (IL-6) and tumor necrosis factor alpha (TNF-α) levels in cerebrospinal fluid (CSF) and subarachnoid hemorrhage (SAH) progression. A meta-analysis was further conducted from pooled data to analyze the clinical value of IL-6 and TNF-α in SAH diagnosis. In our case-control study, a total of 57 SAH patients were assigned to two groups, CVS group (n = 27) and non-CVS group (n = 30), based on the presence of cerebral vasospasm (CVS). In addition, 65 healthy subjects were enrolled as controls. IL-6 and TNF-α levels in CSF were measured in all the study subjects by enzyme-linked immunosorbent assay (ELISA). For meta-analysis, an exhaustive literature search was conducted to identify relevant published articles and strict inclusion and exclusion criteria were applied to select studies for the present meta-analysis. Data extracted from these studies was analyzed using STATA 12.0 software. IL-6 and TNF-α levels in CSF of SAH patients were markedly higher than those of healthy controls (all P &lt; 0.001). Further, CVS patients showed elevated IL-6 and TNF-α levels in CSF compared to non-CVS patients (all P &lt; 0.001). The increase in IL-6 and TNF-α levels in CSF correlated with the increasing disease severity, based on Hunt-Hess grade, in SAH patients (all P &lt; 0.05). Our meta-analysis also confirmed that IL-6 and TNF-α CSF levels were markedly higher in SAH patients compared to healthy controls (all P &lt; 0.001). Ethnicity-stratified analysis showed that both IL-6 and TNF-α CSF levels were elevated in Asian SAH patients, compared to their healthy counterparts (all P &lt; 0.05). The TNF-α CSF levels were significantly higher in Caucasian SAH patients (P &lt; 0.001), but the IL-6 CSF levels showed no such differences compared to the healthy controls (P = 0.219). Subgroup analysis based on the presence of CVS showed that both IL-6 and TNF-α CSF levels were markedly higher in CVS patients than those in non-CVS patients (all P &lt; 0.05). Our results provide strong evidence that IL-6 and TNF-α CSF levels are elevated in SAH patients and may participate in SAH development. Thus, these two cytokines could be important biomarkers for early diagnosis and disease monitoring in SAH patients.","author":[{"dropping-particle":"","family":"Wu","given":"Wei","non-dropping-particle":"","parse-names":false,"suffix":""},{"dropping-particle":"","family":"Guan","given":"Yi","non-dropping-particle":"","parse-names":false,"suffix":""},{"dropping-particle":"","family":"Zhao","given":"Gang","non-dropping-particle":"","parse-names":false,"suffix":""},{"dropping-particle":"","family":"Fu","given":"Xi Jia","non-dropping-particle":"","parse-names":false,"suffix":""},{"dropping-particle":"","family":"Guo","given":"Tie Zhu","non-dropping-particle":"","parse-names":false,"suffix":""},{"dropping-particle":"","family":"Liu","given":"Yue Ting","non-dropping-particle":"","parse-names":false,"suffix":""},{"dropping-particle":"","family":"Ren","given":"Xin Liang","non-dropping-particle":"","parse-names":false,"suffix":""},{"dropping-particle":"","family":"Wang","given":"Wei","non-dropping-particle":"","parse-names":false,"suffix":""},{"dropping-particle":"","family":"Liu","given":"Han Rui","non-dropping-particle":"","parse-names":false,"suffix":""},{"dropping-particle":"","family":"Li","given":"Yun Qian","non-dropping-particle":"","parse-names":false,"suffix":""}],"id":"ITEM-1","issue":"5","issued":{"date-parts":[["2016","7","1"]]},"page":"3277-3285","title":"Elevated IL-6 and TNF-α Levels in Cerebrospinal Fluid of Subarachnoid Hemorrhage Patients","type":"article-journal","volume":"53"},"uris":["http://www.mendeley.com/documents/?uuid=2017d7e1-0c6f-48c8-86ad-76071ee19f73"]}],"mendeley":{"formattedCitation":"(28)","plainTextFormattedCitation":"(28)","previouslyFormattedCitation":"(28)"},"properties":{"noteIndex":0},"schema":"https://github.com/citation-style-language/schema/raw/master/csl-citation.json"}</w:instrText>
            </w:r>
            <w:r w:rsidRPr="00F7228F">
              <w:rPr>
                <w:rFonts w:ascii="Arial" w:eastAsia="Times New Roman" w:hAnsi="Arial" w:cs="Arial"/>
                <w:b/>
                <w:bCs/>
                <w:color w:val="000000" w:themeColor="text1"/>
              </w:rPr>
              <w:fldChar w:fldCharType="separate"/>
            </w:r>
            <w:r w:rsidR="008C09BB" w:rsidRPr="00F7228F">
              <w:rPr>
                <w:rFonts w:ascii="Arial" w:eastAsia="Times New Roman" w:hAnsi="Arial" w:cs="Arial"/>
                <w:bCs/>
                <w:noProof/>
                <w:color w:val="000000" w:themeColor="text1"/>
              </w:rPr>
              <w:t>(28)</w:t>
            </w:r>
            <w:r w:rsidRPr="00F7228F">
              <w:rPr>
                <w:rFonts w:ascii="Arial" w:eastAsia="Times New Roman" w:hAnsi="Arial" w:cs="Arial"/>
                <w:b/>
                <w:bCs/>
                <w:color w:val="000000" w:themeColor="text1"/>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C25912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57 SAH</w:t>
            </w:r>
            <w:r w:rsidRPr="00F7228F">
              <w:rPr>
                <w:rFonts w:ascii="Arial" w:eastAsia="Times New Roman" w:hAnsi="Arial" w:cs="Arial"/>
                <w:color w:val="000000" w:themeColor="text1"/>
              </w:rPr>
              <w:br/>
              <w:t>65 controls</w:t>
            </w:r>
          </w:p>
        </w:tc>
        <w:tc>
          <w:tcPr>
            <w:tcW w:w="559" w:type="pct"/>
            <w:tcBorders>
              <w:top w:val="nil"/>
              <w:left w:val="nil"/>
              <w:bottom w:val="single" w:sz="4" w:space="0" w:color="auto"/>
              <w:right w:val="single" w:sz="4" w:space="0" w:color="auto"/>
            </w:tcBorders>
            <w:shd w:val="clear" w:color="auto" w:fill="auto"/>
            <w:vAlign w:val="center"/>
            <w:hideMark/>
          </w:tcPr>
          <w:p w14:paraId="783F6B2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 xml:space="preserve">Case control study </w:t>
            </w:r>
          </w:p>
        </w:tc>
        <w:tc>
          <w:tcPr>
            <w:tcW w:w="502" w:type="pct"/>
            <w:tcBorders>
              <w:top w:val="nil"/>
              <w:left w:val="nil"/>
              <w:bottom w:val="single" w:sz="4" w:space="0" w:color="auto"/>
              <w:right w:val="single" w:sz="4" w:space="0" w:color="auto"/>
            </w:tcBorders>
            <w:shd w:val="clear" w:color="auto" w:fill="auto"/>
            <w:vAlign w:val="center"/>
            <w:hideMark/>
          </w:tcPr>
          <w:p w14:paraId="33FF72B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TNF-α</w:t>
            </w:r>
          </w:p>
        </w:tc>
        <w:tc>
          <w:tcPr>
            <w:tcW w:w="661" w:type="pct"/>
            <w:tcBorders>
              <w:top w:val="nil"/>
              <w:left w:val="nil"/>
              <w:bottom w:val="single" w:sz="4" w:space="0" w:color="auto"/>
              <w:right w:val="single" w:sz="4" w:space="0" w:color="auto"/>
            </w:tcBorders>
            <w:shd w:val="clear" w:color="auto" w:fill="auto"/>
            <w:vAlign w:val="center"/>
            <w:hideMark/>
          </w:tcPr>
          <w:p w14:paraId="69DFC5F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CSF</w:t>
            </w:r>
          </w:p>
        </w:tc>
        <w:tc>
          <w:tcPr>
            <w:tcW w:w="475" w:type="pct"/>
            <w:tcBorders>
              <w:top w:val="nil"/>
              <w:left w:val="nil"/>
              <w:bottom w:val="single" w:sz="4" w:space="0" w:color="auto"/>
              <w:right w:val="single" w:sz="4" w:space="0" w:color="auto"/>
            </w:tcBorders>
            <w:shd w:val="clear" w:color="auto" w:fill="auto"/>
            <w:vAlign w:val="center"/>
            <w:hideMark/>
          </w:tcPr>
          <w:p w14:paraId="48B99FF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2</w:t>
            </w:r>
          </w:p>
        </w:tc>
        <w:tc>
          <w:tcPr>
            <w:tcW w:w="603" w:type="pct"/>
            <w:tcBorders>
              <w:top w:val="nil"/>
              <w:left w:val="nil"/>
              <w:bottom w:val="single" w:sz="4" w:space="0" w:color="auto"/>
              <w:right w:val="single" w:sz="4" w:space="0" w:color="auto"/>
            </w:tcBorders>
            <w:shd w:val="clear" w:color="auto" w:fill="auto"/>
            <w:vAlign w:val="center"/>
            <w:hideMark/>
          </w:tcPr>
          <w:p w14:paraId="143BAD4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Higher IL-6 and TNF-α levels in CSF of SAH patients compared to healthy controls</w:t>
            </w:r>
          </w:p>
        </w:tc>
        <w:tc>
          <w:tcPr>
            <w:tcW w:w="573" w:type="pct"/>
            <w:tcBorders>
              <w:top w:val="nil"/>
              <w:left w:val="nil"/>
              <w:bottom w:val="single" w:sz="4" w:space="0" w:color="auto"/>
              <w:right w:val="single" w:sz="4" w:space="0" w:color="auto"/>
            </w:tcBorders>
            <w:shd w:val="clear" w:color="auto" w:fill="auto"/>
            <w:vAlign w:val="center"/>
            <w:hideMark/>
          </w:tcPr>
          <w:p w14:paraId="5072C2F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during admission</w:t>
            </w:r>
          </w:p>
        </w:tc>
        <w:tc>
          <w:tcPr>
            <w:tcW w:w="607" w:type="pct"/>
            <w:tcBorders>
              <w:top w:val="nil"/>
              <w:left w:val="nil"/>
              <w:bottom w:val="single" w:sz="4" w:space="0" w:color="auto"/>
              <w:right w:val="single" w:sz="4" w:space="0" w:color="auto"/>
            </w:tcBorders>
            <w:shd w:val="clear" w:color="auto" w:fill="auto"/>
            <w:vAlign w:val="center"/>
            <w:hideMark/>
          </w:tcPr>
          <w:p w14:paraId="5DADB56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Patients who developed vasospasm had elevated CSF IL-6</w:t>
            </w:r>
          </w:p>
        </w:tc>
      </w:tr>
      <w:tr w:rsidR="00236A5B" w:rsidRPr="00F7228F" w14:paraId="0E46F0F6"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F14FD1D" w14:textId="29C45BB9"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Niwa et al., 2016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{"citationItems":[{"id":"ITEM-1","itemData":{"DOI":"10.1186/S12974-016-0675-7","ISSN":"1742-2094","PMID":"27576738","abstract":"Background: Interleukin-6 (IL-6), an inflammatory cytokine, plays important roles in cerebrospinal fluid (CSF) after subarachnoid hemorrhage (SAH). Chemokines are chemoattractant cytokines that regulate trafficking of monocytes/macrophages and lymphocytes to sites of inflammation. However, no studies have been reported regarding the temporal expression of these cytokines in CSF after SAH. Findings: The concentrations of IL-6, monocyte chemoattractant protein-1 (MCP-1), interferon-γ-inducible protein-10 (IP-10), and monokine induced by interferon-γ (MIG) in the CSF of ten patients with SAH were measured using ELISA kits over a period of 14 days. All aneurysms were located in the anterior circulation. CSF samples from patients with unruptured aneurysms were used as controls. The concentration of IL-6 significantly increased during the acute stage of the disease. The concentration of MCP-1 increased from days 1 to 5, peaking on day 3, and decreased thereafter. The concentrations of IP-10 and MIG progressively increased, peaked on day 5, and then gradually decreased. There were strong correlations between the maximum levels of IL-6 and MCP-1 and IP-10 and MIG on day 5. The maximum level of IL-6 was much higher in poor outcome patients than in good outcome patients. Conclusions: The present investigation demonstrated that increases in IL-6 levels may induce the expression of MCP-1 in CSF after SAH, followed by increases in the expression of IP-10 and MIG. Dynamic changes in the levels of these cytokines may induce inflammation and may be closely associated with the development of delayed ischemic neurological deficits after SAH.","author":[{"dropping-particle":"","family":"Niwa","given":"Aichi","non-dropping-particle":"","parse-names":false,"suffix":""},{"dropping-particle":"","family":"Osuka","given":"Koji","non-dropping-particle":"","parse-names":false,"suffix":""},{"dropping-particle":"","family":"Nakura","given":"Takahiro","non-dropping-particle":"","parse-names":false,"suffix":""},{"dropping-particle":"","family":"Matsuo","given":"Naoki","non-dropping-particle":"","parse-names":false,"suffix":""},{"dropping-particle":"","family":"Watabe","given":"Takeya","non-dropping-particle":"","parse-names":false,"suffix":""},{"dropping-particle":"","family":"Takayasu","given":"Masakazu","non-dropping-particle":"","parse-names":false,"suffix":""}],"container-title":"Journal of neuroinflammation","id":"ITEM-1","issue":"1","issued":{"date-parts":[["2016","8","30"]]},"publisher":"J Neuroinflammation","title":"Interleukin-6, MCP-1, IP-10, and MIG are sequentially expressed in cerebrospinal fluid after subarachnoid hemorrhage","type":"article-journal","volume":"13"},"uris":["http://www.mendeley.com/documents/?uuid=b58bee50-afd5-37da-a6a0-57ca3e22e913"]}],"mendeley":{"formattedCitation":"(29)","plainTextFormattedCitation":"(29)","previouslyFormattedCitation":"(29)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(29)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33F0AB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10 SAH</w:t>
            </w:r>
            <w:r w:rsidRPr="00F7228F">
              <w:rPr>
                <w:rFonts w:ascii="Arial" w:eastAsia="Times New Roman" w:hAnsi="Arial" w:cs="Arial"/>
                <w:color w:val="000000" w:themeColor="text1"/>
              </w:rPr>
              <w:br/>
              <w:t>5 controls</w:t>
            </w:r>
          </w:p>
        </w:tc>
        <w:tc>
          <w:tcPr>
            <w:tcW w:w="559" w:type="pct"/>
            <w:tcBorders>
              <w:top w:val="nil"/>
              <w:left w:val="nil"/>
              <w:bottom w:val="single" w:sz="4" w:space="0" w:color="auto"/>
              <w:right w:val="single" w:sz="4" w:space="0" w:color="auto"/>
            </w:tcBorders>
            <w:shd w:val="clear" w:color="auto" w:fill="auto"/>
            <w:vAlign w:val="center"/>
            <w:hideMark/>
          </w:tcPr>
          <w:p w14:paraId="248BE04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527178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IP-10, MCP-1</w:t>
            </w:r>
          </w:p>
        </w:tc>
        <w:tc>
          <w:tcPr>
            <w:tcW w:w="661" w:type="pct"/>
            <w:tcBorders>
              <w:top w:val="nil"/>
              <w:left w:val="nil"/>
              <w:bottom w:val="single" w:sz="4" w:space="0" w:color="auto"/>
              <w:right w:val="single" w:sz="4" w:space="0" w:color="auto"/>
            </w:tcBorders>
            <w:shd w:val="clear" w:color="auto" w:fill="auto"/>
            <w:vAlign w:val="center"/>
            <w:hideMark/>
          </w:tcPr>
          <w:p w14:paraId="67BE4E7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0AD4FC7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 2, 3, 4, 5, 6, 7, </w:t>
            </w:r>
            <w:proofErr w:type="gramStart"/>
            <w:r w:rsidRPr="00F7228F">
              <w:rPr>
                <w:rFonts w:ascii="Arial" w:eastAsia="Times New Roman" w:hAnsi="Arial" w:cs="Arial"/>
                <w:color w:val="000000"/>
              </w:rPr>
              <w:t>8,  9</w:t>
            </w:r>
            <w:proofErr w:type="gramEnd"/>
            <w:r w:rsidRPr="00F7228F">
              <w:rPr>
                <w:rFonts w:ascii="Arial" w:eastAsia="Times New Roman" w:hAnsi="Arial" w:cs="Arial"/>
                <w:color w:val="000000"/>
              </w:rPr>
              <w:t xml:space="preserve"> , 10, 11, 12, 13, 14</w:t>
            </w:r>
          </w:p>
        </w:tc>
        <w:tc>
          <w:tcPr>
            <w:tcW w:w="603" w:type="pct"/>
            <w:tcBorders>
              <w:top w:val="nil"/>
              <w:left w:val="nil"/>
              <w:bottom w:val="single" w:sz="4" w:space="0" w:color="auto"/>
              <w:right w:val="single" w:sz="4" w:space="0" w:color="auto"/>
            </w:tcBorders>
            <w:shd w:val="clear" w:color="auto" w:fill="auto"/>
            <w:vAlign w:val="center"/>
            <w:hideMark/>
          </w:tcPr>
          <w:p w14:paraId="27E5C41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 concentration of IL-6 increased significantly during the acute stage of the disease, reaching a level more than 1000 times that of the control group, and then decreased gradually thereafter</w:t>
            </w:r>
          </w:p>
        </w:tc>
        <w:tc>
          <w:tcPr>
            <w:tcW w:w="573" w:type="pct"/>
            <w:tcBorders>
              <w:top w:val="nil"/>
              <w:left w:val="nil"/>
              <w:bottom w:val="single" w:sz="4" w:space="0" w:color="auto"/>
              <w:right w:val="single" w:sz="4" w:space="0" w:color="auto"/>
            </w:tcBorders>
            <w:shd w:val="clear" w:color="auto" w:fill="auto"/>
            <w:vAlign w:val="center"/>
            <w:hideMark/>
          </w:tcPr>
          <w:p w14:paraId="34A0409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 GOS at 3 months</w:t>
            </w:r>
          </w:p>
        </w:tc>
        <w:tc>
          <w:tcPr>
            <w:tcW w:w="607" w:type="pct"/>
            <w:tcBorders>
              <w:top w:val="nil"/>
              <w:left w:val="nil"/>
              <w:bottom w:val="single" w:sz="4" w:space="0" w:color="auto"/>
              <w:right w:val="single" w:sz="4" w:space="0" w:color="auto"/>
            </w:tcBorders>
            <w:shd w:val="clear" w:color="auto" w:fill="auto"/>
            <w:vAlign w:val="center"/>
            <w:hideMark/>
          </w:tcPr>
          <w:p w14:paraId="02DA5DA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peak concentration of IL-6 increased significantly in poor outcome </w:t>
            </w:r>
          </w:p>
        </w:tc>
      </w:tr>
      <w:tr w:rsidR="00236A5B" w:rsidRPr="00F7228F" w14:paraId="618074F6"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296D06E" w14:textId="54F50E14"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Chamling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{"citationItems":[{"id":"ITEM-1","itemData":{"DOI":"10.1016/J.WNEU.2017.05.021","ISSN":"1878-8750","PMID":"28512045","abstract":"Background Delayed cerebral ischemia (DCI) after subarachnoid hemorrhage (SAH) is one of the main causes of neurologic deterioration. However, it frequently evades timely detection. Early identification and effective reversal may improve the clinical outcome. In this prospective study, we evaluate several serum inflammatory markers after aneurysmal SAH with regard to the occurrence of DCI. Methods On days 1, 4, 7, 10, and 14 after SAH, leucocyte count, C-reactive protein, interleukin 6, E-selectin, matrix metallopeptidase 9, intercellular adhesion molecule 1, and leukemia inhibitory factor were assessed in patients' serum samples. Using a Cox regression model (SPSS 21.0), associations of baseline parameters, maximum and delta (maximum minus baseline) values with occurrence of DCI were evaluated. Results Considering the assessed parameters, leucocyte count (high baseline and delta values) matches most closely with occurrence of DCI. Although baseline levels of C-reactive protein are also associated with occurrence of DCI, neither maximum (only on a borderline level) nor delta levels do so. Conclusions Our data analysis identified leucocyte count as the parameter most likely associated with occurrence of DCI. However, because of its lack of specificity leucocyte count, it cannot be used as a biomarker. As hypothesized earlier, the results indicate a possible involvement of the inflammatory reaction after aneurysmal SAH in the pathomechanism of DCI.","author":[{"dropping-particle":"","family":"Chamling","given":"Bishwas","non-dropping-particle":"","parse-names":false,"suffix":""},{"dropping-particle":"","family":"Gross","given":"Stefan","non-dropping-particle":"","parse-names":false,"suffix":""},{"dropping-particle":"","family":"Stoffel-Wagner","given":"Birgit","non-dropping-particle":"","parse-names":false,"suffix":""},{"dropping-particle":"","family":"Schubert","given":"Gerrit A.","non-dropping-particle":"","parse-names":false,"suffix":""},{"dropping-particle":"","family":"Clusmann","given":"Hans","non-dropping-particle":"","parse-names":false,"suffix":""},{"dropping-particle":"","family":"Coburn","given":"Mark","non-dropping-particle":"","parse-names":false,"suffix":""},{"dropping-particle":"","family":"Höllig","given":"Anke","non-dropping-particle":"","parse-names":false,"suffix":""}],"container-title":"World Neurosurgery","id":"ITEM-1","issued":{"date-parts":[["2017","8","1"]]},"page":"152-157","publisher":"Elsevier","title":"Early Diagnosis of Delayed Cerebral Ischemia: Possible Relevance for Inflammatory Biomarkers in Routine Clinical Practice?","type":"article-journal","volume":"104"},"uris":["http://www.mendeley.com/documents/?uuid=034bb220-7a50-38b0-bd41-e0c292b5f056"]}],"mendeley":{"formattedCitation":"(30)","plainTextFormattedCitation":"(30)","previouslyFormattedCitation":"(30)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(30)</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EC6EC3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89 SAH</w:t>
            </w:r>
          </w:p>
        </w:tc>
        <w:tc>
          <w:tcPr>
            <w:tcW w:w="559" w:type="pct"/>
            <w:tcBorders>
              <w:top w:val="nil"/>
              <w:left w:val="nil"/>
              <w:bottom w:val="single" w:sz="4" w:space="0" w:color="auto"/>
              <w:right w:val="single" w:sz="4" w:space="0" w:color="auto"/>
            </w:tcBorders>
            <w:shd w:val="clear" w:color="auto" w:fill="auto"/>
            <w:vAlign w:val="center"/>
            <w:hideMark/>
          </w:tcPr>
          <w:p w14:paraId="3061F00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841E66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331D20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3953BFC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w:t>
            </w:r>
            <w:proofErr w:type="gramStart"/>
            <w:r w:rsidRPr="00F7228F">
              <w:rPr>
                <w:rFonts w:ascii="Arial" w:eastAsia="Times New Roman" w:hAnsi="Arial" w:cs="Arial"/>
                <w:color w:val="000000"/>
              </w:rPr>
              <w:t>0,  1</w:t>
            </w:r>
            <w:proofErr w:type="gramEnd"/>
            <w:r w:rsidRPr="00F7228F">
              <w:rPr>
                <w:rFonts w:ascii="Arial" w:eastAsia="Times New Roman" w:hAnsi="Arial" w:cs="Arial"/>
                <w:color w:val="000000"/>
              </w:rPr>
              <w:t>, 4, 7, 10, 14</w:t>
            </w:r>
          </w:p>
        </w:tc>
        <w:tc>
          <w:tcPr>
            <w:tcW w:w="603" w:type="pct"/>
            <w:tcBorders>
              <w:top w:val="nil"/>
              <w:left w:val="nil"/>
              <w:bottom w:val="single" w:sz="4" w:space="0" w:color="auto"/>
              <w:right w:val="single" w:sz="4" w:space="0" w:color="auto"/>
            </w:tcBorders>
            <w:shd w:val="clear" w:color="auto" w:fill="auto"/>
            <w:vAlign w:val="center"/>
            <w:hideMark/>
          </w:tcPr>
          <w:p w14:paraId="5CF1B9B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406F968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DCI</w:t>
            </w:r>
          </w:p>
        </w:tc>
        <w:tc>
          <w:tcPr>
            <w:tcW w:w="607" w:type="pct"/>
            <w:tcBorders>
              <w:top w:val="nil"/>
              <w:left w:val="nil"/>
              <w:bottom w:val="single" w:sz="4" w:space="0" w:color="auto"/>
              <w:right w:val="single" w:sz="4" w:space="0" w:color="auto"/>
            </w:tcBorders>
            <w:shd w:val="clear" w:color="auto" w:fill="auto"/>
            <w:vAlign w:val="center"/>
            <w:hideMark/>
          </w:tcPr>
          <w:p w14:paraId="13EF619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Baseline levels of IL-6 was significantly associated with occurrence of DCI</w:t>
            </w:r>
          </w:p>
        </w:tc>
      </w:tr>
      <w:tr w:rsidR="00236A5B" w:rsidRPr="00F7228F" w14:paraId="2640049C" w14:textId="77777777" w:rsidTr="00236A5B">
        <w:trPr>
          <w:trHeight w:val="166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813F2A9" w14:textId="398C6A4D"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Chaudhry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{"citationItems":[{"id":"ITEM-1","itemData":{"DOI":"10.3390/IJMS18122580","ISSN":"1422-0067","PMID":"29194369","abstract":"Background: Aneurysmal subarachnoid hemorrhage (aSAH) is still a fatal and morbid disease, although bleeding aneurysms can be secured in almost all cases. Occurrence of post-SAH complications including cerebral vasospasm, delayed cerebral ischemia, hydrocephalus, epilepsy, and infections are the main determinants of clinical outcome. Hence, it is important to search for early predictors for specific post-SAH complications to treat these complications properly. Both cellular and molecular (cytokines) inflammation play a key role after aSAH during the phase of occurrence of post-SAH complications. Interleukin-6 (IL-6) is a well-known cytokine that has been extensively analyzed in cerebrospinal fluid (CSF) of patients after aSAH, but detailed studies exploring the role of systemic IL-6 in aSAH associated complications and its impact on early clinical outcome prediction are lacking. The current study aims to analyze the systemic IL-6 levels over two weeks after bleeding and its role in post-SAH complications. Methods: We recruited 80 aSAH patients prospectively who underwent peripheral venous blood withdrawal in serum gel tubes. The blood was centrifuged to harvest the serum, which was immediately frozen at –80 °C until analysis. Serum IL-6 levels were quantified using Immulite immunoassay system. Patient records including age, gender, post-SAH complications, aneurysm treatment, and clinical outcome (modified Rankin scale and Glasgow outcome scale) were retrieved to allow different subgroup analysis. Results: Serum IL-6 levels were significantly raised after aSAH compared to healthy controls over the first two weeks after hemorrhage. Serum IL-6 levels were found to be significantly elevated in aSAH patients presenting with higher Hunt and Hess grades, increasing age, and both intraventricular and intracerebral hemorrhage. Interestingly, serum IL-6 was also significantly raised in aSAH patients who developed seizures, cerebral vasospasm (CVS), and chronic hydrocephalus. IL-6 levels were sensitive to the development of infections and showed an increase in patients who developed pneumoniae. Intriguingly, we found a delayed increase in serum IL-6 in patients developing cerebral infarction. Finally, IL-6 levels were significantly higher in patients presenting with poor clinical outcome in comparison to good clinical outcome at discharge from hospital. Conclusion: Serum IL-6 levels were elevated early after aSAH and remained high over the two weeks after initial …","author":[{"dropping-particle":"","family":"Chaudhry","given":"Shafqat Rasul","non-dropping-particle":"","parse-names":false,"suffix":""},{"dropping-particle":"","family":"Stoffel-Wagner","given":"Birgit","non-dropping-particle":"","parse-names":false,"suffix":""},{"dropping-particle":"","family":"Kinfe","given":"Thomas Mehari","non-dropping-particle":"","parse-names":false,"suffix":""},{"dropping-particle":"","family":"Güresir","given":"Erdem","non-dropping-particle":"","parse-names":false,"suffix":""},{"dropping-particle":"","family":"Vatter","given":"Hartmut","non-dropping-particle":"","parse-names":false,"suffix":""},{"dropping-particle":"","family":"Dietrich","given":"Dirk","non-dropping-particle":"","parse-names":false,"suffix":""},{"dropping-particle":"","family":"Lamprecht","given":"Alf","non-dropping-particle":"","parse-names":false,"suffix":""},{"dropping-particle":"","family":"Muhammad","given":"Sajjad","non-dropping-particle":"","parse-names":false,"suffix":""}],"container-title":"International Journal of Molecular Sciences","id":"ITEM-1","issue":"12","issued":{"date-parts":[["2017","12","1"]]},"page":"2580","publisher":"Int J Mol Sci","title":"Elevated Systemic IL-6 Levels in Patients with Aneurysmal Subarachnoid Hemorrhage Is an Unspecific Marker for Post-SAH Complications","type":"article-journal","volume":"18"},"uris":["http://www.mendeley.com/documents/?uuid=2c454c56-61d4-4c59-b101-df26858a5641"]}],"mendeley":{"formattedCitation":"(31)","plainTextFormattedCitation":"(31)","previouslyFormattedCitation":"(31)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051097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80 SAH</w:t>
            </w:r>
            <w:r w:rsidRPr="00F7228F">
              <w:rPr>
                <w:rFonts w:ascii="Arial" w:eastAsia="Times New Roman" w:hAnsi="Arial" w:cs="Arial"/>
                <w:color w:val="000000" w:themeColor="text1"/>
              </w:rPr>
              <w:br/>
              <w:t>10 controls</w:t>
            </w:r>
          </w:p>
        </w:tc>
        <w:tc>
          <w:tcPr>
            <w:tcW w:w="559" w:type="pct"/>
            <w:tcBorders>
              <w:top w:val="nil"/>
              <w:left w:val="nil"/>
              <w:bottom w:val="single" w:sz="4" w:space="0" w:color="auto"/>
              <w:right w:val="single" w:sz="4" w:space="0" w:color="auto"/>
            </w:tcBorders>
            <w:shd w:val="clear" w:color="auto" w:fill="auto"/>
            <w:vAlign w:val="center"/>
            <w:hideMark/>
          </w:tcPr>
          <w:p w14:paraId="4FE4424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02CEFB1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983EA7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34C69EC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 3, </w:t>
            </w:r>
            <w:proofErr w:type="gramStart"/>
            <w:r w:rsidRPr="00F7228F">
              <w:rPr>
                <w:rFonts w:ascii="Arial" w:eastAsia="Times New Roman" w:hAnsi="Arial" w:cs="Arial"/>
                <w:color w:val="000000"/>
              </w:rPr>
              <w:t>5,  7</w:t>
            </w:r>
            <w:proofErr w:type="gramEnd"/>
            <w:r w:rsidRPr="00F7228F">
              <w:rPr>
                <w:rFonts w:ascii="Arial" w:eastAsia="Times New Roman" w:hAnsi="Arial" w:cs="Arial"/>
                <w:color w:val="000000"/>
              </w:rPr>
              <w:t>, 9, 11, 13</w:t>
            </w:r>
          </w:p>
        </w:tc>
        <w:tc>
          <w:tcPr>
            <w:tcW w:w="603" w:type="pct"/>
            <w:tcBorders>
              <w:top w:val="nil"/>
              <w:left w:val="nil"/>
              <w:bottom w:val="single" w:sz="4" w:space="0" w:color="auto"/>
              <w:right w:val="single" w:sz="4" w:space="0" w:color="auto"/>
            </w:tcBorders>
            <w:shd w:val="clear" w:color="auto" w:fill="auto"/>
            <w:vAlign w:val="center"/>
            <w:hideMark/>
          </w:tcPr>
          <w:p w14:paraId="42C687C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IL-6 levels were found to be significantly elevated in SAH patients presenting with higher Hunt and Hess grades, increasing age, and both intraventricular and intracerebral </w:t>
            </w:r>
            <w:proofErr w:type="spellStart"/>
            <w:r w:rsidRPr="00F7228F">
              <w:rPr>
                <w:rFonts w:ascii="Arial" w:eastAsia="Times New Roman" w:hAnsi="Arial" w:cs="Arial"/>
                <w:color w:val="000000"/>
              </w:rPr>
              <w:t>hemorrhage</w:t>
            </w:r>
            <w:proofErr w:type="spellEnd"/>
            <w:r w:rsidRPr="00F7228F">
              <w:rPr>
                <w:rFonts w:ascii="Arial" w:eastAsia="Times New Roman" w:hAnsi="Arial" w:cs="Arial"/>
                <w:color w:val="000000"/>
              </w:rPr>
              <w:t>. IL-6 was also significantly raised in patients who developed seizures and chronic hydrocephalus</w:t>
            </w:r>
          </w:p>
        </w:tc>
        <w:tc>
          <w:tcPr>
            <w:tcW w:w="573" w:type="pct"/>
            <w:tcBorders>
              <w:top w:val="nil"/>
              <w:left w:val="nil"/>
              <w:bottom w:val="single" w:sz="4" w:space="0" w:color="auto"/>
              <w:right w:val="single" w:sz="4" w:space="0" w:color="auto"/>
            </w:tcBorders>
            <w:shd w:val="clear" w:color="auto" w:fill="auto"/>
            <w:vAlign w:val="center"/>
            <w:hideMark/>
          </w:tcPr>
          <w:p w14:paraId="555368F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DIND during admission</w:t>
            </w:r>
          </w:p>
        </w:tc>
        <w:tc>
          <w:tcPr>
            <w:tcW w:w="607" w:type="pct"/>
            <w:tcBorders>
              <w:top w:val="nil"/>
              <w:left w:val="nil"/>
              <w:bottom w:val="single" w:sz="4" w:space="0" w:color="auto"/>
              <w:right w:val="single" w:sz="4" w:space="0" w:color="auto"/>
            </w:tcBorders>
            <w:shd w:val="clear" w:color="auto" w:fill="auto"/>
            <w:vAlign w:val="center"/>
            <w:hideMark/>
          </w:tcPr>
          <w:p w14:paraId="7BEF4BE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Higher IL-6 levels in patient who developed vasospasm and DIND</w:t>
            </w:r>
          </w:p>
        </w:tc>
      </w:tr>
      <w:tr w:rsidR="00236A5B" w:rsidRPr="00F7228F" w14:paraId="33DE0D17" w14:textId="77777777" w:rsidTr="00236A5B">
        <w:trPr>
          <w:trHeight w:val="11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00FD9BEF" w14:textId="62690403"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Chen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{"citationItems":[{"id":"ITEM-1","itemData":{"DOI":"10.1016/J.CCA.2017.08.018","ISSN":"1873-3492","PMID":"28823650","abstract":"Background Macrophage migration inhibitory factor (MIF) has been implicated in inflammation. We clarified whether serum MIF could be used as a marker of inflammation, brain damage and outcome after aneurysmal subarachnoid hemorrhage (aSAH). Methods Serum samples from 102 aSAH adults and 102 healthy controls were determined. The World Federation of Neurological Surgeons (WFNS) scale was used for neurological evaluation and radiological severity was estimated in accordance with the Fisher scale. Results Serum MIF, C-reactive protein (CRP), interleukin-6 (IL-6), tumor necrosis factor-alpha (TNF-α) and S100B concentrations were significantly higher in patients than in controls. Serum MIF concentrations correlated with WFNS scores and Fisher scores and serum concentrations of CRP, IL-6, TNF-α and S100B. Serum MIF was identified as an independent predictor for 6-month unfavorable outcome (defined as Extended Glasgow Outcome Scale score of 1–4). Area under receiver operating characteristic curve of serum MIF concentrations was similar to those of WFNS scores, Fisher scores and serum S100B concentrations and significantly exceeded those of serum CRP, IL-6 and TNF-α concentrations. Conclusions Serum MIF provides information about inflammation, brain injury severity and outcome after aSAH, which can be useful as a complement to clinical data.","author":[{"dropping-particle":"","family":"Chen","given":"Yi Hua","non-dropping-particle":"","parse-names":false,"suffix":""},{"dropping-particle":"","family":"Cheng","given":"Zhen Yu","non-dropping-particle":"","parse-names":false,"suffix":""},{"dropping-particle":"","family":"Shao","given":"Lin Hua","non-dropping-particle":"","parse-names":false,"suffix":""},{"dropping-particle":"","family":"Shentu","given":"Hua Song","non-dropping-particle":"","parse-names":false,"suffix":""},{"dropping-particle":"","family":"Fu","given":"Bing","non-dropping-particle":"","parse-names":false,"suffix":""}],"container-title":"Clinica chimica acta; international journal of clinical chemistry","id":"ITEM-1","issued":{"date-parts":[["2017","10","1"]]},"page":"60-64","publisher":"Clin Chim Acta","title":"Macrophage migration inhibitory factor as a serum prognostic marker in patients with aneurysmal subarachnoid hemorrhage","type":"article-journal","volume":"473"},"uris":["http://www.mendeley.com/documents/?uuid=5df7f1c0-8fcf-44cf-9587-5123a08a679e"]}],"mendeley":{"formattedCitation":"(32)","plainTextFormattedCitation":"(32)","previouslyFormattedCitation":"(32)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C53C95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themeColor="text1"/>
              </w:rPr>
              <w:t>102 SAH</w:t>
            </w:r>
            <w:r w:rsidRPr="00F7228F">
              <w:rPr>
                <w:rFonts w:ascii="Arial" w:eastAsia="Times New Roman" w:hAnsi="Arial" w:cs="Arial"/>
                <w:color w:val="000000" w:themeColor="text1"/>
              </w:rPr>
              <w:br/>
              <w:t>102 controls</w:t>
            </w:r>
          </w:p>
        </w:tc>
        <w:tc>
          <w:tcPr>
            <w:tcW w:w="559" w:type="pct"/>
            <w:tcBorders>
              <w:top w:val="nil"/>
              <w:left w:val="nil"/>
              <w:bottom w:val="single" w:sz="4" w:space="0" w:color="auto"/>
              <w:right w:val="single" w:sz="4" w:space="0" w:color="auto"/>
            </w:tcBorders>
            <w:shd w:val="clear" w:color="auto" w:fill="auto"/>
            <w:vAlign w:val="center"/>
            <w:hideMark/>
          </w:tcPr>
          <w:p w14:paraId="555FB3D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383556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TNF-α</w:t>
            </w:r>
          </w:p>
        </w:tc>
        <w:tc>
          <w:tcPr>
            <w:tcW w:w="661" w:type="pct"/>
            <w:tcBorders>
              <w:top w:val="nil"/>
              <w:left w:val="nil"/>
              <w:bottom w:val="single" w:sz="4" w:space="0" w:color="auto"/>
              <w:right w:val="single" w:sz="4" w:space="0" w:color="auto"/>
            </w:tcBorders>
            <w:shd w:val="clear" w:color="auto" w:fill="auto"/>
            <w:vAlign w:val="center"/>
            <w:hideMark/>
          </w:tcPr>
          <w:p w14:paraId="706F153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nil"/>
              <w:right w:val="single" w:sz="4" w:space="0" w:color="auto"/>
            </w:tcBorders>
            <w:shd w:val="clear" w:color="auto" w:fill="auto"/>
            <w:vAlign w:val="center"/>
            <w:hideMark/>
          </w:tcPr>
          <w:p w14:paraId="708EF5C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0-1</w:t>
            </w:r>
          </w:p>
        </w:tc>
        <w:tc>
          <w:tcPr>
            <w:tcW w:w="603" w:type="pct"/>
            <w:tcBorders>
              <w:top w:val="nil"/>
              <w:left w:val="nil"/>
              <w:bottom w:val="single" w:sz="4" w:space="0" w:color="auto"/>
              <w:right w:val="single" w:sz="4" w:space="0" w:color="auto"/>
            </w:tcBorders>
            <w:shd w:val="clear" w:color="auto" w:fill="auto"/>
            <w:vAlign w:val="center"/>
            <w:hideMark/>
          </w:tcPr>
          <w:p w14:paraId="37773EF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74B8413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Symptomatic vasospasm, extended GOS (GOSE) at 6 months</w:t>
            </w:r>
          </w:p>
        </w:tc>
        <w:tc>
          <w:tcPr>
            <w:tcW w:w="607" w:type="pct"/>
            <w:tcBorders>
              <w:top w:val="nil"/>
              <w:left w:val="nil"/>
              <w:bottom w:val="single" w:sz="4" w:space="0" w:color="auto"/>
              <w:right w:val="single" w:sz="4" w:space="0" w:color="auto"/>
            </w:tcBorders>
            <w:shd w:val="clear" w:color="auto" w:fill="auto"/>
            <w:vAlign w:val="center"/>
            <w:hideMark/>
          </w:tcPr>
          <w:p w14:paraId="5BAA6B2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concentrations of IL-6 and TNF-α was increased in patients suffering from an </w:t>
            </w:r>
            <w:proofErr w:type="spellStart"/>
            <w:r w:rsidRPr="00F7228F">
              <w:rPr>
                <w:rFonts w:ascii="Arial" w:eastAsia="Times New Roman" w:hAnsi="Arial" w:cs="Arial"/>
                <w:color w:val="000000"/>
              </w:rPr>
              <w:t>unfavorable</w:t>
            </w:r>
            <w:proofErr w:type="spellEnd"/>
            <w:r w:rsidRPr="00F7228F">
              <w:rPr>
                <w:rFonts w:ascii="Arial" w:eastAsia="Times New Roman" w:hAnsi="Arial" w:cs="Arial"/>
                <w:color w:val="000000"/>
              </w:rPr>
              <w:t xml:space="preserve"> outcome at 6 months </w:t>
            </w:r>
          </w:p>
        </w:tc>
      </w:tr>
      <w:tr w:rsidR="00236A5B" w:rsidRPr="00F7228F" w14:paraId="11CCBD09"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68A8F53C" w14:textId="16D713D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Kiiski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{"citationItems":[{"id":"ITEM-1","itemData":{"DOI":"10.1016/J.ENSCI.2016.11.010","ISSN":"2405-6502","PMID":"29260012","abstract":"Objective Patients with aneurysmal subarachnoid hemorrhage (aSAH) experience high mortality and morbidity. Neuroinflammation causes brain damage expansion after aSAH. Due to the complexity of the inflammatory response multiple biomarkers are needed to evaluate its’ progression. We studied inflammatory process after aSAH by measuring two inflammatory biomarkers, interleukin-6 (IL-6) and high-mobility group box 1 (HMGB1) at simultaneous time-points after aSAH. Methods In this prospective population-based study, IL-6 and HMGB1 were measured in aSAH patients (n = 47) for up to five days. Plasma concentrations of IL-6 and HMGB1 were measured at 0, 12 and 24 h after hospital admission, and thereafter daily for up to five days or until the patient was transferred from the intensive care unit (ICU). The patients’ neurological outcomes were evaluated with the modified Rankin Scale at six months after aSAH. Results A high IL-6 level during the first day after aSAH was associated with a severe initial clinical presentation (p = 0.002) and infection during follow-up (p = 0.031). The HMGB1 level did not associate with these parameters. There was no correlation between IL-6 and HMGB1 levels at any time point during the follow-up. The concentrations of IL-6 and HMGB1 were not associated with neurological outcome. Conclusions High initial IL-6 values seem to reflect the intensity of the inflammatory response but not the brain damage per se. An early inflammatory response might even be beneficial since although elevated IL-6 levels were observed in patients with a more severe initial clinical presentation, they were not associated with neurological outcome. The lack of correlation between IL-6 and HMGB1 questions the role of macrophages in the process of the secretion of these inflammatory markers after aSAH, instead pointing to the activation of alternative pro-inflammatory pathways.","author":[{"dropping-particle":"","family":"Kiiski","given":"Heikki","non-dropping-particle":"","parse-names":false,"suffix":""},{"dropping-particle":"","family":"Långsjö","given":"Jaakko","non-dropping-particle":"","parse-names":false,"suffix":""},{"dropping-particle":"","family":"Tenhunen","given":"Jyrki","non-dropping-particle":"","parse-names":false,"suffix":""},{"dropping-particle":"","family":"Ala-Peijari","given":"Marika","non-dropping-particle":"","parse-names":false,"suffix":""},{"dropping-particle":"","family":"Huhtala","given":"Heini","non-dropping-particle":"","parse-names":false,"suffix":""},{"dropping-particle":"","family":"Hämäläinen","given":"Mari","non-dropping-particle":"","parse-names":false,"suffix":""},{"dropping-particle":"","family":"Moilanen","given":"Eeva","non-dropping-particle":"","parse-names":false,"suffix":""},{"dropping-particle":"","family":"Öhman","given":"Juha","non-dropping-particle":"","parse-names":false,"suffix":""},{"dropping-particle":"","family":"Peltola","given":"Jukka","non-dropping-particle":"","parse-names":false,"suffix":""}],"container-title":"eNeurologicalSci","id":"ITEM-1","issued":{"date-parts":[["2016","3","1"]]},"page":"55-62","publisher":"eNeurologicalSci","title":"Time-courses of plasma IL-6 and HMGB-1 reflect initial severity of clinical presentation but do not predict poor neurologic outcome following subarachnoid hemorrhage","type":"article-journal","volume":"6"},"uris":["http://www.mendeley.com/documents/?uuid=0d5b476d-b710-3ac8-a1ae-295ba459cb63"]}],"mendeley":{"formattedCitation":"(33)","plainTextFormattedCitation":"(33)","previouslyFormattedCitation":"(33)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4D4DC6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47 SAH</w:t>
            </w:r>
          </w:p>
        </w:tc>
        <w:tc>
          <w:tcPr>
            <w:tcW w:w="559" w:type="pct"/>
            <w:tcBorders>
              <w:top w:val="nil"/>
              <w:left w:val="nil"/>
              <w:bottom w:val="single" w:sz="4" w:space="0" w:color="auto"/>
              <w:right w:val="single" w:sz="4" w:space="0" w:color="auto"/>
            </w:tcBorders>
            <w:shd w:val="clear" w:color="auto" w:fill="auto"/>
            <w:vAlign w:val="center"/>
            <w:hideMark/>
          </w:tcPr>
          <w:p w14:paraId="6517706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4F40AA6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7ED578E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single" w:sz="4" w:space="0" w:color="auto"/>
              <w:left w:val="nil"/>
              <w:bottom w:val="single" w:sz="4" w:space="0" w:color="auto"/>
              <w:right w:val="single" w:sz="4" w:space="0" w:color="auto"/>
            </w:tcBorders>
            <w:shd w:val="clear" w:color="auto" w:fill="auto"/>
            <w:vAlign w:val="center"/>
            <w:hideMark/>
          </w:tcPr>
          <w:p w14:paraId="5E8CD13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Hours 0, 12, 24, 48, 72, 96, 120</w:t>
            </w:r>
          </w:p>
        </w:tc>
        <w:tc>
          <w:tcPr>
            <w:tcW w:w="603" w:type="pct"/>
            <w:tcBorders>
              <w:top w:val="nil"/>
              <w:left w:val="nil"/>
              <w:bottom w:val="single" w:sz="4" w:space="0" w:color="auto"/>
              <w:right w:val="single" w:sz="4" w:space="0" w:color="auto"/>
            </w:tcBorders>
            <w:shd w:val="clear" w:color="auto" w:fill="auto"/>
            <w:vAlign w:val="center"/>
            <w:hideMark/>
          </w:tcPr>
          <w:p w14:paraId="5B43494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3F6007C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6 months</w:t>
            </w:r>
          </w:p>
        </w:tc>
        <w:tc>
          <w:tcPr>
            <w:tcW w:w="607" w:type="pct"/>
            <w:tcBorders>
              <w:top w:val="nil"/>
              <w:left w:val="nil"/>
              <w:bottom w:val="single" w:sz="4" w:space="0" w:color="auto"/>
              <w:right w:val="single" w:sz="4" w:space="0" w:color="auto"/>
            </w:tcBorders>
            <w:shd w:val="clear" w:color="auto" w:fill="auto"/>
            <w:vAlign w:val="center"/>
            <w:hideMark/>
          </w:tcPr>
          <w:p w14:paraId="62166FD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 IL-6 was not associated with outcomes</w:t>
            </w:r>
          </w:p>
        </w:tc>
      </w:tr>
      <w:tr w:rsidR="00236A5B" w:rsidRPr="00F7228F" w14:paraId="65E54154"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67CAB67" w14:textId="0E8C245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Lenski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{"citationItems":[{"id":"ITEM-1","itemData":{"DOI":"10.1016/J.WNEU.2016.11.131","ISSN":"1878-8769","PMID":"27931942","abstract":"Objective The aim of the study was to investigate the diagnostic potential of interleukin 6 (IL-6) and other soluble biomarkers in serum and cerebrospinal fluid (CSF) for early diagnosis of cerebral vasospasm (cVSSAH) and external ventricular drain–associated ventriculitis (VCSAH) and to separate these conditions from aneurysmal subarachnoid hemorrhage (aSAH) without further complication (SAHw/o/c). Methods The concentrations of serum biomarkers and markers in the CSF were collected in 63 consecutive patients with aSAH and external ventricular drainage. Arithmetical means and standard deviations, area under the curve (AUC), cutoff values (C-OFF), sensitivity (SE), and specificity (SP) were calculated for markers and their correlation with SAHw/o/c, cVSSAH, and VCSAH. Results Clinical courses included 27 patients with cVSSAH, 17 with VCSAH, and 19 with SAHw/o/c. Mean ± standard deviationCSFIL-6 values were 7588 ± 4580 pg/mL at onset of VCSAH and 4102 ± 4970 pg/mL for cVSSAH and higher than 234 ± 239 pg/mL in SAHw/o/c (P &lt; 0.001). CSFIL-6 showed excellent diagnostic potential for differing between VCSAH and SAHw/o/c (AUC, 1.00; C-OFF, 707; SE, 100%; SP, 100%), and a moderate diagnostic potential for differing VCSAH from cVSSAH (AUC, 0.757; C-OFF, 3100 pg/Ml; SE, 86.7%; SP, 70.6%). The concentration of CSFIL-6 within the cVSSAH group was significantly increased compared with SAHw/o/c (AUC, 0.937; C-OFF, 530 pg/mL; SE, 87.5%; SP, 91.7%). Conclusions CSFIL-6 is increased after aSAH in patients with cVSSAH or VCSAH. Patients with a CSFIL-6 level higher than a C-OFF of 3100 pg/mL have an increased likelihood for VCSAH; patients with CSFIL-6 levels between 530 and 3100 pg/mL have an increased posttest probability for cVSSAH.","author":[{"dropping-particle":"","family":"Lenski","given":"Markus","non-dropping-particle":"","parse-names":false,"suffix":""},{"dropping-particle":"","family":"Huge","given":"Volker","non-dropping-particle":"","parse-names":false,"suffix":""},{"dropping-particle":"","family":"Briegel","given":"Josef","non-dropping-particle":"","parse-names":false,"suffix":""},{"dropping-particle":"","family":"Tonn","given":"Jörg Christian","non-dropping-particle":"","parse-names":false,"suffix":""},{"dropping-particle":"","family":"Schichor","given":"Christian","non-dropping-particle":"","parse-names":false,"suffix":""},{"dropping-particle":"","family":"Thon","given":"Niklas","non-dropping-particle":"","parse-names":false,"suffix":""}],"container-title":"World neurosurgery","id":"ITEM-1","issued":{"date-parts":[["2017","3","1"]]},"page":"132-139","publisher":"World Neurosurg","title":"Interleukin 6 in the Cerebrospinal Fluid as a Biomarker for Onset of Vasospasm and Ventriculitis After Severe Subarachnoid Hemorrhage","type":"article-journal","volume":"99"},"uris":["http://www.mendeley.com/documents/?uuid=2db43088-366b-3202-9e05-55a90e48c5d1"]}],"mendeley":{"formattedCitation":"(34)","plainTextFormattedCitation":"(34)","previouslyFormattedCitation":"(34)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(34)</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7C883E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63 SAH</w:t>
            </w:r>
          </w:p>
        </w:tc>
        <w:tc>
          <w:tcPr>
            <w:tcW w:w="559" w:type="pct"/>
            <w:tcBorders>
              <w:top w:val="nil"/>
              <w:left w:val="nil"/>
              <w:bottom w:val="single" w:sz="4" w:space="0" w:color="auto"/>
              <w:right w:val="single" w:sz="4" w:space="0" w:color="auto"/>
            </w:tcBorders>
            <w:shd w:val="clear" w:color="auto" w:fill="auto"/>
            <w:vAlign w:val="center"/>
            <w:hideMark/>
          </w:tcPr>
          <w:p w14:paraId="52792DE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0DE3C45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75F06FB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23FA69B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3" w:type="pct"/>
            <w:tcBorders>
              <w:top w:val="nil"/>
              <w:left w:val="nil"/>
              <w:bottom w:val="single" w:sz="4" w:space="0" w:color="auto"/>
              <w:right w:val="single" w:sz="4" w:space="0" w:color="auto"/>
            </w:tcBorders>
            <w:shd w:val="clear" w:color="auto" w:fill="auto"/>
            <w:vAlign w:val="center"/>
            <w:hideMark/>
          </w:tcPr>
          <w:p w14:paraId="58B7629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0E4DCFB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GOS at discharge from ICU</w:t>
            </w:r>
          </w:p>
        </w:tc>
        <w:tc>
          <w:tcPr>
            <w:tcW w:w="607" w:type="pct"/>
            <w:tcBorders>
              <w:top w:val="nil"/>
              <w:left w:val="nil"/>
              <w:bottom w:val="single" w:sz="4" w:space="0" w:color="auto"/>
              <w:right w:val="single" w:sz="4" w:space="0" w:color="auto"/>
            </w:tcBorders>
            <w:shd w:val="clear" w:color="auto" w:fill="auto"/>
            <w:vAlign w:val="center"/>
            <w:hideMark/>
          </w:tcPr>
          <w:p w14:paraId="5A25597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Patients who developed vasospasm had elevated CSF IL-6</w:t>
            </w:r>
          </w:p>
        </w:tc>
      </w:tr>
      <w:tr w:rsidR="00236A5B" w:rsidRPr="00F7228F" w14:paraId="4A9C7D9D" w14:textId="77777777" w:rsidTr="00236A5B">
        <w:trPr>
          <w:trHeight w:val="4980"/>
        </w:trPr>
        <w:tc>
          <w:tcPr>
            <w:tcW w:w="612" w:type="pct"/>
            <w:tcBorders>
              <w:top w:val="nil"/>
              <w:left w:val="single" w:sz="8" w:space="0" w:color="auto"/>
              <w:bottom w:val="single" w:sz="8" w:space="0" w:color="auto"/>
              <w:right w:val="single" w:sz="8" w:space="0" w:color="auto"/>
            </w:tcBorders>
            <w:shd w:val="clear" w:color="auto" w:fill="auto"/>
            <w:hideMark/>
          </w:tcPr>
          <w:p w14:paraId="27082855" w14:textId="6AB542D8"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hAnsi="Arial" w:cs="Arial"/>
                <w:b/>
                <w:bCs/>
              </w:rPr>
              <w:t>Savarraj</w:t>
            </w:r>
            <w:proofErr w:type="spellEnd"/>
            <w:r w:rsidRPr="00F7228F">
              <w:rPr>
                <w:rFonts w:ascii="Arial" w:hAnsi="Arial" w:cs="Arial"/>
                <w:b/>
                <w:bCs/>
              </w:rPr>
              <w:t xml:space="preserve"> et al., 2017 </w:t>
            </w:r>
            <w:r w:rsidRPr="00F7228F">
              <w:rPr>
                <w:rFonts w:ascii="Arial" w:hAnsi="Arial" w:cs="Arial"/>
                <w:b/>
                <w:bCs/>
              </w:rPr>
              <w:fldChar w:fldCharType="begin" w:fldLock="1"/>
            </w:r>
            <w:r w:rsidR="008507E1" w:rsidRPr="00F7228F">
              <w:rPr>
                <w:rFonts w:ascii="Arial" w:hAnsi="Arial" w:cs="Arial"/>
                <w:b/>
                <w:bCs/>
              </w:rPr>
              <w:instrText>ADDIN CSL_CITATION {"citationItems":[{"id":"ITEM-1","itemData":{"DOI":"10.1212/WNL.0000000000003842","PMID":"28314864","abstract":"Objective: To investigate inflammatory processes after aneurysmal subarachnoid hemorrhage (aSAH) with network models. Methods: This is a retrospective observational study of serum samples from 45 participants with aSAH analyzed at multiple predetermined time points: &lt;24 hours, 24 to 48 hours, 3 to 5 days, and 6 to 8 days after aSAH. Concentrations of cytokines were measured with a 41-plex human immunoassay kit, and the Pearson correlation coefficients between all possible cytokine pairs were computed. Systematic network models were constructed on the basis of correlations between cytokine pairs for all participants and across injury severity. Trends of individual cytokines and correlations between them were examined simultaneously. Results: Network models revealed that systematic inflammatory activity peaks at 24 to 48 hours after the bleed. Individual cytokine levels changed significantly over time, exhibiting increasing, decreasing, and peaking trends. Platelet-derived growth factor (PDGF)-AA, PDGF-AB/BB, soluble CD40 ligand, and tumor necrosis factor-α (TNF-α) increased over time. Colony-stimulating factor (CSF) 3, interleukin (IL)-13, and FMS-like tyrosine kinase 3 ligand decreased over time. IL-6, IL-5, and IL-15 peaked and decreased. Some cytokines with insignificant trends show high correlations with other cytokines and vice versa. Many correlated cytokine clusters, including a platelet-derived factor cluster and an endothelial growth factor cluster, were observed at all times. Participants with higher clinical severity at admission had elevated levels of several proinflammatory and anti-inflammatory cytokines, including IL-6, CCL2, CCL11, CSF3, IL-8, IL-10, CX3CL1, and TNF-α, compared to those with lower clinical severity. Conclusions: Combining reductionist and systematic techniques may lead to a better understanding of the underlying complexities of the inflammatory reaction after aSAH.","author":[{"dropping-particle":"","family":"Savarraj","given":"Jude P.J.","non-dropping-particle":"","parse-names":false,"suffix":""},{"dropping-particle":"","family":"Parsha","given":"Kaushik","non-dropping-particle":"","parse-names":false,"suffix":""},{"dropping-particle":"","family":"Hergenroeder","given":"Georgene W.","non-dropping-particle":"","parse-names":false,"suffix":""},{"dropping-particle":"","family":"Zhu","given":"Liang","non-dropping-particle":"","parse-names":false,"suffix":""},{"dropping-particle":"","family":"Bajgur","given":"Suhas S.","non-dropping-particle":"","parse-names":false,"suffix":""},{"dropping-particle":"","family":"Ahn","given":"Sungho","non-dropping-particle":"","parse-names":false,"suffix":""},{"dropping-particle":"","family":"Lee","given":"Kiwon","non-dropping-particle":"","parse-names":false,"suffix":""},{"dropping-particle":"","family":"Chang","given":"Tiffany","non-dropping-particle":"","parse-names":false,"suffix":""},{"dropping-particle":"","family":"Kim","given":"Dong H.","non-dropping-particle":"","parse-names":false,"suffix":""},{"dropping-particle":"","family":"Liu","given":"Yin","non-dropping-particle":"","parse-names":false,"suffix":""},{"dropping-particle":"","family":"Choi","given":"H. Alex","non-dropping-particle":"","parse-names":false,"suffix":""}],"container-title":"Neurology","id":"ITEM-1","issue":"16","issued":{"date-parts":[["2017","4"]]},"page":"1535-1545","title":"Systematic model of peripheral inflammation after subarachnoid hemorrhage","type":"article-journal","volume":"88"},"uris":["http://www.mendeley.com/documents/?uuid=386bbf3d-2d3f-474c-a990-4e2436591e0c"]}],"mendeley":{"formattedCitation":"(35)","plainTextFormattedCitation":"(35)","previouslyFormattedCitation":"(35)"},"properties":{"noteIndex":0},"schema":"https://github.com/citation-style-language/schema/raw/master/csl-citation.json"}</w:instrText>
            </w:r>
            <w:r w:rsidRPr="00F7228F">
              <w:rPr>
                <w:rFonts w:ascii="Arial" w:hAnsi="Arial" w:cs="Arial"/>
                <w:b/>
                <w:bCs/>
              </w:rPr>
              <w:fldChar w:fldCharType="separate"/>
            </w:r>
            <w:r w:rsidR="008C09BB" w:rsidRPr="00F7228F">
              <w:rPr>
                <w:rFonts w:ascii="Arial" w:hAnsi="Arial" w:cs="Arial"/>
                <w:bCs/>
                <w:noProof/>
              </w:rPr>
              <w:t>(35)</w:t>
            </w:r>
            <w:r w:rsidRPr="00F7228F">
              <w:rPr>
                <w:rFonts w:ascii="Arial" w:hAnsi="Arial" w:cs="Arial"/>
                <w:b/>
                <w:bCs/>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EFFFF2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45 SAH</w:t>
            </w:r>
          </w:p>
        </w:tc>
        <w:tc>
          <w:tcPr>
            <w:tcW w:w="559" w:type="pct"/>
            <w:tcBorders>
              <w:top w:val="nil"/>
              <w:left w:val="nil"/>
              <w:bottom w:val="single" w:sz="4" w:space="0" w:color="auto"/>
              <w:right w:val="single" w:sz="4" w:space="0" w:color="auto"/>
            </w:tcBorders>
            <w:shd w:val="clear" w:color="auto" w:fill="auto"/>
            <w:vAlign w:val="center"/>
            <w:hideMark/>
          </w:tcPr>
          <w:p w14:paraId="3DED20F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Retrospective observational study</w:t>
            </w:r>
          </w:p>
        </w:tc>
        <w:tc>
          <w:tcPr>
            <w:tcW w:w="502" w:type="pct"/>
            <w:tcBorders>
              <w:top w:val="nil"/>
              <w:left w:val="nil"/>
              <w:bottom w:val="single" w:sz="4" w:space="0" w:color="auto"/>
              <w:right w:val="single" w:sz="4" w:space="0" w:color="auto"/>
            </w:tcBorders>
            <w:shd w:val="clear" w:color="auto" w:fill="auto"/>
            <w:vAlign w:val="center"/>
            <w:hideMark/>
          </w:tcPr>
          <w:p w14:paraId="4D165F7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CCL2, CCL5, CCL7, CCL11, CCL22, CX3CL1, CXCL1P1, MIP-1α, MIP-1β, IL-1A, IL-1R1, IL-4, IL-5, IL-6, IL-17a, IL-2, IL-3, IL-7, IL-8, IL-9, IL-10, IL-13, IL-15, PDGF-AA, PDGF-AB/BB, EGF, FGF-2, CSF3, CSF2, TNF-α, TNF-β, VEGFA, IL-</w:t>
            </w:r>
            <w:r w:rsidRPr="00F7228F">
              <w:rPr>
                <w:rFonts w:ascii="Arial" w:eastAsia="Times New Roman" w:hAnsi="Arial" w:cs="Arial"/>
                <w:color w:val="000000"/>
              </w:rPr>
              <w:lastRenderedPageBreak/>
              <w:t>12p40, IL-12p70, sCD40L, IL-1b, interferon-inducible protein 10, IFNG, IFN-α2, FLT3L, TGF-α</w:t>
            </w:r>
          </w:p>
        </w:tc>
        <w:tc>
          <w:tcPr>
            <w:tcW w:w="661" w:type="pct"/>
            <w:tcBorders>
              <w:top w:val="nil"/>
              <w:left w:val="nil"/>
              <w:bottom w:val="single" w:sz="4" w:space="0" w:color="auto"/>
              <w:right w:val="single" w:sz="4" w:space="0" w:color="auto"/>
            </w:tcBorders>
            <w:shd w:val="clear" w:color="auto" w:fill="auto"/>
            <w:vAlign w:val="center"/>
            <w:hideMark/>
          </w:tcPr>
          <w:p w14:paraId="6E588FB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Plasma</w:t>
            </w:r>
          </w:p>
        </w:tc>
        <w:tc>
          <w:tcPr>
            <w:tcW w:w="475" w:type="pct"/>
            <w:tcBorders>
              <w:top w:val="nil"/>
              <w:left w:val="nil"/>
              <w:bottom w:val="single" w:sz="4" w:space="0" w:color="auto"/>
              <w:right w:val="single" w:sz="4" w:space="0" w:color="auto"/>
            </w:tcBorders>
            <w:shd w:val="clear" w:color="auto" w:fill="auto"/>
            <w:vAlign w:val="center"/>
            <w:hideMark/>
          </w:tcPr>
          <w:p w14:paraId="568DA67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 1-2, 3-5, 6-8</w:t>
            </w:r>
          </w:p>
        </w:tc>
        <w:tc>
          <w:tcPr>
            <w:tcW w:w="603" w:type="pct"/>
            <w:tcBorders>
              <w:top w:val="nil"/>
              <w:left w:val="nil"/>
              <w:bottom w:val="single" w:sz="4" w:space="0" w:color="auto"/>
              <w:right w:val="single" w:sz="4" w:space="0" w:color="auto"/>
            </w:tcBorders>
            <w:shd w:val="clear" w:color="auto" w:fill="auto"/>
            <w:vAlign w:val="center"/>
            <w:hideMark/>
          </w:tcPr>
          <w:p w14:paraId="1337CE0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CCL2, CCL11, CSF3, IL-8, IL-10, CX3CL1, TNF-α were also significantly elevated</w:t>
            </w:r>
          </w:p>
        </w:tc>
        <w:tc>
          <w:tcPr>
            <w:tcW w:w="573" w:type="pct"/>
            <w:tcBorders>
              <w:top w:val="nil"/>
              <w:left w:val="nil"/>
              <w:bottom w:val="single" w:sz="4" w:space="0" w:color="auto"/>
              <w:right w:val="single" w:sz="4" w:space="0" w:color="auto"/>
            </w:tcBorders>
            <w:shd w:val="clear" w:color="auto" w:fill="auto"/>
            <w:vAlign w:val="center"/>
            <w:hideMark/>
          </w:tcPr>
          <w:p w14:paraId="5EE73E6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DCI during admission</w:t>
            </w:r>
          </w:p>
        </w:tc>
        <w:tc>
          <w:tcPr>
            <w:tcW w:w="607" w:type="pct"/>
            <w:tcBorders>
              <w:top w:val="nil"/>
              <w:left w:val="nil"/>
              <w:bottom w:val="single" w:sz="4" w:space="0" w:color="auto"/>
              <w:right w:val="single" w:sz="4" w:space="0" w:color="auto"/>
            </w:tcBorders>
            <w:shd w:val="clear" w:color="auto" w:fill="auto"/>
            <w:vAlign w:val="center"/>
            <w:hideMark/>
          </w:tcPr>
          <w:p w14:paraId="6852C6A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 PDGF-AB/BB in days 1-2 was observed in participants who subsequently developed DCI</w:t>
            </w:r>
          </w:p>
        </w:tc>
      </w:tr>
      <w:tr w:rsidR="00236A5B" w:rsidRPr="00F7228F" w14:paraId="700CA289"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708BD4A9" w14:textId="28898EFC"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Schiefecker</w:t>
            </w:r>
            <w:proofErr w:type="spellEnd"/>
            <w:r w:rsidRPr="00F7228F">
              <w:rPr>
                <w:rFonts w:ascii="Arial" w:eastAsia="Times New Roman" w:hAnsi="Arial" w:cs="Arial"/>
                <w:b/>
                <w:bCs/>
                <w:color w:val="000000"/>
              </w:rPr>
              <w:t xml:space="preserve">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{"citationItems":[{"id":"ITEM-1","itemData":{"DOI":"10.2174/1389450117666160201111804","ISSN":"1873-5592","PMID":"26844567","abstract":"Introduction: Animal data suggest an association between neuroinflammation and secondary brain injury including axonal injury after aneurysmal subarachnoid hemorrhage (aSAH). We sought to study the association between brain extracellular interleukin (IL)-6 and TAU-protein levels as a surrogate marker for neuroinflammation and axonal injury in patients with poor grade aSAH. Methods: Prospectively collected data from 26 consecutive poor-grade aSAH patients with multimodal neuromonitoring including cerebral microdialysis (CMD) were retrospectively analyzed. IL-6 and TAU-protein levels were analyzed using ELISA from a single CMD-sample every 24 hours and correlated with brain metabolic and hemodynamic parameters. Patients were dichotomized to high-grade (N=10) or low-grade (N=16) neuroinflammation according to their median CMD-IL-6 levels. Data were analyzed using generalized estimating equations to account for multiple within-subject measurements. Results: Perilesional probe location (P=0.02) and aSAH related intracerebral hemorrhage (aICH) volume (P=0.003) at admission were associated with high-grade neuroinflammation. Brain extracellular TAU-protein levels (P=0.001), metabolic distress and delayed cerebral infarction (DCI; P=0.001) were linked to high-grade neuroinflammation. Relative or absolute phosphor-TAU levels were not correlated with CMD-IL-6 levels. High-grade neuroinflammation was a predictor for worse outcome three months after ictus, independently from probe location, initial Hunt&amp;Hess grade and age (P=0.01). Conclusion: Neuroinflammation after aSAH is associated with intraparenchymal bleeding, deranged cerebral metabolism and TAU-protein release. The impact of potential anti-inflammatory treatment strategies on secondary brain injury after aSAH has to be investigated in future studies.","author":[{"dropping-particle":"","family":"Schiefecker","given":"Alois Josef","non-dropping-particle":"","parse-names":false,"suffix":""},{"dropping-particle":"","family":"Dietmann","given":"Anelia","non-dropping-particle":"","parse-names":false,"suffix":""},{"dropping-particle":"","family":"Beer","given":"Ronny","non-dropping-particle":"","parse-names":false,"suffix":""},{"dropping-particle":"","family":"Pfausler","given":"Bettina","non-dropping-particle":"","parse-names":false,"suffix":""},{"dropping-particle":"","family":"Lackner","given":"Peter","non-dropping-particle":"","parse-names":false,"suffix":""},{"dropping-particle":"","family":"Kofler","given":"Mario","non-dropping-particle":"","parse-names":false,"suffix":""},{"dropping-particle":"","family":"Fischer","given":"Marlene","non-dropping-particle":"","parse-names":false,"suffix":""},{"dropping-particle":"","family":"Broessner","given":"Gregor","non-dropping-particle":"","parse-names":false,"suffix":""},{"dropping-particle":"","family":"Sohm","given":"Florian","non-dropping-particle":"","parse-names":false,"suffix":""},{"dropping-particle":"","family":"Mulino","given":"Miriam","non-dropping-particle":"","parse-names":false,"suffix":""},{"dropping-particle":"","family":"Thomé","given":"Claudius","non-dropping-particle":"","parse-names":false,"suffix":""},{"dropping-particle":"","family":"Humpel","given":"Christian","non-dropping-particle":"","parse-names":false,"suffix":""},{"dropping-particle":"","family":"Schmutzhard","given":"Erich","non-dropping-particle":"","parse-names":false,"suffix":""},{"dropping-particle":"","family":"Helbok","given":"Raimund","non-dropping-particle":"","parse-names":false,"suffix":""}],"container-title":"Current drug targets","id":"ITEM-1","issue":"12","issued":{"date-parts":[["2017","2","2"]]},"publisher":"Curr Drug Targets","title":"Neuroinflammation is Associated with Brain Extracellular TAU-Protein Release After Spontaneous Subarachnoid Hemorrhage","type":"article-journal","volume":"18"},"uris":["http://www.mendeley.com/documents/?uuid=d3c6d9f0-b663-4fe2-94ab-6457bb92f111"]}],"mendeley":{"formattedCitation":"(36)","plainTextFormattedCitation":"(36)","previouslyFormattedCitation":"(36)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F6A556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26 SAH</w:t>
            </w:r>
          </w:p>
        </w:tc>
        <w:tc>
          <w:tcPr>
            <w:tcW w:w="559" w:type="pct"/>
            <w:tcBorders>
              <w:top w:val="nil"/>
              <w:left w:val="nil"/>
              <w:bottom w:val="single" w:sz="4" w:space="0" w:color="auto"/>
              <w:right w:val="single" w:sz="4" w:space="0" w:color="auto"/>
            </w:tcBorders>
            <w:shd w:val="clear" w:color="auto" w:fill="auto"/>
            <w:vAlign w:val="center"/>
            <w:hideMark/>
          </w:tcPr>
          <w:p w14:paraId="6D5BFE2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7D3209E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03B337A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ECF</w:t>
            </w:r>
          </w:p>
        </w:tc>
        <w:tc>
          <w:tcPr>
            <w:tcW w:w="475" w:type="pct"/>
            <w:tcBorders>
              <w:top w:val="nil"/>
              <w:left w:val="nil"/>
              <w:bottom w:val="single" w:sz="4" w:space="0" w:color="auto"/>
              <w:right w:val="single" w:sz="4" w:space="0" w:color="auto"/>
            </w:tcBorders>
            <w:shd w:val="clear" w:color="auto" w:fill="auto"/>
            <w:vAlign w:val="center"/>
            <w:hideMark/>
          </w:tcPr>
          <w:p w14:paraId="0D6A5C2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Unable to extract</w:t>
            </w:r>
          </w:p>
        </w:tc>
        <w:tc>
          <w:tcPr>
            <w:tcW w:w="603" w:type="pct"/>
            <w:tcBorders>
              <w:top w:val="nil"/>
              <w:left w:val="nil"/>
              <w:bottom w:val="single" w:sz="4" w:space="0" w:color="auto"/>
              <w:right w:val="single" w:sz="4" w:space="0" w:color="auto"/>
            </w:tcBorders>
            <w:shd w:val="clear" w:color="auto" w:fill="auto"/>
            <w:vAlign w:val="center"/>
            <w:hideMark/>
          </w:tcPr>
          <w:p w14:paraId="445D37C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Unable to extract</w:t>
            </w:r>
          </w:p>
        </w:tc>
        <w:tc>
          <w:tcPr>
            <w:tcW w:w="573" w:type="pct"/>
            <w:tcBorders>
              <w:top w:val="nil"/>
              <w:left w:val="nil"/>
              <w:bottom w:val="single" w:sz="4" w:space="0" w:color="auto"/>
              <w:right w:val="single" w:sz="4" w:space="0" w:color="auto"/>
            </w:tcBorders>
            <w:shd w:val="clear" w:color="auto" w:fill="auto"/>
            <w:vAlign w:val="center"/>
            <w:hideMark/>
          </w:tcPr>
          <w:p w14:paraId="4730B1D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Unable to extract</w:t>
            </w:r>
          </w:p>
        </w:tc>
        <w:tc>
          <w:tcPr>
            <w:tcW w:w="607" w:type="pct"/>
            <w:tcBorders>
              <w:top w:val="nil"/>
              <w:left w:val="nil"/>
              <w:bottom w:val="single" w:sz="4" w:space="0" w:color="auto"/>
              <w:right w:val="single" w:sz="4" w:space="0" w:color="auto"/>
            </w:tcBorders>
            <w:shd w:val="clear" w:color="auto" w:fill="auto"/>
            <w:vAlign w:val="center"/>
            <w:hideMark/>
          </w:tcPr>
          <w:p w14:paraId="32227C7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Unable to extract</w:t>
            </w:r>
          </w:p>
        </w:tc>
      </w:tr>
      <w:tr w:rsidR="00236A5B" w:rsidRPr="00F7228F" w14:paraId="2D4E0FB1" w14:textId="77777777" w:rsidTr="00236A5B">
        <w:trPr>
          <w:trHeight w:val="1740"/>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2FC45769" w14:textId="6BCEA06B"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Zhou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{"citationItems":[{"id":"ITEM-1","itemData":{"DOI":"10.1016/J.WNEU.2017.08.091","ISSN":"1878-8769","PMID":"28866066","abstract":"Objective It has been suggested that the preoperative (PRE) and postoperative (POST) immune system alteration triggered by aneurysmal subarachnoid hemorrhage (SAH) and surgical treatment itself may affect patients' prognosis and contribute to POST complications. The mechanisms may be attributed to immune suppression–triggered infection or immune overreaction–triggered aseptic inflammation. In this study, we investigated the dynamic changes in peripheral immune cell subsets as well as the alterations of inflammatory cytokines in patients with aneurysmal SAH who received craniotomy and clipping surgery. In addition, we studied the association of those changes with POST complications and clinical prognosis. Methods We investigated 27 patients who received craniotomy and clipping surgery for aneurysmal SAH. The operations were all performed within 24 hours after the occurrence of aneurysm rupture. Detailed immune monitoring (peripheral blood leukocytes and lymphocyte subsets and inflammatory cytokines) was performed on PRE (on admission), day 1, day 3, and day 6 after operation. Results Our data showed that the percentage of CD3+, CD8+, natural killer T (NKT), CD4+, and regulatory T (Treg) cells significantly decreased and the level of interleukin 4 (IL-4), interferon γ, and IL-2 significantly increased 1 day after surgery compared with the data in PRE. On the contrary, natural killer (NK), NK group 2 (NKG2D), and B cells increased and the level of IL-10 in plasma decreased. In study of the relationship between POST fever and the change in immune cell subgroups, the fever group had a lower percentage of CD3+, CD4+, NKT, Tregs, and B cells on day 1, day 3, and day 6 after surgery compared with the patients who did not have fever, whereas the CD8+, NK, and NKG2D subsets showed the opposite trend. Furthermore, we analyzed the association between immune profile changes and the prognosis of those patients. The patients were divided into those with an unfavorable prognosis (n = 6) and those with a favorable prognosis (n = 21) according to Glasgow Outcome Scale score and postoperation (POST) coma. Our results showed that except for B cells, patients with a favorable prognosis had a relatively higher percentage of CD3+, CD4+, CD8+, NK, NKT, NKG2D, and Treg cells compared with the unfavorable prognosis group from PRE to day 6 POST. Conclusions Our results indicated that patients with aneurysmal SAH undergoing craniotomy and clipping surgery had a profound transient …","author":[{"dropping-particle":"","family":"Jiang","given":"Yugang","non-dropping-particle":"","parse-names":false,"suffix":""},{"dropping-particle":"","family":"Zhou","given":"Yu","non-dropping-particle":"","parse-names":false,"suffix":""},{"dropping-particle":"","family":"Peng","given":"Yong","non-dropping-particle":"","parse-names":false,"suffix":""},{"dropping-particle":"","family":"Zhang","given":"Mingming","non-dropping-particle":"","parse-names":false,"suffix":""}],"container-title":"World neurosurgery","id":"ITEM-1","issued":{"date-parts":[["2017","12","1"]]},"page":"206-215","publisher":"World Neurosurg","title":"The Quantitative and Functional Changes of Postoperative Peripheral Blood Immune Cell Subsets Relate to Prognosis of Patients with Subarachnoid Hemorrhage: A Preliminary Study","type":"article-journal","volume":"108"},"uris":["http://www.mendeley.com/documents/?uuid=b65edfd1-5339-4d60-93dd-368600eaa2e7"]}],"mendeley":{"formattedCitation":"(37)","plainTextFormattedCitation":"(37)","previouslyFormattedCitation":"(37)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A5A118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27 SAH</w:t>
            </w:r>
          </w:p>
        </w:tc>
        <w:tc>
          <w:tcPr>
            <w:tcW w:w="559" w:type="pct"/>
            <w:tcBorders>
              <w:top w:val="nil"/>
              <w:left w:val="nil"/>
              <w:bottom w:val="single" w:sz="4" w:space="0" w:color="auto"/>
              <w:right w:val="single" w:sz="4" w:space="0" w:color="auto"/>
            </w:tcBorders>
            <w:shd w:val="clear" w:color="auto" w:fill="auto"/>
            <w:vAlign w:val="center"/>
            <w:hideMark/>
          </w:tcPr>
          <w:p w14:paraId="0C5EBB8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94D54A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w:t>
            </w:r>
            <w:proofErr w:type="gramStart"/>
            <w:r w:rsidRPr="00F7228F">
              <w:rPr>
                <w:rFonts w:ascii="Arial" w:eastAsia="Times New Roman" w:hAnsi="Arial" w:cs="Arial"/>
                <w:color w:val="000000"/>
              </w:rPr>
              <w:t>2,  IL</w:t>
            </w:r>
            <w:proofErr w:type="gramEnd"/>
            <w:r w:rsidRPr="00F7228F">
              <w:rPr>
                <w:rFonts w:ascii="Arial" w:eastAsia="Times New Roman" w:hAnsi="Arial" w:cs="Arial"/>
                <w:color w:val="000000"/>
              </w:rPr>
              <w:t>-4, IL-10, IFN-γ</w:t>
            </w:r>
          </w:p>
        </w:tc>
        <w:tc>
          <w:tcPr>
            <w:tcW w:w="661" w:type="pct"/>
            <w:tcBorders>
              <w:top w:val="nil"/>
              <w:left w:val="nil"/>
              <w:bottom w:val="single" w:sz="4" w:space="0" w:color="auto"/>
              <w:right w:val="single" w:sz="4" w:space="0" w:color="auto"/>
            </w:tcBorders>
            <w:shd w:val="clear" w:color="auto" w:fill="auto"/>
            <w:vAlign w:val="center"/>
            <w:hideMark/>
          </w:tcPr>
          <w:p w14:paraId="16B57B5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4B4A597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 and days 1, 3, and 6 after surgical operation</w:t>
            </w:r>
          </w:p>
        </w:tc>
        <w:tc>
          <w:tcPr>
            <w:tcW w:w="603" w:type="pct"/>
            <w:tcBorders>
              <w:top w:val="nil"/>
              <w:left w:val="nil"/>
              <w:bottom w:val="single" w:sz="4" w:space="0" w:color="auto"/>
              <w:right w:val="single" w:sz="4" w:space="0" w:color="auto"/>
            </w:tcBorders>
            <w:shd w:val="clear" w:color="auto" w:fill="auto"/>
            <w:vAlign w:val="center"/>
            <w:hideMark/>
          </w:tcPr>
          <w:p w14:paraId="7E56999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Following surgery, the levels of IL-4, IFN-γ, and IL-2 were significantly increased, whereas the level of IL-10 in plasma was decreased. The levels of IL-4, IFN-γ, </w:t>
            </w:r>
            <w:r w:rsidRPr="00F7228F">
              <w:rPr>
                <w:rFonts w:ascii="Arial" w:eastAsia="Times New Roman" w:hAnsi="Arial" w:cs="Arial"/>
                <w:color w:val="000000"/>
              </w:rPr>
              <w:lastRenderedPageBreak/>
              <w:t>and IL-2 showed a steady decrease after day 3 after surgery, and the values were close to that of the admission levels on day 6 post-surgery</w:t>
            </w:r>
          </w:p>
        </w:tc>
        <w:tc>
          <w:tcPr>
            <w:tcW w:w="573" w:type="pct"/>
            <w:tcBorders>
              <w:top w:val="nil"/>
              <w:left w:val="nil"/>
              <w:bottom w:val="single" w:sz="4" w:space="0" w:color="auto"/>
              <w:right w:val="single" w:sz="4" w:space="0" w:color="auto"/>
            </w:tcBorders>
            <w:shd w:val="clear" w:color="auto" w:fill="auto"/>
            <w:vAlign w:val="center"/>
            <w:hideMark/>
          </w:tcPr>
          <w:p w14:paraId="5B4F4FF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GOS at 3 months, 6 months, and 12 months</w:t>
            </w:r>
          </w:p>
        </w:tc>
        <w:tc>
          <w:tcPr>
            <w:tcW w:w="607" w:type="pct"/>
            <w:tcBorders>
              <w:top w:val="nil"/>
              <w:left w:val="nil"/>
              <w:bottom w:val="single" w:sz="4" w:space="0" w:color="auto"/>
              <w:right w:val="single" w:sz="4" w:space="0" w:color="auto"/>
            </w:tcBorders>
            <w:shd w:val="clear" w:color="auto" w:fill="auto"/>
            <w:vAlign w:val="center"/>
            <w:hideMark/>
          </w:tcPr>
          <w:p w14:paraId="0CBC427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697E05B8"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26BCD1F1" w14:textId="4B61335F"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Zhong et al., 2017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{"citationItems":[{"id":"ITEM-1","itemData":{"DOI":"10.5137/1019-5149.JTN.16193-15.1","PMID":"27593784","abstract":"Aim: To assess the association between inflammatory response and early brain injury (EBI), and the association between inflammatory response and the following pneumonia after aneurysmal subarachnoid hemorrhage (SAH). Material and Methods: Eighty-nine patients with spontaneous SAH and 12 patients with unruptured aneurysm were included in this prospective study. The systemic inflammatory biomarkers such as C-reactive protein (CRP), IL-1ß, IL-2,IL-6,IL-8, IL10 and T leukocyte subsets were measured within 24 hours after admission. Their clinical features and laboratory findings were clearly reviewed and univariate analysis was used to find the main predictors. Results: The levels of serum inflammatory cytokines especially IL-6 (p=0.004) and CRP (p=0.014) would significantly increase after aneurysm SAH. Higher Fisher grades on admission result in higher levels of IL-6 and IL-10 (pIL-6=0.003. pIL-10=0.002), and higher levels of IL-6, IL-10 and CRP were significantly associated with severe EBI, and increased the susceptibility to pneumonia (p &lt; 0.05). The counts of CD3+ T Cells would decrease after aneurysm rupture (p=0.001), especially in patients with a poor initial clinical grade. A reversed correlation between IL-6 level and CD3 T cells count was revealed in this study (p=0.014,r=-0.249); a lower CD4 T-Cells counts might lead to subsequent pneumonia after SAH (p=0.041). The levels of serum inflammatory cytokines were not different between aneurysmal and non-aneurysmal SAH. ConclusIon: Systemic inflammatory response would be activated after aneurysm rupture; a similar systemic inflammatory response would be noticed in non-aneurysmal SAH. The degree of inflammatory response could reflect the severity of EBI, and excessive inflammatory response could also aggravate EBI, induce immunodepression and increase the susceptibility to infections. Inflammatory cytokines such as IL-6, IL-10 and CRP are important predictors.","author":[{"dropping-particle":"","family":"Zhong","given":"Weiying","non-dropping-particle":"","parse-names":false,"suffix":""},{"dropping-particle":"","family":"Zhang","given":"Zhiyong","non-dropping-particle":"","parse-names":false,"suffix":""},{"dropping-particle":"","family":"Zhao","given":"Peng","non-dropping-particle":"","parse-names":false,"suffix":""},{"dropping-particle":"","family":"Shen","given":"Jie","non-dropping-particle":"","parse-names":false,"suffix":""},{"dropping-particle":"","family":"Li","given":"Xueen","non-dropping-particle":"","parse-names":false,"suffix":""},{"dropping-particle":"","family":"Wang","given":"Donghai","non-dropping-particle":"","parse-names":false,"suffix":""},{"dropping-particle":"","family":"Li","given":"Gang","non-dropping-particle":"","parse-names":false,"suffix":""},{"dropping-particle":"","family":"Su","given":"Wandong","non-dropping-particle":"","parse-names":false,"suffix":""}],"container-title":"Turkish neurosurgery","id":"ITEM-1","issue":"3","issued":{"date-parts":[["2017"]]},"page":"346-352","publisher":"Turk Neurosurg","title":"The Impact of Initial Systemic Inflammatory Response After Aneurysmal Subarachnoid Hemorrhage","type":"article-journal","volume":"27"},"uris":["http://www.mendeley.com/documents/?uuid=0677ac34-33fe-48f2-8590-0b30a6b0bf85"]}],"mendeley":{"formattedCitation":"(38)","plainTextFormattedCitation":"(38)","previouslyFormattedCitation":"(38)"},"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(38)</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34CEDFD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89 SAH</w:t>
            </w:r>
            <w:r w:rsidRPr="00F7228F">
              <w:rPr>
                <w:rFonts w:ascii="Arial" w:eastAsia="Times New Roman" w:hAnsi="Arial" w:cs="Arial"/>
                <w:color w:val="000000"/>
              </w:rPr>
              <w:br/>
              <w:t>12 controls</w:t>
            </w:r>
          </w:p>
        </w:tc>
        <w:tc>
          <w:tcPr>
            <w:tcW w:w="559" w:type="pct"/>
            <w:tcBorders>
              <w:top w:val="nil"/>
              <w:left w:val="nil"/>
              <w:bottom w:val="single" w:sz="4" w:space="0" w:color="auto"/>
              <w:right w:val="single" w:sz="4" w:space="0" w:color="auto"/>
            </w:tcBorders>
            <w:shd w:val="clear" w:color="auto" w:fill="auto"/>
            <w:vAlign w:val="center"/>
            <w:hideMark/>
          </w:tcPr>
          <w:p w14:paraId="7F6D49E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EB8781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IL-2, IL-6, IL-8, IL-10</w:t>
            </w:r>
          </w:p>
        </w:tc>
        <w:tc>
          <w:tcPr>
            <w:tcW w:w="661" w:type="pct"/>
            <w:tcBorders>
              <w:top w:val="nil"/>
              <w:left w:val="nil"/>
              <w:bottom w:val="single" w:sz="4" w:space="0" w:color="auto"/>
              <w:right w:val="single" w:sz="4" w:space="0" w:color="auto"/>
            </w:tcBorders>
            <w:shd w:val="clear" w:color="auto" w:fill="auto"/>
            <w:vAlign w:val="center"/>
            <w:hideMark/>
          </w:tcPr>
          <w:p w14:paraId="25E2B53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054DAED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w:t>
            </w:r>
          </w:p>
        </w:tc>
        <w:tc>
          <w:tcPr>
            <w:tcW w:w="603" w:type="pct"/>
            <w:tcBorders>
              <w:top w:val="nil"/>
              <w:left w:val="nil"/>
              <w:bottom w:val="single" w:sz="4" w:space="0" w:color="auto"/>
              <w:right w:val="single" w:sz="4" w:space="0" w:color="auto"/>
            </w:tcBorders>
            <w:shd w:val="clear" w:color="auto" w:fill="auto"/>
            <w:vAlign w:val="center"/>
            <w:hideMark/>
          </w:tcPr>
          <w:p w14:paraId="1038E44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719ACC9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during admission, GOS at 6 months </w:t>
            </w:r>
          </w:p>
        </w:tc>
        <w:tc>
          <w:tcPr>
            <w:tcW w:w="607" w:type="pct"/>
            <w:tcBorders>
              <w:top w:val="nil"/>
              <w:left w:val="nil"/>
              <w:bottom w:val="single" w:sz="4" w:space="0" w:color="auto"/>
              <w:right w:val="single" w:sz="4" w:space="0" w:color="auto"/>
            </w:tcBorders>
            <w:shd w:val="clear" w:color="auto" w:fill="auto"/>
            <w:vAlign w:val="center"/>
            <w:hideMark/>
          </w:tcPr>
          <w:p w14:paraId="5AA7914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Higher levels of IL-6, IL-10 </w:t>
            </w:r>
            <w:proofErr w:type="spellStart"/>
            <w:r w:rsidRPr="00F7228F">
              <w:rPr>
                <w:rFonts w:ascii="Arial" w:eastAsia="Times New Roman" w:hAnsi="Arial" w:cs="Arial"/>
                <w:color w:val="000000"/>
              </w:rPr>
              <w:t>assoicated</w:t>
            </w:r>
            <w:proofErr w:type="spellEnd"/>
            <w:r w:rsidRPr="00F7228F">
              <w:rPr>
                <w:rFonts w:ascii="Arial" w:eastAsia="Times New Roman" w:hAnsi="Arial" w:cs="Arial"/>
                <w:color w:val="000000"/>
              </w:rPr>
              <w:t xml:space="preserve"> with DCI and a poor outcome in patients with aneurysmal SAH.</w:t>
            </w:r>
          </w:p>
        </w:tc>
      </w:tr>
      <w:tr w:rsidR="00236A5B" w:rsidRPr="00F7228F" w14:paraId="506A7B71" w14:textId="77777777" w:rsidTr="00236A5B">
        <w:trPr>
          <w:trHeight w:val="82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22AE6060" w14:textId="473EFAEB"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Ďuriš</w:t>
            </w:r>
            <w:proofErr w:type="spellEnd"/>
            <w:r w:rsidRPr="00F7228F">
              <w:rPr>
                <w:rFonts w:ascii="Arial" w:eastAsia="Times New Roman" w:hAnsi="Arial" w:cs="Arial"/>
                <w:b/>
                <w:bCs/>
                <w:color w:val="000000"/>
              </w:rPr>
              <w:t xml:space="preserve">.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{"citationItems":[{"id":"ITEM-1","itemData":{"DOI":"10.1055/S-0037-1604084","ISSN":"2193-6323","PMID":"28869993","abstract":"Background Subarachnoid hemorrhage (SAH) is a severe condition associated with high mortality. Early brain injury (EBI) plays an important role in the pathophysiology of SAH, and inflammation is a major contributor to EBI. Inflammation is a widely studied topic in both experimental and clinical conditions; however, just a few clinical studies have focused primarily on the early inflammatory response after SAH, and detailed information about the association between the dynamics of early inflammatory response with main clinical characteristics is lacking. This study analyzes the early dynamics of inflammatory response after SAH and evaluates the possible associations between the markers of early inflammatory response and main clinical characteristics. Patients and Methods A total of 47 patients with a diagnosis of aneurysmal SAH within the last 24 hours were enrolled in the study. All treatments, including treatment of aneurysm (surgery/coiling) and implantation of a drainage system (external ventricular drainage/lumbar catheter), were conducted in the same way as in other patients with this diagnosis. Blood and cerebrospinal fluid (CSF) samples were collected three times a day for 4 days. The dynamics of proinflammatory cytokines were assessed, and associations between levels of the proinflammatory cytokines interleukin (IL)-6, IL-1β, or tumor necrosis factor (TNF)α and main clinical characteristics were evaluated using linear mixed-effect models. Results The CSF levels of IL-6 were massively increased initially after SAH (up to 72 hours) with an additional increase in later phases (after 72 hours), but there was high variability in IL-6 levels. A significant association was noted between the Glasgow Outcome Scale score and both overall levels of IL-6 (p = 0.0095) and their dynamics (p = 0.0208); the effect of the Hunt and Hess scale was borderline (p = 0.0887). No association was found between IL-6 levels and Fisher grade, modality of treatment (surgery, coiling, no treatment), and later development of cerebral vasospasm. Plasmatic levels of IL-6 increased slightly, but no significant association was found. The levels of IL-1β and TNFα were within the physiologic range in both CSF and plasma. Conclusions Early dynamics of IL-6 in CSF are associated with a patient's outcome. But it is difficult to use IL-6 alone for outcome prediction due to its high variability. The question is whether the dynamics of IL-6 could be used in combination with other early m…","author":[{"dropping-particle":"","family":"Ďuriš","given":"Kamil","non-dropping-particle":"","parse-names":false,"suffix":""},{"dropping-particle":"","family":"Neuman","given":"Eduard","non-dropping-particle":"","parse-names":false,"suffix":""},{"dropping-particle":"","family":"Vybíhal","given":"Václav","non-dropping-particle":"","parse-names":false,"suffix":""},{"dropping-particle":"","family":"Juráå","given":"Vilém","non-dropping-particle":"","parse-names":false,"suffix":""},{"dropping-particle":"","family":"Gottwaldová","given":"Jana","non-dropping-particle":"","parse-names":false,"suffix":""},{"dropping-particle":"","family":"Kýr","given":"Michal","non-dropping-particle":"","parse-names":false,"suffix":""},{"dropping-particle":"","family":"Vašků","given":"Anna","non-dropping-particle":"","parse-names":false,"suffix":""},{"dropping-particle":"","family":"Smrčka","given":"Martin","non-dropping-particle":"","parse-names":false,"suffix":""}],"container-title":"Journal of neurological surgery. Part A, Central European neurosurgery","id":"ITEM-1","issue":"2","issued":{"date-parts":[["2018","3","1"]]},"page":"145-151","publisher":"J Neurol Surg A Cent Eur Neurosurg","title":"Early Dynamics of Interleukin-6 in Cerebrospinal Fluid after Aneurysmal Subarachnoid Hemorrhage","type":"article-journal","volume":"79"},"uris":["http://www.mendeley.com/documents/?uuid=210ae3b6-3b7b-3e68-83b6-24187e50ae43"]}],"mendeley":{"formattedCitation":"(39)","plainTextFormattedCitation":"(39)","previouslyFormattedCitation":"(39)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(39)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6B4185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47 SAH</w:t>
            </w:r>
          </w:p>
        </w:tc>
        <w:tc>
          <w:tcPr>
            <w:tcW w:w="559" w:type="pct"/>
            <w:tcBorders>
              <w:top w:val="nil"/>
              <w:left w:val="nil"/>
              <w:bottom w:val="single" w:sz="4" w:space="0" w:color="auto"/>
              <w:right w:val="single" w:sz="4" w:space="0" w:color="auto"/>
            </w:tcBorders>
            <w:shd w:val="clear" w:color="auto" w:fill="auto"/>
            <w:vAlign w:val="center"/>
            <w:hideMark/>
          </w:tcPr>
          <w:p w14:paraId="1617B1A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60735E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TNF-α</w:t>
            </w:r>
          </w:p>
        </w:tc>
        <w:tc>
          <w:tcPr>
            <w:tcW w:w="661" w:type="pct"/>
            <w:tcBorders>
              <w:top w:val="nil"/>
              <w:left w:val="nil"/>
              <w:bottom w:val="single" w:sz="4" w:space="0" w:color="auto"/>
              <w:right w:val="single" w:sz="4" w:space="0" w:color="auto"/>
            </w:tcBorders>
            <w:shd w:val="clear" w:color="auto" w:fill="auto"/>
            <w:vAlign w:val="center"/>
            <w:hideMark/>
          </w:tcPr>
          <w:p w14:paraId="7DAB976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w:t>
            </w:r>
          </w:p>
        </w:tc>
        <w:tc>
          <w:tcPr>
            <w:tcW w:w="475" w:type="pct"/>
            <w:tcBorders>
              <w:top w:val="nil"/>
              <w:left w:val="nil"/>
              <w:bottom w:val="single" w:sz="4" w:space="0" w:color="auto"/>
              <w:right w:val="single" w:sz="4" w:space="0" w:color="auto"/>
            </w:tcBorders>
            <w:shd w:val="clear" w:color="auto" w:fill="auto"/>
            <w:vAlign w:val="center"/>
            <w:hideMark/>
          </w:tcPr>
          <w:p w14:paraId="3ADC95B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2, 3, 4, 5</w:t>
            </w:r>
          </w:p>
        </w:tc>
        <w:tc>
          <w:tcPr>
            <w:tcW w:w="603" w:type="pct"/>
            <w:tcBorders>
              <w:top w:val="nil"/>
              <w:left w:val="nil"/>
              <w:bottom w:val="single" w:sz="4" w:space="0" w:color="auto"/>
              <w:right w:val="single" w:sz="4" w:space="0" w:color="auto"/>
            </w:tcBorders>
            <w:shd w:val="clear" w:color="auto" w:fill="auto"/>
            <w:vAlign w:val="center"/>
            <w:hideMark/>
          </w:tcPr>
          <w:p w14:paraId="3B67C5E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CSF IL-6 levels increased after </w:t>
            </w:r>
            <w:proofErr w:type="gramStart"/>
            <w:r w:rsidRPr="00F7228F">
              <w:rPr>
                <w:rFonts w:ascii="Arial" w:eastAsia="Times New Roman" w:hAnsi="Arial" w:cs="Arial"/>
                <w:color w:val="000000"/>
              </w:rPr>
              <w:t>SAH  greater</w:t>
            </w:r>
            <w:proofErr w:type="gramEnd"/>
            <w:r w:rsidRPr="00F7228F">
              <w:rPr>
                <w:rFonts w:ascii="Arial" w:eastAsia="Times New Roman" w:hAnsi="Arial" w:cs="Arial"/>
                <w:color w:val="000000"/>
              </w:rPr>
              <w:t xml:space="preserve"> than plasma levels of IL-6. There was a change in CSF IL-6 rate of increase at 3 days</w:t>
            </w:r>
          </w:p>
        </w:tc>
        <w:tc>
          <w:tcPr>
            <w:tcW w:w="573" w:type="pct"/>
            <w:tcBorders>
              <w:top w:val="nil"/>
              <w:left w:val="nil"/>
              <w:bottom w:val="single" w:sz="4" w:space="0" w:color="auto"/>
              <w:right w:val="single" w:sz="4" w:space="0" w:color="auto"/>
            </w:tcBorders>
            <w:shd w:val="clear" w:color="auto" w:fill="auto"/>
            <w:vAlign w:val="center"/>
            <w:hideMark/>
          </w:tcPr>
          <w:p w14:paraId="1720DD0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during admission, GOS at 3 months</w:t>
            </w:r>
          </w:p>
        </w:tc>
        <w:tc>
          <w:tcPr>
            <w:tcW w:w="607" w:type="pct"/>
            <w:tcBorders>
              <w:top w:val="nil"/>
              <w:left w:val="nil"/>
              <w:bottom w:val="single" w:sz="4" w:space="0" w:color="auto"/>
              <w:right w:val="single" w:sz="4" w:space="0" w:color="auto"/>
            </w:tcBorders>
            <w:shd w:val="clear" w:color="auto" w:fill="auto"/>
            <w:vAlign w:val="center"/>
            <w:hideMark/>
          </w:tcPr>
          <w:p w14:paraId="62CC3DC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 association between IL-6 and GOS for both overall levels of IL-6 and their dynamics</w:t>
            </w:r>
          </w:p>
        </w:tc>
      </w:tr>
      <w:tr w:rsidR="00236A5B" w:rsidRPr="00F7228F" w14:paraId="4FE28F3F" w14:textId="77777777" w:rsidTr="00236A5B">
        <w:trPr>
          <w:trHeight w:val="288"/>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200E85D4" w14:textId="5B281A9F"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Gong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{"citationItems":[{"id":"ITEM-1","itemData":{"DOI":"10.1016/J.CCA.2018.08.011","ISSN":"1873-3492","PMID":"30102896","abstract":"Background: Interleukin-33 (IL-33) is an inflammatory biomarker. We elucidated the relationship between serum IL-33 concentrations, severity and prognosis in aneurysmal subarachnoid hemorrhage (aSAH). Methods: We prospectively recruited 175 controls and 175 aSAH patients. Serum IL-33 concentrations were gauged using an enzyme-linked immunosorbent assay. Clinical and radiological severity was assessed by World Federation of Neurological Surgeons (WFNS) scale and modified Fisher grading scale respectively. Poor outcome was defined as Glasgow Outcome Scale score of 1–3. Results: Serum IL-33 concentrations were significantly higher in patients than in controls. IL-33 concentrations were significantly increased with increasing WFNS scores, modified Fisher scores and serum C-reactive protein concentrations. Serum IL-33 emerged as an independent predictor for 6-month mortality and poor outcome. Under receiver operating characteristic curve, the prognostic predictive ability of serum IL-33 was equivalent to those of WFNS scores and modified Fisher scores. Moreover, serum IL-33 significantly improved the prognostic predictive performance of WFNS scores and modified Fisher scores. Conclusions: High serum IL-33 concentrations have close relation to the inflammation, severity and poor outcome in aSAH, indicating IL-33 might have the potential to be an inflammatory biomarker for assessing severity and reflecting prognosis of aSAH.","author":[{"dropping-particle":"","family":"Gong","given":"Jiangbiao","non-dropping-particle":"","parse-names":false,"suffix":""},{"dropping-particle":"","family":"Zhu","given":"Yu","non-dropping-particle":"","parse-names":false,"suffix":""},{"dropping-particle":"","family":"Yu","given":"Jianbo","non-dropping-particle":"","parse-names":false,"suffix":""},{"dropping-particle":"","family":"Jin","given":"Jing","non-dropping-particle":"","parse-names":false,"suffix":""},{"dropping-particle":"","family":"Chen","given":"Mantao","non-dropping-particle":"","parse-names":false,"suffix":""},{"dropping-particle":"","family":"Liu","given":"Wenchao","non-dropping-particle":"","parse-names":false,"suffix":""},{"dropping-particle":"","family":"Zhan","given":"Renya","non-dropping-particle":"","parse-names":false,"suffix":""}],"container-title":"Clinica chimica acta; international journal of clinical chemistry","id":"ITEM-1","issued":{"date-parts":[["2018","11","1"]]},"page":"214-218","publisher":"Clin Chim Acta","title":"Increased serum interleukin-33 concentrations predict worse prognosis of aneurysmal subarachnoid hemorrhage","type":"article-journal","volume":"486"},"uris":["http://www.mendeley.com/documents/?uuid=5d31ddb7-b58c-462c-9cd3-d89429d0a7b6"]}],"mendeley":{"formattedCitation":"(40)","plainTextFormattedCitation":"(40)","previouslyFormattedCitation":"(40)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(40)</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830DF7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175 SAH</w:t>
            </w:r>
            <w:r w:rsidRPr="00F7228F">
              <w:rPr>
                <w:rFonts w:ascii="Arial" w:eastAsia="Times New Roman" w:hAnsi="Arial" w:cs="Arial"/>
                <w:color w:val="000000"/>
              </w:rPr>
              <w:br/>
              <w:t>175 controls</w:t>
            </w:r>
          </w:p>
        </w:tc>
        <w:tc>
          <w:tcPr>
            <w:tcW w:w="559" w:type="pct"/>
            <w:tcBorders>
              <w:top w:val="nil"/>
              <w:left w:val="nil"/>
              <w:bottom w:val="single" w:sz="4" w:space="0" w:color="auto"/>
              <w:right w:val="single" w:sz="4" w:space="0" w:color="auto"/>
            </w:tcBorders>
            <w:shd w:val="clear" w:color="auto" w:fill="auto"/>
            <w:vAlign w:val="center"/>
            <w:hideMark/>
          </w:tcPr>
          <w:p w14:paraId="35F8F28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A7DF8C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IL-33</w:t>
            </w:r>
          </w:p>
        </w:tc>
        <w:tc>
          <w:tcPr>
            <w:tcW w:w="661" w:type="pct"/>
            <w:tcBorders>
              <w:top w:val="nil"/>
              <w:left w:val="nil"/>
              <w:bottom w:val="single" w:sz="4" w:space="0" w:color="auto"/>
              <w:right w:val="single" w:sz="4" w:space="0" w:color="auto"/>
            </w:tcBorders>
            <w:shd w:val="clear" w:color="auto" w:fill="auto"/>
            <w:vAlign w:val="center"/>
            <w:hideMark/>
          </w:tcPr>
          <w:p w14:paraId="3DBD667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2610FFA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w:t>
            </w:r>
          </w:p>
        </w:tc>
        <w:tc>
          <w:tcPr>
            <w:tcW w:w="603" w:type="pct"/>
            <w:tcBorders>
              <w:top w:val="nil"/>
              <w:left w:val="nil"/>
              <w:bottom w:val="single" w:sz="4" w:space="0" w:color="auto"/>
              <w:right w:val="single" w:sz="4" w:space="0" w:color="auto"/>
            </w:tcBorders>
            <w:shd w:val="clear" w:color="auto" w:fill="auto"/>
            <w:vAlign w:val="center"/>
            <w:hideMark/>
          </w:tcPr>
          <w:p w14:paraId="752D9A3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IL-33 concentrations in patients were </w:t>
            </w:r>
            <w:r w:rsidRPr="00F7228F">
              <w:rPr>
                <w:rFonts w:ascii="Arial" w:eastAsia="Times New Roman" w:hAnsi="Arial" w:cs="Arial"/>
                <w:color w:val="000000"/>
              </w:rPr>
              <w:lastRenderedPageBreak/>
              <w:t>significantly higher than those in controls, and markedly higher in non-survivors than in survivors within 6 months</w:t>
            </w:r>
          </w:p>
        </w:tc>
        <w:tc>
          <w:tcPr>
            <w:tcW w:w="573" w:type="pct"/>
            <w:tcBorders>
              <w:top w:val="nil"/>
              <w:left w:val="nil"/>
              <w:bottom w:val="single" w:sz="4" w:space="0" w:color="auto"/>
              <w:right w:val="single" w:sz="4" w:space="0" w:color="auto"/>
            </w:tcBorders>
            <w:shd w:val="clear" w:color="auto" w:fill="auto"/>
            <w:vAlign w:val="center"/>
            <w:hideMark/>
          </w:tcPr>
          <w:p w14:paraId="718302C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GOS at 6 months</w:t>
            </w:r>
          </w:p>
        </w:tc>
        <w:tc>
          <w:tcPr>
            <w:tcW w:w="607" w:type="pct"/>
            <w:tcBorders>
              <w:top w:val="nil"/>
              <w:left w:val="nil"/>
              <w:bottom w:val="single" w:sz="4" w:space="0" w:color="auto"/>
              <w:right w:val="single" w:sz="4" w:space="0" w:color="auto"/>
            </w:tcBorders>
            <w:shd w:val="clear" w:color="auto" w:fill="auto"/>
            <w:vAlign w:val="center"/>
            <w:hideMark/>
          </w:tcPr>
          <w:p w14:paraId="4A0F815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IL-33 concentrations &gt;741.3 ng/ml yielded a </w:t>
            </w:r>
            <w:r w:rsidRPr="00F7228F">
              <w:rPr>
                <w:rFonts w:ascii="Arial" w:eastAsia="Times New Roman" w:hAnsi="Arial" w:cs="Arial"/>
                <w:color w:val="000000"/>
              </w:rPr>
              <w:lastRenderedPageBreak/>
              <w:t xml:space="preserve">sensitivity of 75.8% and a specificity of 79.6% in discriminating patients at risk of 6-month </w:t>
            </w:r>
            <w:proofErr w:type="spellStart"/>
            <w:r w:rsidRPr="00F7228F">
              <w:rPr>
                <w:rFonts w:ascii="Arial" w:eastAsia="Times New Roman" w:hAnsi="Arial" w:cs="Arial"/>
                <w:color w:val="000000"/>
              </w:rPr>
              <w:t>unfavorable</w:t>
            </w:r>
            <w:proofErr w:type="spellEnd"/>
            <w:r w:rsidRPr="00F7228F">
              <w:rPr>
                <w:rFonts w:ascii="Arial" w:eastAsia="Times New Roman" w:hAnsi="Arial" w:cs="Arial"/>
                <w:color w:val="000000"/>
              </w:rPr>
              <w:t xml:space="preserve"> outcome</w:t>
            </w:r>
          </w:p>
        </w:tc>
      </w:tr>
      <w:tr w:rsidR="00236A5B" w:rsidRPr="00F7228F" w14:paraId="4D2F088B" w14:textId="77777777" w:rsidTr="00236A5B">
        <w:trPr>
          <w:trHeight w:val="288"/>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419E4226" w14:textId="31473CA9"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lastRenderedPageBreak/>
              <w:t>Lv</w:t>
            </w:r>
            <w:proofErr w:type="spellEnd"/>
            <w:r w:rsidRPr="00F7228F">
              <w:rPr>
                <w:rFonts w:ascii="Arial" w:eastAsia="Times New Roman" w:hAnsi="Arial" w:cs="Arial"/>
                <w:b/>
                <w:bCs/>
                <w:color w:val="000000"/>
              </w:rPr>
              <w:t xml:space="preserve">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{"citationItems":[{"id":"ITEM-1","itemData":{"DOI":"10.1016/J.WNEU.2017.12.076","ISSN":"1878-8769","PMID":"29277532","abstract":"Background: Aneurysmal subarachnoid hemorrhage (aSAH) is a severe cerebrovascular accident with high morbidity and mortality. The aim of this study is to investigate the relationship between level of inflammatory cytokines in cerebrospinal fluid (CSF) of aSAH patients, the severity of aSAH, and the outcome of aSAH patients. Methods: aSAH patients were prospectively included and followed-up for 6 months. CSF samples were collected at 1–3, 4–6, and 7–9 days after aSAH onset. Levels of interleukin (IL)-1β, IL-18, and tumor necrosis factor-α (TNF-α) in the CSF of aSAH patients were measured by enzyme-linked immunosorbent assay. Results: Eighty-one aSAH patients were enrolled. The levels of IL-1β, IL-18 and TNF-α in the CSF were especially higher in the group of aSAH patients with cerebral edema, cerebral vasospasm, and a high grade on Hunt-Hess scale, the high World Federation of Neurological Surgeons grades, and Fisher grade (P &lt; 0.01). Higher levels of plasma C-reactive protein in the blood were correlated with poor outcome. The areas under the receiver operating characteristic curves for the levels of inflammatory cytokines in CSF were 0.85, 0.84, and 0.95, respectively. Clinical features (age, Hunt-Hess grade, etc.) were positively correlated with poor outcomes (P &lt; 0.05). Conclusions: The levels of IL-1β, IL-18, and TNF-α in CSF were elevated in aSAH patients and were positively associated with cerebral edema and acute hydrocephalus. Our findings suggest that CSF inflammatory cytokines might be biomarkers to assess severity and predict outcomes.","author":[{"dropping-particle":"","family":"Lv","given":"Sheng yin","non-dropping-particle":"","parse-names":false,"suffix":""},{"dropping-particle":"","family":"Wu","given":"Qi","non-dropping-particle":"","parse-names":false,"suffix":""},{"dropping-particle":"","family":"Liu","given":"Jing peng","non-dropping-particle":"","parse-names":false,"suffix":""},{"dropping-particle":"","family":"Shao","given":"Jiang","non-dropping-particle":"","parse-names":false,"suffix":""},{"dropping-particle":"","family":"Wen","given":"Li li","non-dropping-particle":"","parse-names":false,"suffix":""},{"dropping-particle":"","family":"Xue","given":"Jin","non-dropping-particle":"","parse-names":false,"suffix":""},{"dropping-particle":"","family":"Zhang","given":"Xin Xiang sheng","non-dropping-particle":"","parse-names":false,"suffix":""},{"dropping-particle":"","family":"Zhang","given":"Qing rong","non-dropping-particle":"","parse-names":false,"suffix":""},{"dropping-particle":"","family":"Zhang","given":"Xin Xiang sheng","non-dropping-particle":"","parse-names":false,"suffix":""}],"container-title":"World neurosurgery","id":"ITEM-1","issued":{"date-parts":[["2018","3","1"]]},"page":"e362-e373","publisher":"World Neurosurg","title":"Levels of Interleukin-1β, Interleukin-18, and Tumor Necrosis Factor-α in Cerebrospinal Fluid of Aneurysmal Subarachnoid Hemorrhage Patients May Be Predictors of Early Brain Injury and Clinical Prognosis","type":"article-journal","volume":"111"},"uris":["http://www.mendeley.com/documents/?uuid=7a216f68-11de-4bee-9b2f-34047817358b"]}],"mendeley":{"formattedCitation":"(41)","plainTextFormattedCitation":"(41)","previouslyFormattedCitation":"(41)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F5C729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81 SAH</w:t>
            </w:r>
            <w:r w:rsidRPr="00F7228F">
              <w:rPr>
                <w:rFonts w:ascii="Arial" w:eastAsia="Times New Roman" w:hAnsi="Arial" w:cs="Arial"/>
                <w:color w:val="000000"/>
              </w:rPr>
              <w:br/>
              <w:t>Unknown number of controls</w:t>
            </w:r>
          </w:p>
        </w:tc>
        <w:tc>
          <w:tcPr>
            <w:tcW w:w="559" w:type="pct"/>
            <w:tcBorders>
              <w:top w:val="nil"/>
              <w:left w:val="nil"/>
              <w:bottom w:val="single" w:sz="4" w:space="0" w:color="auto"/>
              <w:right w:val="single" w:sz="4" w:space="0" w:color="auto"/>
            </w:tcBorders>
            <w:shd w:val="clear" w:color="auto" w:fill="auto"/>
            <w:vAlign w:val="center"/>
            <w:hideMark/>
          </w:tcPr>
          <w:p w14:paraId="48A5BD7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9623C3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IL-18, TNF-α</w:t>
            </w:r>
          </w:p>
        </w:tc>
        <w:tc>
          <w:tcPr>
            <w:tcW w:w="661" w:type="pct"/>
            <w:tcBorders>
              <w:top w:val="nil"/>
              <w:left w:val="nil"/>
              <w:bottom w:val="single" w:sz="4" w:space="0" w:color="auto"/>
              <w:right w:val="single" w:sz="4" w:space="0" w:color="auto"/>
            </w:tcBorders>
            <w:shd w:val="clear" w:color="auto" w:fill="auto"/>
            <w:vAlign w:val="center"/>
            <w:hideMark/>
          </w:tcPr>
          <w:p w14:paraId="68AC2C5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302D1DA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Days 1-3, 4-6, 7-9 </w:t>
            </w:r>
          </w:p>
        </w:tc>
        <w:tc>
          <w:tcPr>
            <w:tcW w:w="603" w:type="pct"/>
            <w:tcBorders>
              <w:top w:val="nil"/>
              <w:left w:val="nil"/>
              <w:bottom w:val="single" w:sz="4" w:space="0" w:color="auto"/>
              <w:right w:val="single" w:sz="4" w:space="0" w:color="auto"/>
            </w:tcBorders>
            <w:shd w:val="clear" w:color="auto" w:fill="auto"/>
            <w:vAlign w:val="center"/>
            <w:hideMark/>
          </w:tcPr>
          <w:p w14:paraId="4DD8788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levels of IL-1β, IL-18, and TNF-α in the CSF were significantly increased in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patients</w:t>
            </w:r>
          </w:p>
        </w:tc>
        <w:tc>
          <w:tcPr>
            <w:tcW w:w="573" w:type="pct"/>
            <w:tcBorders>
              <w:top w:val="nil"/>
              <w:left w:val="nil"/>
              <w:bottom w:val="single" w:sz="4" w:space="0" w:color="auto"/>
              <w:right w:val="single" w:sz="4" w:space="0" w:color="auto"/>
            </w:tcBorders>
            <w:shd w:val="clear" w:color="auto" w:fill="auto"/>
            <w:vAlign w:val="center"/>
            <w:hideMark/>
          </w:tcPr>
          <w:p w14:paraId="04947E21"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6 months</w:t>
            </w:r>
          </w:p>
        </w:tc>
        <w:tc>
          <w:tcPr>
            <w:tcW w:w="607" w:type="pct"/>
            <w:tcBorders>
              <w:top w:val="nil"/>
              <w:left w:val="nil"/>
              <w:bottom w:val="single" w:sz="4" w:space="0" w:color="auto"/>
              <w:right w:val="single" w:sz="4" w:space="0" w:color="auto"/>
            </w:tcBorders>
            <w:shd w:val="clear" w:color="auto" w:fill="auto"/>
            <w:vAlign w:val="center"/>
            <w:hideMark/>
          </w:tcPr>
          <w:p w14:paraId="4FB77C7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The levels of CSF IL-1β, IL-18, and TNF-α in each </w:t>
            </w:r>
            <w:proofErr w:type="gramStart"/>
            <w:r w:rsidRPr="00F7228F">
              <w:rPr>
                <w:rFonts w:ascii="Arial" w:eastAsia="Times New Roman" w:hAnsi="Arial" w:cs="Arial"/>
                <w:color w:val="000000"/>
              </w:rPr>
              <w:t>period of time</w:t>
            </w:r>
            <w:proofErr w:type="gramEnd"/>
            <w:r w:rsidRPr="00F7228F">
              <w:rPr>
                <w:rFonts w:ascii="Arial" w:eastAsia="Times New Roman" w:hAnsi="Arial" w:cs="Arial"/>
                <w:color w:val="000000"/>
              </w:rPr>
              <w:t xml:space="preserve"> were significantly correlated with poor outcome</w:t>
            </w:r>
          </w:p>
        </w:tc>
      </w:tr>
      <w:tr w:rsidR="00236A5B" w:rsidRPr="00F7228F" w14:paraId="26759B92" w14:textId="77777777" w:rsidTr="00236A5B">
        <w:trPr>
          <w:trHeight w:val="1452"/>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2067AD7D" w14:textId="3E524CF6"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Righy</w:t>
            </w:r>
            <w:proofErr w:type="spellEnd"/>
            <w:r w:rsidRPr="00F7228F">
              <w:rPr>
                <w:rFonts w:ascii="Arial" w:eastAsia="Times New Roman" w:hAnsi="Arial" w:cs="Arial"/>
                <w:b/>
                <w:bCs/>
                <w:color w:val="000000"/>
              </w:rPr>
              <w:t xml:space="preserve">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{"citationItems":[{"id":"ITEM-1","itemData":{"DOI":"10.5935/0103-507X.20180003","ISSN":"1982-4335","PMID":"29742229","abstract":"Objective: To evaluate the relationships of brain iron and heme with the inflammatory response of the systemic and central nervous systems and to investigate the role of defensive systems against the toxicity of iron and heme in the central nervous system. Methods: We assessed a prospective cohort of patients presenting with intracerebral and subarachnoid hemorrhage. We assayed plasma and cerebrospinal fluid samples for the presence of iron, heme, hemopexin, haptoglobin, enolase, S100-β and cytokines for the first three days following hemorrhagic stroke. We also analyzed the dynamic changes in these components within both fluids and their relationship with early mortality rates. Results: Hemopexin and haptoglobin concentrations were nearly negligible in the brain after intracerebral and subarachnoid hemorrhage. Cerebrospinal fluid iron and heme concentrations correlated with a proinflammatory response in the central nervous system, and plasmatic and cerebrospinal fluid inflammatory profiles on the third day after hemorrhagic stroke were related to early mortality rates. Interleukin 4 levels within the cerebrospinal fluid during the first 24 hours after hemorrhagic stroke were found to be higher in survivors than in non-survivors. Conclusion: Iron and heme are associated with a pro-inflammatory response in the central nervous system following hemorrhagic stroke, and protections against hemoglobin and heme are lacking within the human brain. Patient inflammatory profiles were associated with a poorer prognosis, and local anti-inflammatory responses appeared to have a protective role.","author":[{"dropping-particle":"","family":"Righy","given":"Cássia","non-dropping-particle":"","parse-names":false,"suffix":""},{"dropping-particle":"","family":"Turon","given":"Ricardo","non-dropping-particle":"","parse-names":false,"suffix":""},{"dropping-particle":"","family":"Freitas","given":"Gabriel","non-dropping-particle":"De","parse-names":false,"suffix":""},{"dropping-particle":"","family":"Japiassú","given":"André Miguel","non-dropping-particle":"","parse-names":false,"suffix":""},{"dropping-particle":"","family":"Castro Faria Neto","given":"Hugo Caire","non-dropping-particle":"De","parse-names":false,"suffix":""},{"dropping-particle":"","family":"Bozza","given":"Marcelo","non-dropping-particle":"","parse-names":false,"suffix":""},{"dropping-particle":"","family":"Oliveira","given":"Marcus F.","non-dropping-particle":"","parse-names":false,"suffix":""},{"dropping-particle":"","family":"Bozza","given":"Fernando A.","non-dropping-particle":"","parse-names":false,"suffix":""}],"container-title":"Revista Brasileira de terapia intensiva","id":"ITEM-1","issue":"1","issued":{"date-parts":[["2018","1","1"]]},"page":"21-27","publisher":"Rev Bras Ter Intensiva","title":"Hemoglobin metabolism by-products are associated with an inflammatory response in patients with hemorrhagic stroke","type":"article-journal","volume":"30"},"uris":["http://www.mendeley.com/documents/?uuid=be413325-b5ac-466c-b26f-0c42cbaefcfd"]}],"mendeley":{"formattedCitation":"(42)","plainTextFormattedCitation":"(42)","previouslyFormattedCitation":"(42)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4776AF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10 SAH</w:t>
            </w:r>
          </w:p>
        </w:tc>
        <w:tc>
          <w:tcPr>
            <w:tcW w:w="559" w:type="pct"/>
            <w:tcBorders>
              <w:top w:val="nil"/>
              <w:left w:val="nil"/>
              <w:bottom w:val="single" w:sz="4" w:space="0" w:color="auto"/>
              <w:right w:val="single" w:sz="4" w:space="0" w:color="auto"/>
            </w:tcBorders>
            <w:shd w:val="clear" w:color="auto" w:fill="auto"/>
            <w:vAlign w:val="center"/>
            <w:hideMark/>
          </w:tcPr>
          <w:p w14:paraId="344EE49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1A529E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IL-2, IL-4, IL-5, IL-6, IL-7, IL-8, IL- 10, IL-12, IL-13, IL-17, IFN-γ, G-CSF, MCP-1, MIP-1, TNF-α</w:t>
            </w:r>
          </w:p>
        </w:tc>
        <w:tc>
          <w:tcPr>
            <w:tcW w:w="661" w:type="pct"/>
            <w:tcBorders>
              <w:top w:val="nil"/>
              <w:left w:val="nil"/>
              <w:bottom w:val="single" w:sz="4" w:space="0" w:color="auto"/>
              <w:right w:val="single" w:sz="4" w:space="0" w:color="auto"/>
            </w:tcBorders>
            <w:shd w:val="clear" w:color="auto" w:fill="auto"/>
            <w:vAlign w:val="center"/>
            <w:hideMark/>
          </w:tcPr>
          <w:p w14:paraId="484699E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w:t>
            </w:r>
          </w:p>
        </w:tc>
        <w:tc>
          <w:tcPr>
            <w:tcW w:w="475" w:type="pct"/>
            <w:tcBorders>
              <w:top w:val="nil"/>
              <w:left w:val="nil"/>
              <w:bottom w:val="single" w:sz="4" w:space="0" w:color="auto"/>
              <w:right w:val="single" w:sz="4" w:space="0" w:color="auto"/>
            </w:tcBorders>
            <w:shd w:val="clear" w:color="auto" w:fill="auto"/>
            <w:vAlign w:val="center"/>
            <w:hideMark/>
          </w:tcPr>
          <w:p w14:paraId="578C0CB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2, 3</w:t>
            </w:r>
          </w:p>
        </w:tc>
        <w:tc>
          <w:tcPr>
            <w:tcW w:w="603" w:type="pct"/>
            <w:tcBorders>
              <w:top w:val="nil"/>
              <w:left w:val="nil"/>
              <w:bottom w:val="single" w:sz="4" w:space="0" w:color="auto"/>
              <w:right w:val="single" w:sz="4" w:space="0" w:color="auto"/>
            </w:tcBorders>
            <w:shd w:val="clear" w:color="auto" w:fill="auto"/>
            <w:vAlign w:val="center"/>
            <w:hideMark/>
          </w:tcPr>
          <w:p w14:paraId="32D0865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04BFC5B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7" w:type="pct"/>
            <w:tcBorders>
              <w:top w:val="nil"/>
              <w:left w:val="nil"/>
              <w:bottom w:val="single" w:sz="4" w:space="0" w:color="auto"/>
              <w:right w:val="single" w:sz="4" w:space="0" w:color="auto"/>
            </w:tcBorders>
            <w:shd w:val="clear" w:color="auto" w:fill="auto"/>
            <w:vAlign w:val="center"/>
            <w:hideMark/>
          </w:tcPr>
          <w:p w14:paraId="4C10400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7469178A" w14:textId="77777777" w:rsidTr="00236A5B">
        <w:trPr>
          <w:trHeight w:val="4980"/>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08DE0503" w14:textId="45A652EB"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lastRenderedPageBreak/>
              <w:t>Savarraj</w:t>
            </w:r>
            <w:proofErr w:type="spellEnd"/>
            <w:r w:rsidRPr="00F7228F">
              <w:rPr>
                <w:rFonts w:ascii="Arial" w:eastAsia="Times New Roman" w:hAnsi="Arial" w:cs="Arial"/>
                <w:b/>
                <w:bCs/>
                <w:color w:val="000000"/>
              </w:rPr>
              <w:t xml:space="preserve">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{"citationItems":[{"id":"ITEM-1","itemData":{"DOI":"10.1016/J.CYTO.2018.09.003","ISSN":"1096-0023","PMID":"30269030","abstract":"Background: Unregulated inflammatory and thrombotic responses have been proposed to be important causes of early brain injury and worse clinical outcomes after subarachnoid hemorrhage (SAH). Objective: We hypothesize that SAH is characterized by an increased inflammatory and thrombotic state and disruption of associations between these states. Methods: This is a retrospective cohort study of 60 patients with SAH. 23 patients with unruptured aneurysms (UA) and 77 patients with traumatic brain injury (TBI) were chosen as controls. Plasma cytokine levels were measured using a 41-plex human immunoassay kit, and cytokine patterns associated with SAH, UA and TBI were identified using statistical and informatics methods. Results: SAH was characterized by an increase in several cytokines and chemokines, platelet-derived factors, and growth factors. Cluster analysis identified several cytokine clusters common in SAH, UA and TBI groups – generally grouped as platelet-derived, vascular and pro-inflammatory clusters. In the UA group, the platelet-derived cluster had an inverse relationship with the inflammatory cluster which was absent in SAH. Additionally, a cluster comprising of growth and colony stimulating factors was unique to SAH. Conclusions: A cluster of cytokines involved in growth and colony stimulation was unique to SAH. Negative associations between the thrombotic and inflammatory molecules were observed in UA but not in SAH. Further studies to examine the pathophysiology behind the cluster unique to SAH and the associations between the thrombotic and inflammatory cytokines are required.","author":[{"dropping-particle":"","family":"Savarraj","given":"Jude PJ","non-dropping-particle":"","parse-names":false,"suffix":""},{"dropping-particle":"","family":"McGuire","given":"Mary F.","non-dropping-particle":"","parse-names":false,"suffix":""},{"dropping-particle":"","family":"Parsha","given":"Kaushik","non-dropping-particle":"","parse-names":false,"suffix":""},{"dropping-particle":"","family":"Hergenroeder","given":"Georgene","non-dropping-particle":"","parse-names":false,"suffix":""},{"dropping-particle":"","family":"Bajgur","given":"Suhas","non-dropping-particle":"","parse-names":false,"suffix":""},{"dropping-particle":"","family":"Ahn","given":"Sungho","non-dropping-particle":"","parse-names":false,"suffix":""},{"dropping-particle":"","family":"Zhu","given":"Liang","non-dropping-particle":"","parse-names":false,"suffix":""},{"dropping-particle":"","family":"Espino","given":"Elena","non-dropping-particle":"","parse-names":false,"suffix":""},{"dropping-particle":"","family":"Chang","given":"Tiffany","non-dropping-particle":"","parse-names":false,"suffix":""},{"dropping-particle":"","family":"Blackburn","given":"Spiros","non-dropping-particle":"","parse-names":false,"suffix":""},{"dropping-particle":"","family":"Kim","given":"Dong H.","non-dropping-particle":"","parse-names":false,"suffix":""},{"dropping-particle":"","family":"Dash","given":"Pramod","non-dropping-particle":"","parse-names":false,"suffix":""},{"dropping-particle":"","family":"Choi","given":"Huimahn A.","non-dropping-particle":"","parse-names":false,"suffix":""}],"container-title":"Cytokine","id":"ITEM-1","issued":{"date-parts":[["2018","11","1"]]},"page":"334-341","publisher":"Cytokine","title":"Disruption of thrombo-inflammatory response and activation of a distinct cytokine cluster after subarachnoid hemorrhage","type":"article-journal","volume":"111"},"uris":["http://www.mendeley.com/documents/?uuid=8d79881e-1cd7-4966-9004-86c930276da2"]}],"mendeley":{"formattedCitation":"(43)","plainTextFormattedCitation":"(43)","previouslyFormattedCitation":"(43)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872F6D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60 SAH</w:t>
            </w:r>
            <w:r w:rsidRPr="00F7228F">
              <w:rPr>
                <w:rFonts w:ascii="Arial" w:eastAsia="Times New Roman" w:hAnsi="Arial" w:cs="Arial"/>
                <w:color w:val="000000"/>
              </w:rPr>
              <w:br/>
              <w:t>100 controls</w:t>
            </w:r>
          </w:p>
        </w:tc>
        <w:tc>
          <w:tcPr>
            <w:tcW w:w="559" w:type="pct"/>
            <w:tcBorders>
              <w:top w:val="nil"/>
              <w:left w:val="nil"/>
              <w:bottom w:val="single" w:sz="4" w:space="0" w:color="auto"/>
              <w:right w:val="single" w:sz="4" w:space="0" w:color="auto"/>
            </w:tcBorders>
            <w:shd w:val="clear" w:color="auto" w:fill="auto"/>
            <w:vAlign w:val="center"/>
            <w:hideMark/>
          </w:tcPr>
          <w:p w14:paraId="7D7388A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Retrospective observational study</w:t>
            </w:r>
          </w:p>
        </w:tc>
        <w:tc>
          <w:tcPr>
            <w:tcW w:w="502" w:type="pct"/>
            <w:tcBorders>
              <w:top w:val="nil"/>
              <w:left w:val="nil"/>
              <w:bottom w:val="single" w:sz="4" w:space="0" w:color="auto"/>
              <w:right w:val="single" w:sz="4" w:space="0" w:color="auto"/>
            </w:tcBorders>
            <w:shd w:val="clear" w:color="auto" w:fill="auto"/>
            <w:vAlign w:val="center"/>
            <w:hideMark/>
          </w:tcPr>
          <w:p w14:paraId="544DD7D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CCL2, CCL5, CCL7, CCL11, CCL22, CX3CL1, CXCL1P1, MIP-1α, MIP-1β, IL-1A, IL-1R1, IL-4, IL-5, IL-6, IL-17a, IL-2, IL-3, IL-7, IL-8, IL-9, IL-10, IL-13, IL-15, PDGF-AA, PDGF-AB/BB, EGF, FGF-2, CSF3, CSF2, TNF-α, TNF-β, VEGFA, IL-12p40, IL-12p70, sCD40L, IL-1b, interferon-inducible protein 10, IFNG, IFN-</w:t>
            </w:r>
            <w:r w:rsidRPr="00F7228F">
              <w:rPr>
                <w:rFonts w:ascii="Arial" w:eastAsia="Times New Roman" w:hAnsi="Arial" w:cs="Arial"/>
                <w:color w:val="000000"/>
              </w:rPr>
              <w:lastRenderedPageBreak/>
              <w:t>α2, FLT3L, TGF-α</w:t>
            </w:r>
          </w:p>
        </w:tc>
        <w:tc>
          <w:tcPr>
            <w:tcW w:w="661" w:type="pct"/>
            <w:tcBorders>
              <w:top w:val="nil"/>
              <w:left w:val="nil"/>
              <w:bottom w:val="single" w:sz="4" w:space="0" w:color="auto"/>
              <w:right w:val="single" w:sz="4" w:space="0" w:color="auto"/>
            </w:tcBorders>
            <w:shd w:val="clear" w:color="auto" w:fill="auto"/>
            <w:vAlign w:val="center"/>
            <w:hideMark/>
          </w:tcPr>
          <w:p w14:paraId="495D377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Plasma</w:t>
            </w:r>
          </w:p>
        </w:tc>
        <w:tc>
          <w:tcPr>
            <w:tcW w:w="475" w:type="pct"/>
            <w:tcBorders>
              <w:top w:val="nil"/>
              <w:left w:val="nil"/>
              <w:bottom w:val="single" w:sz="4" w:space="0" w:color="auto"/>
              <w:right w:val="single" w:sz="4" w:space="0" w:color="auto"/>
            </w:tcBorders>
            <w:shd w:val="clear" w:color="auto" w:fill="auto"/>
            <w:vAlign w:val="center"/>
            <w:hideMark/>
          </w:tcPr>
          <w:p w14:paraId="1826394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1 after surgery</w:t>
            </w:r>
          </w:p>
        </w:tc>
        <w:tc>
          <w:tcPr>
            <w:tcW w:w="603" w:type="pct"/>
            <w:tcBorders>
              <w:top w:val="nil"/>
              <w:left w:val="nil"/>
              <w:bottom w:val="single" w:sz="4" w:space="0" w:color="auto"/>
              <w:right w:val="single" w:sz="4" w:space="0" w:color="auto"/>
            </w:tcBorders>
            <w:shd w:val="clear" w:color="auto" w:fill="auto"/>
            <w:vAlign w:val="center"/>
            <w:hideMark/>
          </w:tcPr>
          <w:p w14:paraId="0D6F6F1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0704D41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5F48517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 IL-6, IL-8, IL-10, IP-10, CCL2, and TNF-α levels were significantly higher in patients with poorer outcomes</w:t>
            </w:r>
          </w:p>
        </w:tc>
      </w:tr>
      <w:tr w:rsidR="00236A5B" w:rsidRPr="00F7228F" w14:paraId="5B236BF4" w14:textId="77777777" w:rsidTr="00236A5B">
        <w:trPr>
          <w:trHeight w:val="1392"/>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EB911E0" w14:textId="584BE72C"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Savarraj</w:t>
            </w:r>
            <w:proofErr w:type="spellEnd"/>
            <w:r w:rsidRPr="00F7228F">
              <w:rPr>
                <w:rFonts w:ascii="Arial" w:eastAsia="Times New Roman" w:hAnsi="Arial" w:cs="Arial"/>
                <w:b/>
                <w:bCs/>
                <w:color w:val="000000"/>
              </w:rPr>
              <w:t xml:space="preserve">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{"citationItems":[{"id":"ITEM-1","itemData":{"DOI":"10.1007/S12028-017-0471-Y","ISSN":"1556-0961","PMID":"29043545","abstract":"Background: Early brain injury (EBI) after aneurysmal subarachnoid hemorrhage (aSAH) is defined as brain injury occurring within 72 h of aneurysmal rupture. Although EBI is the most significant predictor of outcomes after aSAH, its underlying pathophysiology is not well understood. We hypothesize that EBI after aSAH is associated with an increase in peripheral inflammation measured by cytokine expression levels and changes in associations between cytokines. Methods: aSAH patients were enrolled into a prospective observational study and were assessed for markers of EBI: global cerebral edema (GCE), subarachnoid hemorrhage early brain edema score (SEBES), and Hunt–Hess grade. Serum samples collected at ≤ 48 h of admission were analyzed using multiplex bead-based assays to determine levels of 13 pro- and anti-inflammatory cytokines. Pairwise correlation coefficients between cytokines were represented as networks. Cytokine levels and differences in correlation networks were compared between EBI groups. Results: Of the 71 patients enrolled in the study, 17 (24%) subjects had GCE, 31 (44%) subjects had SEBES ≥ 3, and 21 (29%) had HH ≥ 4. IL-6 was elevated in groups with GCE, SEBES ≥ 3, and HH ≥ 4. MIP1β was independently associated with high-grade SEBES. Correlation network analysis suggests higher systematic inflammation in subjects with SEBES ≥ 3. Conclusions: EBI after SAH is associated with increased levels of specific cytokines. Peripheral levels of IL-10, IL-6, and MIP1β may be important markers of EBI. Investigating systematic correlations in addition to expression levels of individual cytokines may offer deeper insight into the underlying mechanisms related to EBI.","author":[{"dropping-particle":"","family":"Savarraj","given":"Jude","non-dropping-particle":"","parse-names":false,"suffix":""},{"dropping-particle":"","family":"Parsha","given":"Kaushik","non-dropping-particle":"","parse-names":false,"suffix":""},{"dropping-particle":"","family":"Hergenroeder","given":"Georgene","non-dropping-particle":"","parse-names":false,"suffix":""},{"dropping-particle":"","family":"Ahn","given":"Sungho","non-dropping-particle":"","parse-names":false,"suffix":""},{"dropping-particle":"","family":"Chang","given":"Tiffany R.","non-dropping-particle":"","parse-names":false,"suffix":""},{"dropping-particle":"","family":"Kim","given":"Dong H.","non-dropping-particle":"","parse-names":false,"suffix":""},{"dropping-particle":"","family":"Choi","given":"H. Alex","non-dropping-particle":"","parse-names":false,"suffix":""}],"container-title":"Neurocritical care","id":"ITEM-1","issue":"2","issued":{"date-parts":[["2018","4","1"]]},"page":"203-211","publisher":"Neurocrit Care","title":"Early Brain Injury Associated with Systemic Inflammation After Subarachnoid Hemorrhage","type":"article-journal","volume":"28"},"uris":["http://www.mendeley.com/documents/?uuid=aa107d08-eb6c-4434-af66-3f90c29c1e49"]}],"mendeley":{"formattedCitation":"(44)","plainTextFormattedCitation":"(44)","previouslyFormattedCitation":"(44)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(44)</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CEFAB4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71 SAH</w:t>
            </w:r>
          </w:p>
        </w:tc>
        <w:tc>
          <w:tcPr>
            <w:tcW w:w="559" w:type="pct"/>
            <w:tcBorders>
              <w:top w:val="nil"/>
              <w:left w:val="nil"/>
              <w:bottom w:val="single" w:sz="4" w:space="0" w:color="auto"/>
              <w:right w:val="single" w:sz="4" w:space="0" w:color="auto"/>
            </w:tcBorders>
            <w:shd w:val="clear" w:color="auto" w:fill="auto"/>
            <w:vAlign w:val="center"/>
            <w:hideMark/>
          </w:tcPr>
          <w:p w14:paraId="318966E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observational study</w:t>
            </w:r>
          </w:p>
        </w:tc>
        <w:tc>
          <w:tcPr>
            <w:tcW w:w="502" w:type="pct"/>
            <w:tcBorders>
              <w:top w:val="nil"/>
              <w:left w:val="nil"/>
              <w:bottom w:val="single" w:sz="4" w:space="0" w:color="auto"/>
              <w:right w:val="single" w:sz="4" w:space="0" w:color="auto"/>
            </w:tcBorders>
            <w:shd w:val="clear" w:color="auto" w:fill="auto"/>
            <w:vAlign w:val="center"/>
            <w:hideMark/>
          </w:tcPr>
          <w:p w14:paraId="7F3C9B2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 IL-1α, IL-1Ra, IL-4, IL-5, IL-6, IL-10, IL-17a, IFN-γ, MCP1, MIP1α, MIP1β, TNF-α</w:t>
            </w:r>
          </w:p>
        </w:tc>
        <w:tc>
          <w:tcPr>
            <w:tcW w:w="661" w:type="pct"/>
            <w:tcBorders>
              <w:top w:val="nil"/>
              <w:left w:val="nil"/>
              <w:bottom w:val="single" w:sz="4" w:space="0" w:color="auto"/>
              <w:right w:val="single" w:sz="4" w:space="0" w:color="auto"/>
            </w:tcBorders>
            <w:shd w:val="clear" w:color="auto" w:fill="auto"/>
            <w:vAlign w:val="center"/>
            <w:hideMark/>
          </w:tcPr>
          <w:p w14:paraId="53192A1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076FB49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0-2</w:t>
            </w:r>
          </w:p>
        </w:tc>
        <w:tc>
          <w:tcPr>
            <w:tcW w:w="603" w:type="pct"/>
            <w:tcBorders>
              <w:top w:val="nil"/>
              <w:left w:val="nil"/>
              <w:bottom w:val="single" w:sz="4" w:space="0" w:color="auto"/>
              <w:right w:val="single" w:sz="4" w:space="0" w:color="auto"/>
            </w:tcBorders>
            <w:shd w:val="clear" w:color="auto" w:fill="auto"/>
            <w:vAlign w:val="center"/>
            <w:hideMark/>
          </w:tcPr>
          <w:p w14:paraId="63705D6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IL-6 was elevated in patients with global cerebral ischemia, in patients with higher subarachnoid </w:t>
            </w:r>
            <w:proofErr w:type="spellStart"/>
            <w:r w:rsidRPr="00F7228F">
              <w:rPr>
                <w:rFonts w:ascii="Arial" w:eastAsia="Times New Roman" w:hAnsi="Arial" w:cs="Arial"/>
                <w:color w:val="000000"/>
              </w:rPr>
              <w:t>hemorrhage</w:t>
            </w:r>
            <w:proofErr w:type="spellEnd"/>
            <w:r w:rsidRPr="00F7228F">
              <w:rPr>
                <w:rFonts w:ascii="Arial" w:eastAsia="Times New Roman" w:hAnsi="Arial" w:cs="Arial"/>
                <w:color w:val="000000"/>
              </w:rPr>
              <w:t xml:space="preserve"> early brain </w:t>
            </w:r>
            <w:proofErr w:type="spellStart"/>
            <w:r w:rsidRPr="00F7228F">
              <w:rPr>
                <w:rFonts w:ascii="Arial" w:eastAsia="Times New Roman" w:hAnsi="Arial" w:cs="Arial"/>
                <w:color w:val="000000"/>
              </w:rPr>
              <w:t>edema</w:t>
            </w:r>
            <w:proofErr w:type="spellEnd"/>
            <w:r w:rsidRPr="00F7228F">
              <w:rPr>
                <w:rFonts w:ascii="Arial" w:eastAsia="Times New Roman" w:hAnsi="Arial" w:cs="Arial"/>
                <w:color w:val="000000"/>
              </w:rPr>
              <w:t xml:space="preserve"> score and higher Hunt-Hess-score</w:t>
            </w:r>
          </w:p>
        </w:tc>
        <w:tc>
          <w:tcPr>
            <w:tcW w:w="573" w:type="pct"/>
            <w:tcBorders>
              <w:top w:val="nil"/>
              <w:left w:val="nil"/>
              <w:bottom w:val="single" w:sz="4" w:space="0" w:color="auto"/>
              <w:right w:val="single" w:sz="4" w:space="0" w:color="auto"/>
            </w:tcBorders>
            <w:shd w:val="clear" w:color="auto" w:fill="auto"/>
            <w:vAlign w:val="center"/>
            <w:hideMark/>
          </w:tcPr>
          <w:p w14:paraId="68BBE9A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0BFF45B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Plasma IL-6 is independently associated with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r>
      <w:tr w:rsidR="00236A5B" w:rsidRPr="00F7228F" w14:paraId="70E34111" w14:textId="77777777" w:rsidTr="00236A5B">
        <w:trPr>
          <w:trHeight w:val="56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8F158FD" w14:textId="05ADA605"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Wang et al., 2018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{"citationItems":[{"id":"ITEM-1","itemData":{"DOI":"10.3892/ETM.2017.5553","ISSN":"17921015","PMID":"29434735","abstract":"The purpose of the present study was to investigate the expression of matrix metalloproteinase-9 (MMP-9) and interleukin-6 (IL-6) in patients with subarachnoid hemor­rhage (SAH) and the clinical significance thereof. Forty-three patients with SAH and 23 healthy individuals were enrolled in this study. Patients were divided into the cerebral vasospasm (CVS) and non-cerebral vasospasm (non-CVS) groups, or the good and poor prognosis groups. Serum levels of MMP-9 and IL-6 were detected by ELISA. Expression levels of MMP-9 and IL-6 mRNAs were detected by RT-qPCR. Expression levels of MMP-9 and IL-6 were elevated with the increase of grades as determined by the Hunt-Hess grading method. Serum levels of MMP-9 and IL-6 in the CVS and poor prognosis groups were significantly higher than those in the control group. Expression levels of MMP-9 and IL-6 in the CVS group were significantly higher than those in the non-CVS group (P&lt;0.05). Compared with the good prognosis group, the expression levels of MMP-9 and IL-6 were significantly increased in the poor prognosis group at 1, 4, 7 and 10 days after SAH (P&lt;0.05). Additionally, the expression level of MMP-9 was significantly positively correlated with that of IL-6 (P&lt;0.05). Expression levels of MMP-9 and IL-6 were significantly increased in patients with SAH, and the expression level of MMP-9 was positively corre­lated with that of IL-6. Thus, MMP-9 and IL-6 are involved in the development of SAH.","author":[{"dropping-particle":"","family":"Wang","given":"Luchen","non-dropping-particle":"","parse-names":false,"suffix":""},{"dropping-particle":"","family":"Gao","given":"Ziyun","non-dropping-particle":"","parse-names":false,"suffix":""}],"container-title":"Experimental and Therapeutic Medicine","id":"ITEM-1","issue":"2","issued":{"date-parts":[["2018","2","1"]]},"page":"1510","publisher":"Spandidos Publications","title":"Expression of MMP-9 and IL-6 in patients with subarachnoid hemorrhage and the clinical significance","type":"article-journal","volume":"15"},"uris":["http://www.mendeley.com/documents/?uuid=a6140b54-1de6-3796-a563-a2e65faca6be"]}],"mendeley":{"formattedCitation":"(45)","plainTextFormattedCitation":"(45)","previouslyFormattedCitation":"(45)"},"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(45)</w:t>
            </w:r>
            <w:r w:rsidRPr="00F7228F">
              <w:rPr>
                <w:rFonts w:ascii="Arial" w:eastAsia="Times New Roman" w:hAnsi="Arial" w:cs="Arial"/>
                <w:b/>
                <w:bCs/>
                <w:color w:val="000000"/>
              </w:rPr>
              <w:fldChar w:fldCharType="end"/>
            </w:r>
            <w:r w:rsidRPr="00F7228F">
              <w:rPr>
                <w:rFonts w:ascii="Arial" w:eastAsia="Times New Roman" w:hAnsi="Arial" w:cs="Arial"/>
                <w:b/>
                <w:bCs/>
                <w:color w:val="000000"/>
              </w:rPr>
              <w:t xml:space="preserve">  </w:t>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DEFCA9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43 SAH</w:t>
            </w:r>
            <w:r w:rsidRPr="00F7228F">
              <w:rPr>
                <w:rFonts w:ascii="Arial" w:eastAsia="Times New Roman" w:hAnsi="Arial" w:cs="Arial"/>
                <w:color w:val="000000"/>
              </w:rPr>
              <w:br/>
              <w:t>23 controls</w:t>
            </w:r>
          </w:p>
        </w:tc>
        <w:tc>
          <w:tcPr>
            <w:tcW w:w="559" w:type="pct"/>
            <w:tcBorders>
              <w:top w:val="nil"/>
              <w:left w:val="nil"/>
              <w:bottom w:val="single" w:sz="4" w:space="0" w:color="auto"/>
              <w:right w:val="single" w:sz="4" w:space="0" w:color="auto"/>
            </w:tcBorders>
            <w:shd w:val="clear" w:color="auto" w:fill="auto"/>
            <w:vAlign w:val="center"/>
            <w:hideMark/>
          </w:tcPr>
          <w:p w14:paraId="533BACE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observational study</w:t>
            </w:r>
          </w:p>
        </w:tc>
        <w:tc>
          <w:tcPr>
            <w:tcW w:w="502" w:type="pct"/>
            <w:tcBorders>
              <w:top w:val="nil"/>
              <w:left w:val="nil"/>
              <w:bottom w:val="single" w:sz="4" w:space="0" w:color="auto"/>
              <w:right w:val="single" w:sz="4" w:space="0" w:color="auto"/>
            </w:tcBorders>
            <w:shd w:val="clear" w:color="auto" w:fill="auto"/>
            <w:vAlign w:val="center"/>
            <w:hideMark/>
          </w:tcPr>
          <w:p w14:paraId="33647CD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3116586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4149B9B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4, 7, 10</w:t>
            </w:r>
          </w:p>
        </w:tc>
        <w:tc>
          <w:tcPr>
            <w:tcW w:w="603" w:type="pct"/>
            <w:tcBorders>
              <w:top w:val="nil"/>
              <w:left w:val="nil"/>
              <w:bottom w:val="single" w:sz="4" w:space="0" w:color="auto"/>
              <w:right w:val="single" w:sz="4" w:space="0" w:color="auto"/>
            </w:tcBorders>
            <w:shd w:val="clear" w:color="auto" w:fill="auto"/>
            <w:vAlign w:val="center"/>
            <w:hideMark/>
          </w:tcPr>
          <w:p w14:paraId="44665C9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Expression levels </w:t>
            </w:r>
            <w:proofErr w:type="gramStart"/>
            <w:r w:rsidRPr="00F7228F">
              <w:rPr>
                <w:rFonts w:ascii="Arial" w:eastAsia="Times New Roman" w:hAnsi="Arial" w:cs="Arial"/>
                <w:color w:val="000000"/>
              </w:rPr>
              <w:t>of  IL</w:t>
            </w:r>
            <w:proofErr w:type="gramEnd"/>
            <w:r w:rsidRPr="00F7228F">
              <w:rPr>
                <w:rFonts w:ascii="Arial" w:eastAsia="Times New Roman" w:hAnsi="Arial" w:cs="Arial"/>
                <w:color w:val="000000"/>
              </w:rPr>
              <w:t xml:space="preserve">-6 were elevated with the increase of Hunt-Hess grades </w:t>
            </w:r>
          </w:p>
        </w:tc>
        <w:tc>
          <w:tcPr>
            <w:tcW w:w="573" w:type="pct"/>
            <w:tcBorders>
              <w:top w:val="nil"/>
              <w:left w:val="nil"/>
              <w:bottom w:val="single" w:sz="4" w:space="0" w:color="auto"/>
              <w:right w:val="single" w:sz="4" w:space="0" w:color="auto"/>
            </w:tcBorders>
            <w:shd w:val="clear" w:color="auto" w:fill="auto"/>
            <w:vAlign w:val="center"/>
            <w:hideMark/>
          </w:tcPr>
          <w:p w14:paraId="25FB3F7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during admission</w:t>
            </w:r>
          </w:p>
        </w:tc>
        <w:tc>
          <w:tcPr>
            <w:tcW w:w="607" w:type="pct"/>
            <w:tcBorders>
              <w:top w:val="nil"/>
              <w:left w:val="nil"/>
              <w:bottom w:val="single" w:sz="4" w:space="0" w:color="auto"/>
              <w:right w:val="single" w:sz="4" w:space="0" w:color="auto"/>
            </w:tcBorders>
            <w:shd w:val="clear" w:color="auto" w:fill="auto"/>
            <w:vAlign w:val="center"/>
            <w:hideMark/>
          </w:tcPr>
          <w:p w14:paraId="32BF531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Patients who developed vasospasm had elevated serum IL-6</w:t>
            </w:r>
          </w:p>
        </w:tc>
      </w:tr>
      <w:tr w:rsidR="00236A5B" w:rsidRPr="00F7228F" w14:paraId="5B234D08" w14:textId="77777777" w:rsidTr="00236A5B">
        <w:trPr>
          <w:trHeight w:val="498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9440D5B" w14:textId="76EF246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Ahn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{"citationItems":[{"id":"ITEM-1","itemData":{"DOI":"10.1186/S12974-019-1578-1","ISSN":"1742-2094","PMID":"31711504","abstract":"Background: Inflammatory mechanism has been implicated in delayed cerebral ischemia (DCI) and poor functional outcomes after subarachnoid hemorrhage (SAH). Identification of cytokine patterns associated with inflammation in acute SAH will provide insights into underlying biological processes of DCI and poor outcomes that may be amenable to interventions. Methods: Serum samples were collected from a prospective cohort of 60 patients with acute non-traumatic SAH at four time periods (&lt; 24 h, 24-48 h, 3-5 days, and 6-8 days after SAH) and concentration levels of 41 cytokines were measured by multiplex immunoassay. Logistic regression analysis was used to identify cytokines associated with DCI and poor functional outcomes. Correlation networks were constructed to identify cytokine clusters. Results: Of the 60 patients enrolled in the study, 14 (23.3%) developed DCI and 16 (26.7%) had poor functional outcomes at 3 months. DCI was associated with increased levels of PDGF-ABBB and CCL5 and decreased levels of IP-10 and MIP-1α. Poor functional outcome was associated with increased levels of IL-6 and MCP-1α. Network analysis identified distinct cytokine clusters associated with DCI and functional outcomes. Conclusions: Serum cytokine patterns in early SAH are associated with poor functional outcomes and DCI. The significant cytokines primarily modulate the inflammatory response. This supports earlier SAH studies linking inflammation and poor outcomes. In particular, this study identifies novel cytokine patterns over time that may indicate impending DCI.","author":[{"dropping-particle":"","family":"Ahn","given":"Sung Ho","non-dropping-particle":"","parse-names":false,"suffix":""},{"dropping-particle":"","family":"Savarraj","given":"Jude P.J.","non-dropping-particle":"","parse-names":false,"suffix":""},{"dropping-particle":"","family":"Parsha","given":"Kaushik","non-dropping-particle":"","parse-names":false,"suffix":""},{"dropping-particle":"","family":"Hergenroeder","given":"Georgene W.","non-dropping-particle":"","parse-names":false,"suffix":""},{"dropping-particle":"","family":"Chang","given":"Tiffany R.","non-dropping-particle":"","parse-names":false,"suffix":""},{"dropping-particle":"","family":"Kim","given":"Dong H.","non-dropping-particle":"","parse-names":false,"suffix":""},{"dropping-particle":"","family":"Kitagawa","given":"Ryan S.","non-dropping-particle":"","parse-names":false,"suffix":""},{"dropping-particle":"","family":"Blackburn","given":"Spiros L.","non-dropping-particle":"","parse-names":false,"suffix":""},{"dropping-particle":"","family":"Choi","given":"H. Alex","non-dropping-particle":"","parse-names":false,"suffix":""}],"container-title":"Journal of neuroinflammation","id":"ITEM-1","issue":"1","issued":{"date-parts":[["2019","11","11"]]},"publisher":"J Neuroinflammation","title":"Inflammation in delayed ischemia and functional outcomes after subarachnoid hemorrhage","type":"article-journal","volume":"16"},"uris":["http://www.mendeley.com/documents/?uuid=7cf550af-98b9-48dd-8d6b-5b914593bb27"]}],"mendeley":{"formattedCitation":"(46)","plainTextFormattedCitation":"(46)","previouslyFormattedCitation":"(46)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2C1305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60 SAH</w:t>
            </w:r>
          </w:p>
        </w:tc>
        <w:tc>
          <w:tcPr>
            <w:tcW w:w="559" w:type="pct"/>
            <w:tcBorders>
              <w:top w:val="nil"/>
              <w:left w:val="nil"/>
              <w:bottom w:val="single" w:sz="4" w:space="0" w:color="auto"/>
              <w:right w:val="single" w:sz="4" w:space="0" w:color="auto"/>
            </w:tcBorders>
            <w:shd w:val="clear" w:color="auto" w:fill="auto"/>
            <w:vAlign w:val="center"/>
            <w:hideMark/>
          </w:tcPr>
          <w:p w14:paraId="6868D3C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892108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CCL2, CCL5, CCL7, CCL11, CCL22, CX3CL1, CXCL1P1, MIP-1α, MIP-1β, IL-1A, IL-1R1, IL-4, IL-5, IL-6, IL-17a, IL-2, IL-3, IL-7, IL-8, IL-9, IL-10, IL-13, IL-15, PDGF-AA, PDGF-AB/BB, EGF, FGF-2, CSF3, CSF2, TNF-α, TNF-β, VEGFA, IL-12p40, IL-12p70, </w:t>
            </w:r>
            <w:r w:rsidRPr="00F7228F">
              <w:rPr>
                <w:rFonts w:ascii="Arial" w:eastAsia="Times New Roman" w:hAnsi="Arial" w:cs="Arial"/>
                <w:color w:val="000000"/>
              </w:rPr>
              <w:lastRenderedPageBreak/>
              <w:t>sCD40L, IL-1b, interferon-inducible protein 10, IFNG, IFN-α2, FLT3L, TGF-α</w:t>
            </w:r>
          </w:p>
        </w:tc>
        <w:tc>
          <w:tcPr>
            <w:tcW w:w="661" w:type="pct"/>
            <w:tcBorders>
              <w:top w:val="nil"/>
              <w:left w:val="nil"/>
              <w:bottom w:val="single" w:sz="4" w:space="0" w:color="auto"/>
              <w:right w:val="single" w:sz="4" w:space="0" w:color="auto"/>
            </w:tcBorders>
            <w:shd w:val="clear" w:color="auto" w:fill="auto"/>
            <w:vAlign w:val="center"/>
            <w:hideMark/>
          </w:tcPr>
          <w:p w14:paraId="3691CA1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Serum</w:t>
            </w:r>
          </w:p>
        </w:tc>
        <w:tc>
          <w:tcPr>
            <w:tcW w:w="475" w:type="pct"/>
            <w:tcBorders>
              <w:top w:val="nil"/>
              <w:left w:val="nil"/>
              <w:bottom w:val="single" w:sz="4" w:space="0" w:color="auto"/>
              <w:right w:val="single" w:sz="4" w:space="0" w:color="auto"/>
            </w:tcBorders>
            <w:shd w:val="clear" w:color="auto" w:fill="auto"/>
            <w:vAlign w:val="center"/>
            <w:hideMark/>
          </w:tcPr>
          <w:p w14:paraId="1202982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 1-2, 3-5, 6-8</w:t>
            </w:r>
          </w:p>
        </w:tc>
        <w:tc>
          <w:tcPr>
            <w:tcW w:w="603" w:type="pct"/>
            <w:tcBorders>
              <w:top w:val="nil"/>
              <w:left w:val="nil"/>
              <w:bottom w:val="single" w:sz="4" w:space="0" w:color="auto"/>
              <w:right w:val="single" w:sz="4" w:space="0" w:color="auto"/>
            </w:tcBorders>
            <w:shd w:val="clear" w:color="auto" w:fill="auto"/>
            <w:vAlign w:val="center"/>
            <w:hideMark/>
          </w:tcPr>
          <w:p w14:paraId="08946BD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40FAA04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DCI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 and at 3 months</w:t>
            </w:r>
          </w:p>
        </w:tc>
        <w:tc>
          <w:tcPr>
            <w:tcW w:w="607" w:type="pct"/>
            <w:tcBorders>
              <w:top w:val="nil"/>
              <w:left w:val="nil"/>
              <w:bottom w:val="single" w:sz="4" w:space="0" w:color="auto"/>
              <w:right w:val="single" w:sz="4" w:space="0" w:color="auto"/>
            </w:tcBorders>
            <w:shd w:val="clear" w:color="auto" w:fill="auto"/>
            <w:vAlign w:val="center"/>
            <w:hideMark/>
          </w:tcPr>
          <w:p w14:paraId="69E396F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Median levels of PDGF-ABBB (particularly at days 1-2) and CCL5 (particularly at days 1-2, 3-5) were consistently higher, and median levels of IP-10 (particularly at days 0, 1-2) and MIP-1α (particularly at days 6-8) were consistently lower in the DCI group compared to the no-DCI group. Median levels of IL-6 (particularly at days 1-2) and MCP-1 </w:t>
            </w:r>
            <w:r w:rsidRPr="00F7228F">
              <w:rPr>
                <w:rFonts w:ascii="Arial" w:eastAsia="Times New Roman" w:hAnsi="Arial" w:cs="Arial"/>
                <w:color w:val="000000"/>
              </w:rPr>
              <w:lastRenderedPageBreak/>
              <w:t>(particularly at days 6-8) were consistently higher in subjects with poor functional outcome than those with good functional outcome</w:t>
            </w:r>
          </w:p>
        </w:tc>
      </w:tr>
      <w:tr w:rsidR="00236A5B" w:rsidRPr="00F7228F" w14:paraId="0F2C1358" w14:textId="77777777" w:rsidTr="00236A5B">
        <w:trPr>
          <w:trHeight w:val="2772"/>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44F1ACC" w14:textId="181C2E43"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Al-Tamimi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-1","issued":{"date-parts":[["2019","11","1"]]},"publisher":"Cytokine","title":"Compartmentalisation of the inflammatory response following aneurysmal subarachnoid haemorrhage","type":"article-journal","volume":"123"},"uris":["http://www.mendeley.com/documents/?uuid=3ea37f2c-2423-40f3-aa94-54cc1f8c4b7d"]}],"mendeley":{"formattedCitation":"(47)","plainTextFormattedCitation":"(47)","previouslyFormattedCitation":"(47)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9C3FDB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43 SAH</w:t>
            </w:r>
            <w:r w:rsidRPr="00F7228F">
              <w:rPr>
                <w:rFonts w:ascii="Arial" w:eastAsia="Times New Roman" w:hAnsi="Arial" w:cs="Arial"/>
                <w:color w:val="000000"/>
              </w:rPr>
              <w:br/>
              <w:t>11 controls</w:t>
            </w:r>
          </w:p>
        </w:tc>
        <w:tc>
          <w:tcPr>
            <w:tcW w:w="559" w:type="pct"/>
            <w:tcBorders>
              <w:top w:val="nil"/>
              <w:left w:val="nil"/>
              <w:bottom w:val="single" w:sz="4" w:space="0" w:color="auto"/>
              <w:right w:val="single" w:sz="4" w:space="0" w:color="auto"/>
            </w:tcBorders>
            <w:shd w:val="clear" w:color="auto" w:fill="auto"/>
            <w:vAlign w:val="center"/>
            <w:hideMark/>
          </w:tcPr>
          <w:p w14:paraId="0EE94E3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769792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IL-1α, IL-1β, IL-</w:t>
            </w:r>
            <w:proofErr w:type="gramStart"/>
            <w:r w:rsidRPr="00F7228F">
              <w:rPr>
                <w:rFonts w:ascii="Arial" w:eastAsia="Times New Roman" w:hAnsi="Arial" w:cs="Arial"/>
                <w:color w:val="000000"/>
              </w:rPr>
              <w:t>4,  IL</w:t>
            </w:r>
            <w:proofErr w:type="gramEnd"/>
            <w:r w:rsidRPr="00F7228F">
              <w:rPr>
                <w:rFonts w:ascii="Arial" w:eastAsia="Times New Roman" w:hAnsi="Arial" w:cs="Arial"/>
                <w:color w:val="000000"/>
              </w:rPr>
              <w:t>-6, IL-8, IL-10, IL-15, IL-17, IL-18, TNF-α, MCP-1, VEGF</w:t>
            </w:r>
          </w:p>
        </w:tc>
        <w:tc>
          <w:tcPr>
            <w:tcW w:w="661" w:type="pct"/>
            <w:tcBorders>
              <w:top w:val="nil"/>
              <w:left w:val="nil"/>
              <w:bottom w:val="single" w:sz="4" w:space="0" w:color="auto"/>
              <w:right w:val="single" w:sz="4" w:space="0" w:color="auto"/>
            </w:tcBorders>
            <w:shd w:val="clear" w:color="auto" w:fill="auto"/>
            <w:vAlign w:val="center"/>
            <w:hideMark/>
          </w:tcPr>
          <w:p w14:paraId="145AA93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w:t>
            </w:r>
          </w:p>
        </w:tc>
        <w:tc>
          <w:tcPr>
            <w:tcW w:w="475" w:type="pct"/>
            <w:tcBorders>
              <w:top w:val="nil"/>
              <w:left w:val="nil"/>
              <w:bottom w:val="single" w:sz="4" w:space="0" w:color="auto"/>
              <w:right w:val="single" w:sz="4" w:space="0" w:color="auto"/>
            </w:tcBorders>
            <w:shd w:val="clear" w:color="auto" w:fill="auto"/>
            <w:vAlign w:val="center"/>
            <w:hideMark/>
          </w:tcPr>
          <w:p w14:paraId="751A4BB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1-3, 5, 7, 9</w:t>
            </w:r>
          </w:p>
        </w:tc>
        <w:tc>
          <w:tcPr>
            <w:tcW w:w="603" w:type="pct"/>
            <w:tcBorders>
              <w:top w:val="nil"/>
              <w:left w:val="nil"/>
              <w:bottom w:val="single" w:sz="4" w:space="0" w:color="auto"/>
              <w:right w:val="single" w:sz="4" w:space="0" w:color="auto"/>
            </w:tcBorders>
            <w:shd w:val="clear" w:color="auto" w:fill="auto"/>
            <w:vAlign w:val="center"/>
            <w:hideMark/>
          </w:tcPr>
          <w:p w14:paraId="0CD88AA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CSF concentrations were significantly higher in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patients compared to controls for all mediators (except for IL-1α) at all time points, except day 9.  Plasma IL-1α levels in the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w:t>
            </w:r>
            <w:r w:rsidRPr="00F7228F">
              <w:rPr>
                <w:rFonts w:ascii="Arial" w:eastAsia="Times New Roman" w:hAnsi="Arial" w:cs="Arial"/>
                <w:color w:val="000000"/>
              </w:rPr>
              <w:lastRenderedPageBreak/>
              <w:t xml:space="preserve">group were significantly lower than in controls on days 3, 5 and 7. Plasma IL-6 and IL-8 levels were significantly higher on days 5 and 7. Cytokine concentrations were consistently higher in CSF apart from IL to 1α and IL-18 (which were higher in plasma) </w:t>
            </w:r>
          </w:p>
        </w:tc>
        <w:tc>
          <w:tcPr>
            <w:tcW w:w="573" w:type="pct"/>
            <w:tcBorders>
              <w:top w:val="nil"/>
              <w:left w:val="nil"/>
              <w:bottom w:val="single" w:sz="4" w:space="0" w:color="auto"/>
              <w:right w:val="single" w:sz="4" w:space="0" w:color="auto"/>
            </w:tcBorders>
            <w:shd w:val="clear" w:color="auto" w:fill="auto"/>
            <w:vAlign w:val="center"/>
            <w:hideMark/>
          </w:tcPr>
          <w:p w14:paraId="6A4CA97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 xml:space="preserve">DIND at unspecified time point,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10 days and 6 months</w:t>
            </w:r>
          </w:p>
        </w:tc>
        <w:tc>
          <w:tcPr>
            <w:tcW w:w="607" w:type="pct"/>
            <w:tcBorders>
              <w:top w:val="nil"/>
              <w:left w:val="nil"/>
              <w:bottom w:val="single" w:sz="4" w:space="0" w:color="auto"/>
              <w:right w:val="single" w:sz="4" w:space="0" w:color="auto"/>
            </w:tcBorders>
            <w:shd w:val="clear" w:color="auto" w:fill="auto"/>
            <w:vAlign w:val="center"/>
            <w:hideMark/>
          </w:tcPr>
          <w:p w14:paraId="1A0D66C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When comparing DIND and non-DIND patients, only IL-4 was statistically significantly higher in the DIND group. Day 3 plasma IL-6 levels predicted poor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outcome at six months, although this </w:t>
            </w:r>
            <w:r w:rsidRPr="00F7228F">
              <w:rPr>
                <w:rFonts w:ascii="Arial" w:eastAsia="Times New Roman" w:hAnsi="Arial" w:cs="Arial"/>
                <w:color w:val="000000"/>
              </w:rPr>
              <w:lastRenderedPageBreak/>
              <w:t>association was lost in the second analysis incorporating Fisher grade, WFNS grade and age.</w:t>
            </w:r>
          </w:p>
        </w:tc>
      </w:tr>
      <w:tr w:rsidR="00236A5B" w:rsidRPr="00F7228F" w14:paraId="7687796B" w14:textId="77777777" w:rsidTr="00236A5B">
        <w:trPr>
          <w:trHeight w:val="588"/>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28EEDBE8" w14:textId="5883179A"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Matsumoto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{"citationItems":[{"id":"ITEM-1","itemData":{"DOI":"10.18926/AMO/56456","ISSN":"0386-300X","PMID":"30820052","abstract":"Cerebral vasospasm (CVS) is a major contributor to the high morbidity and mortality of aneurysmal subarachnoid hemorrhage (aSAH) patients. We measured histidine-rich glycoprotein (HRG), a new biomarker of aSAH, in cerebrospinal fluid (CSF) to investigate whether HRG might be an early predictor of CVS. A total of seven controls and 14 aSAH patients (8 males, 6 females aged 53.4±15.4 years) were enrolled, and serial CSF and serum samples were taken. We allocated these samples to three phases (T1-T3) and measured HRG, interleukin (IL)-6, fibrinopeptide A (FpA), and 8-hydroxy-2'-deoxyguanosine (8OHdG) in the CSF, and the HRG in serum. We also examined the release of HRG in rat blood incubated in artificial CSF. In contrast to the other biomarkers examined, the change in the CSF HRG concentration was significantly different between the nonspasm and spasm groups (p &lt; 0.01). The rat blood/CSF model revealed a time course similar to that of the human CSF samples in the non-spasm group. HRG thus appears to have the potential to become an early predictor of CVS. In addition, the interaction of HRG with IL-6, FpA, and 8OHdG may form the pathology of CVS.","author":[{"dropping-particle":"","family":"Matsumoto","given":"Atsushi","non-dropping-particle":"","parse-names":false,"suffix":""},{"dropping-particle":"","family":"Nakamura","given":"Takehiro","non-dropping-particle":"","parse-names":false,"suffix":""},{"dropping-particle":"","family":"Shinomiya","given":"Aya","non-dropping-particle":"","parse-names":false,"suffix":""},{"dropping-particle":"","family":"Kawakita","given":"Kenya","non-dropping-particle":"","parse-names":false,"suffix":""},{"dropping-particle":"","family":"Kawanishi","given":"Masahiko","non-dropping-particle":"","parse-names":false,"suffix":""},{"dropping-particle":"","family":"Miyake","given":"Keisuke","non-dropping-particle":"","parse-names":false,"suffix":""},{"dropping-particle":"","family":"Kuroda","given":"Yasuhiro","non-dropping-particle":"","parse-names":false,"suffix":""},{"dropping-particle":"","family":"Keep","given":"Richard F.","non-dropping-particle":"","parse-names":false,"suffix":""},{"dropping-particle":"","family":"Tamiya","given":"Takashi","non-dropping-particle":"","parse-names":false,"suffix":""}],"container-title":"Acta medica Okayama","id":"ITEM-1","issue":"1","issued":{"date-parts":[["2019"]]},"page":"29-39","publisher":"Acta Med Okayama","title":"Histidine-rich Glycoprotein Could Be an Early Predictor of Vasospasm after Aneurysmal Subarachnoid Hemorrhage","type":"article-journal","volume":"73"},"uris":["http://www.mendeley.com/documents/?uuid=8f487f11-f788-4095-990c-1303d3c186ac"]}],"mendeley":{"formattedCitation":"(48)","plainTextFormattedCitation":"(48)","previouslyFormattedCitation":"(48)"},"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(48)</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E770AF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14 SAH</w:t>
            </w:r>
            <w:r w:rsidRPr="00F7228F">
              <w:rPr>
                <w:rFonts w:ascii="Arial" w:eastAsia="Times New Roman" w:hAnsi="Arial" w:cs="Arial"/>
                <w:color w:val="000000"/>
              </w:rPr>
              <w:br/>
              <w:t>7 controls</w:t>
            </w:r>
          </w:p>
        </w:tc>
        <w:tc>
          <w:tcPr>
            <w:tcW w:w="559" w:type="pct"/>
            <w:tcBorders>
              <w:top w:val="nil"/>
              <w:left w:val="nil"/>
              <w:bottom w:val="single" w:sz="4" w:space="0" w:color="auto"/>
              <w:right w:val="single" w:sz="4" w:space="0" w:color="auto"/>
            </w:tcBorders>
            <w:shd w:val="clear" w:color="auto" w:fill="auto"/>
            <w:vAlign w:val="center"/>
            <w:hideMark/>
          </w:tcPr>
          <w:p w14:paraId="67EC0AE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Retrospective observational study</w:t>
            </w:r>
          </w:p>
        </w:tc>
        <w:tc>
          <w:tcPr>
            <w:tcW w:w="502" w:type="pct"/>
            <w:tcBorders>
              <w:top w:val="nil"/>
              <w:left w:val="nil"/>
              <w:bottom w:val="single" w:sz="4" w:space="0" w:color="auto"/>
              <w:right w:val="single" w:sz="4" w:space="0" w:color="auto"/>
            </w:tcBorders>
            <w:shd w:val="clear" w:color="auto" w:fill="auto"/>
            <w:vAlign w:val="center"/>
            <w:hideMark/>
          </w:tcPr>
          <w:p w14:paraId="656B3F3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E65387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6C34D186" w14:textId="77777777" w:rsidR="00236A5B" w:rsidRPr="00F7228F" w:rsidRDefault="00236A5B" w:rsidP="000B242D">
            <w:pPr>
              <w:spacing w:after="0" w:line="240" w:lineRule="auto"/>
              <w:jc w:val="center"/>
              <w:rPr>
                <w:rFonts w:ascii="Arial" w:eastAsia="Times New Roman" w:hAnsi="Arial" w:cs="Arial"/>
                <w:color w:val="000000"/>
              </w:rPr>
            </w:pPr>
            <w:proofErr w:type="gramStart"/>
            <w:r w:rsidRPr="00F7228F">
              <w:rPr>
                <w:rFonts w:ascii="Arial" w:eastAsia="Times New Roman" w:hAnsi="Arial" w:cs="Arial"/>
                <w:color w:val="000000"/>
              </w:rPr>
              <w:t>Hours  3</w:t>
            </w:r>
            <w:proofErr w:type="gramEnd"/>
            <w:r w:rsidRPr="00F7228F">
              <w:rPr>
                <w:rFonts w:ascii="Arial" w:eastAsia="Times New Roman" w:hAnsi="Arial" w:cs="Arial"/>
                <w:color w:val="000000"/>
              </w:rPr>
              <w:t xml:space="preserve"> , 48 , 96 , 144 , 192, 240</w:t>
            </w:r>
          </w:p>
        </w:tc>
        <w:tc>
          <w:tcPr>
            <w:tcW w:w="603" w:type="pct"/>
            <w:tcBorders>
              <w:top w:val="nil"/>
              <w:left w:val="nil"/>
              <w:bottom w:val="single" w:sz="4" w:space="0" w:color="auto"/>
              <w:right w:val="single" w:sz="4" w:space="0" w:color="auto"/>
            </w:tcBorders>
            <w:shd w:val="clear" w:color="auto" w:fill="auto"/>
            <w:vAlign w:val="center"/>
            <w:hideMark/>
          </w:tcPr>
          <w:p w14:paraId="4156F1C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 CSF IL-6 concentration was lowest within the first 48 hours</w:t>
            </w:r>
          </w:p>
        </w:tc>
        <w:tc>
          <w:tcPr>
            <w:tcW w:w="573" w:type="pct"/>
            <w:tcBorders>
              <w:top w:val="nil"/>
              <w:left w:val="nil"/>
              <w:bottom w:val="single" w:sz="4" w:space="0" w:color="auto"/>
              <w:right w:val="single" w:sz="4" w:space="0" w:color="auto"/>
            </w:tcBorders>
            <w:shd w:val="clear" w:color="auto" w:fill="auto"/>
            <w:vAlign w:val="center"/>
            <w:hideMark/>
          </w:tcPr>
          <w:p w14:paraId="3F86089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during admission</w:t>
            </w:r>
          </w:p>
        </w:tc>
        <w:tc>
          <w:tcPr>
            <w:tcW w:w="607" w:type="pct"/>
            <w:tcBorders>
              <w:top w:val="nil"/>
              <w:left w:val="nil"/>
              <w:bottom w:val="single" w:sz="4" w:space="0" w:color="auto"/>
              <w:right w:val="single" w:sz="4" w:space="0" w:color="auto"/>
            </w:tcBorders>
            <w:shd w:val="clear" w:color="auto" w:fill="auto"/>
            <w:vAlign w:val="center"/>
            <w:hideMark/>
          </w:tcPr>
          <w:p w14:paraId="1403F2D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 CSF IL-6 concentration increased after DSA in patients who had vasospasm evident on DSA</w:t>
            </w:r>
          </w:p>
        </w:tc>
      </w:tr>
      <w:tr w:rsidR="00236A5B" w:rsidRPr="00F7228F" w14:paraId="1B883B11" w14:textId="77777777" w:rsidTr="00236A5B">
        <w:trPr>
          <w:trHeight w:val="1116"/>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4649E5DF" w14:textId="1211710A"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Rasmussen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{"citationItems":[{"id":"ITEM-1","itemData":{"DOI":"10.1016/J.WNEU.2019.05.102","ISSN":"1878-8769","PMID":"31121365","abstract":"Background: Delayed cerebral ischemia (DCI) is a serious and frequent complication following subarachnoid hemorrhage (SAH). The pathophysiology behind DCI remains poorly understood, but inflammation has been proposed to play a significant role. This study investigated the relationship between plasma levels of some of the most important inflammatory markers and DCI, cerebral vasospasm, and functional outcome in patients with SAH. Methods: In 90 patients with SAH, interleukin-6, intercellular adhesion molecule-1, vascular cell adhesion molecule-1, high sensitivity C-reactive protein (HsCRP), interleukin-8, interleukin-10, interferon gamma, and tumor necrosis factor alpha were measured in peripheral blood day 3 and day 8 after SAH. Any occurrence of DCI or infection was recorded, and computed tomography angiography was performed on day 8. Clinical outcome was assessed after 3 months. Results: HsCRP on day 3 was higher in patients with angiographic vasospasm (P = 0.003), and HsCRP on day 8 was higher in patients with poor outcome (P = 0.014). No association with DCI, vasospasm, or outcome was found for any of the remaining analyzed substances. Conclusions: High plasma levels of HsCRP were significantly associated with angiographic vasospasm and clinical outcome. Plasma levels of interleukin-6, vascular cell adhesion molecule-1, intercellular adhesion molecule-1, interleukin-8, interleukin-10, interferon gamma, and tumor necrosis factor alpha were not associated with DCI, angiographic vasospasm, or clinical outcome at 3 months.","author":[{"dropping-particle":"","family":"Rasmussen","given":"Rune","non-dropping-particle":"","parse-names":false,"suffix":""},{"dropping-particle":"","family":"Bache","given":"Søren","non-dropping-particle":"","parse-names":false,"suffix":""},{"dropping-particle":"","family":"Stavngaard","given":"T.","non-dropping-particle":"","parse-names":false,"suffix":""},{"dropping-particle":"","family":"Møller","given":"Kirsten","non-dropping-particle":"","parse-names":false,"suffix":""}],"container-title":"World neurosurgery","id":"ITEM-1","issued":{"date-parts":[["2019","8","1"]]},"page":"e1131-e1136","publisher":"World Neurosurg","title":"Plasma Levels of IL-6, IL-8, IL-10, ICAM-1, VCAM-1, IFNγ, and TNFα are not Associated with Delayed Cerebral Ischemia, Cerebral Vasospasm, or Clinical Outcome in Patients with Subarachnoid Hemorrhage","type":"article-journal","volume":"128"},"uris":["http://www.mendeley.com/documents/?uuid=1764bbe0-168e-3810-b5d4-0e9ff5ec4db9"]}],"mendeley":{"formattedCitation":"(49)","plainTextFormattedCitation":"(49)","previouslyFormattedCitation":"(49)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(49)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C047A5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90 SAH</w:t>
            </w:r>
          </w:p>
        </w:tc>
        <w:tc>
          <w:tcPr>
            <w:tcW w:w="559" w:type="pct"/>
            <w:tcBorders>
              <w:top w:val="nil"/>
              <w:left w:val="nil"/>
              <w:bottom w:val="single" w:sz="4" w:space="0" w:color="auto"/>
              <w:right w:val="single" w:sz="4" w:space="0" w:color="auto"/>
            </w:tcBorders>
            <w:shd w:val="clear" w:color="auto" w:fill="auto"/>
            <w:vAlign w:val="center"/>
            <w:hideMark/>
          </w:tcPr>
          <w:p w14:paraId="72D6761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87DD87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IL-6, IL-8, IL-10, </w:t>
            </w:r>
            <w:proofErr w:type="spellStart"/>
            <w:r w:rsidRPr="00F7228F">
              <w:rPr>
                <w:rFonts w:ascii="Arial" w:eastAsia="Times New Roman" w:hAnsi="Arial" w:cs="Arial"/>
                <w:color w:val="000000"/>
              </w:rPr>
              <w:t>IFNγ</w:t>
            </w:r>
            <w:proofErr w:type="spellEnd"/>
            <w:r w:rsidRPr="00F7228F">
              <w:rPr>
                <w:rFonts w:ascii="Arial" w:eastAsia="Times New Roman" w:hAnsi="Arial" w:cs="Arial"/>
                <w:color w:val="000000"/>
              </w:rPr>
              <w:t>, TNF-α</w:t>
            </w:r>
          </w:p>
        </w:tc>
        <w:tc>
          <w:tcPr>
            <w:tcW w:w="661" w:type="pct"/>
            <w:tcBorders>
              <w:top w:val="nil"/>
              <w:left w:val="nil"/>
              <w:bottom w:val="single" w:sz="4" w:space="0" w:color="auto"/>
              <w:right w:val="single" w:sz="4" w:space="0" w:color="auto"/>
            </w:tcBorders>
            <w:shd w:val="clear" w:color="auto" w:fill="auto"/>
            <w:vAlign w:val="center"/>
            <w:hideMark/>
          </w:tcPr>
          <w:p w14:paraId="7EE6A51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715895A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2-4, 7-9</w:t>
            </w:r>
          </w:p>
        </w:tc>
        <w:tc>
          <w:tcPr>
            <w:tcW w:w="603" w:type="pct"/>
            <w:tcBorders>
              <w:top w:val="nil"/>
              <w:left w:val="nil"/>
              <w:bottom w:val="single" w:sz="4" w:space="0" w:color="auto"/>
              <w:right w:val="single" w:sz="4" w:space="0" w:color="auto"/>
            </w:tcBorders>
            <w:shd w:val="clear" w:color="auto" w:fill="auto"/>
            <w:vAlign w:val="center"/>
            <w:hideMark/>
          </w:tcPr>
          <w:p w14:paraId="6E73401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566F041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on day 7-9, DCI during admission, </w:t>
            </w:r>
            <w:r w:rsidRPr="00F7228F">
              <w:rPr>
                <w:rFonts w:ascii="Arial" w:eastAsia="Times New Roman" w:hAnsi="Arial" w:cs="Arial"/>
                <w:color w:val="000000"/>
              </w:rPr>
              <w:lastRenderedPageBreak/>
              <w:t>GOS at 3 months</w:t>
            </w:r>
          </w:p>
        </w:tc>
        <w:tc>
          <w:tcPr>
            <w:tcW w:w="607" w:type="pct"/>
            <w:tcBorders>
              <w:top w:val="nil"/>
              <w:left w:val="nil"/>
              <w:bottom w:val="single" w:sz="4" w:space="0" w:color="auto"/>
              <w:right w:val="single" w:sz="4" w:space="0" w:color="auto"/>
            </w:tcBorders>
            <w:shd w:val="clear" w:color="auto" w:fill="auto"/>
            <w:vAlign w:val="center"/>
            <w:hideMark/>
          </w:tcPr>
          <w:p w14:paraId="7BFC5CF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 xml:space="preserve">Plasma levels of IL-6, IL-8, IL-10, </w:t>
            </w:r>
            <w:proofErr w:type="spellStart"/>
            <w:r w:rsidRPr="00F7228F">
              <w:rPr>
                <w:rFonts w:ascii="Arial" w:eastAsia="Times New Roman" w:hAnsi="Arial" w:cs="Arial"/>
                <w:color w:val="000000"/>
              </w:rPr>
              <w:t>IFNγ</w:t>
            </w:r>
            <w:proofErr w:type="spellEnd"/>
            <w:r w:rsidRPr="00F7228F">
              <w:rPr>
                <w:rFonts w:ascii="Arial" w:eastAsia="Times New Roman" w:hAnsi="Arial" w:cs="Arial"/>
                <w:color w:val="000000"/>
              </w:rPr>
              <w:t xml:space="preserve">, and TNF-α were not </w:t>
            </w:r>
            <w:r w:rsidRPr="00F7228F">
              <w:rPr>
                <w:rFonts w:ascii="Arial" w:eastAsia="Times New Roman" w:hAnsi="Arial" w:cs="Arial"/>
                <w:color w:val="000000"/>
              </w:rPr>
              <w:lastRenderedPageBreak/>
              <w:t xml:space="preserve">associated with DCI, vasospasm, or GOS at 3 months </w:t>
            </w:r>
          </w:p>
        </w:tc>
      </w:tr>
      <w:tr w:rsidR="00236A5B" w:rsidRPr="00F7228F" w14:paraId="3153FC58" w14:textId="77777777" w:rsidTr="00236A5B">
        <w:trPr>
          <w:trHeight w:val="82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44EB70B" w14:textId="56A220C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Ridwan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{"citationItems":[{"id":"ITEM-1","itemData":{"DOI":"10.1055/S-0039-1677827","ISSN":"2193-6323","PMID":"31272120","abstract":"Objective âTo highlight the impact of aneurysmal subarachnoid hemorrhage (SAH) on surviving patients' health-related quality of life (HRQoL) with respect to cortisol and interleukin (IL)-6 alterations and also to identify possible clinical predictors for a better HRQoL. Methods âFifty surviving patients treated in our hospital for aneurysmal SAH in a 2-year period with sufficient HRQoL data were enrolled. A good clinical outcome was represented by the modified Rankin Scale (MRS) 0 to 2. The patient's HRQoL was assessed using the Short Form health survey questionnaire, the Beck Depression Inventory, and the Daily Fatigue Impact Scale at 6 and 12 months. The results were analyzed regarding possible correlation to 24-hour urinary free cortisol, serum, and cerebrospinal fluid IL-6 levels. Results âA reduction of HRQoL in up to 35% of survivors was observed at 6 months and in a high proportion of patients (47.2%) with an assumable good outcome (MRS 0-2). Reduced HRQoL in survivors was found in terms of SF-36 (34.9%), depression (26.8%), and fatigue (14%) at 6 months and 18.4%, 39.4%, and 18.9% at 12 months, respectively. Improvement was recorded at 12 months, mainly in SF-36. Early elevated 24-hour urinary free cortisol and IL-6 levels showed a significant positive impact on HRQoL. Conclusions âEarly cortisol and IL-6 levels may predict patients' HRQoL after SAH. Twelve months after SAH, a considerable percentage of patients with a presumably good outcome (MRS 0-2) had a lower HRQoL compared with the general population. Implementing corresponding tests at discharge and 12-month follow-up is recommended.","author":[{"dropping-particle":"","family":"Ridwan","given":"Sami","non-dropping-particle":"","parse-names":false,"suffix":""},{"dropping-particle":"","family":"Greschus","given":"Susanne","non-dropping-particle":"","parse-names":false,"suffix":""},{"dropping-particle":"","family":"Boström","given":"Jan","non-dropping-particle":"","parse-names":false,"suffix":""},{"dropping-particle":"","family":"Barrera","given":"Julio","non-dropping-particle":"","parse-names":false,"suffix":""},{"dropping-particle":"","family":"Esche","given":"Jonas","non-dropping-particle":"","parse-names":false,"suffix":""},{"dropping-particle":"","family":"Zur","given":"Bernd","non-dropping-particle":"","parse-names":false,"suffix":""},{"dropping-particle":"","family":"Klingmüller","given":"Dietrich","non-dropping-particle":"","parse-names":false,"suffix":""},{"dropping-particle":"","family":"Boström","given":"Azize","non-dropping-particle":"","parse-names":false,"suffix":""}],"container-title":"Journal of neurological surgery. Part A, Central European neurosurgery","id":"ITEM-1","issue":"5","issued":{"date-parts":[["2019"]]},"page":"371-380","publisher":"J Neurol Surg A Cent Eur Neurosurg","title":"Spontaneous Aneurysmal Subarachnoid Hemorrhage and Related Cortisol and Immunologic Alterations: Impact on Patients' Health-related Quality of Life","type":"article-journal","volume":"80"},"uris":["http://www.mendeley.com/documents/?uuid=5d112380-a4a4-386c-8463-6b91b3590fd0"]}],"mendeley":{"formattedCitation":"(50)","plainTextFormattedCitation":"(50)","previouslyFormattedCitation":"(50)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(50)</w:t>
            </w:r>
            <w:r w:rsidRPr="00F7228F">
              <w:rPr>
                <w:rFonts w:ascii="Arial" w:eastAsia="Times New Roman" w:hAnsi="Arial" w:cs="Arial"/>
                <w:b/>
                <w:bCs/>
                <w:color w:val="000000"/>
              </w:rPr>
              <w:fldChar w:fldCharType="end"/>
            </w:r>
            <w:r w:rsidRPr="00F7228F">
              <w:rPr>
                <w:rFonts w:ascii="Arial" w:eastAsia="Times New Roman" w:hAnsi="Arial" w:cs="Arial"/>
                <w:b/>
                <w:bCs/>
                <w:color w:val="000000"/>
              </w:rPr>
              <w:t xml:space="preserve"> </w:t>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AD0FFD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50 SAH</w:t>
            </w:r>
          </w:p>
        </w:tc>
        <w:tc>
          <w:tcPr>
            <w:tcW w:w="559" w:type="pct"/>
            <w:tcBorders>
              <w:top w:val="nil"/>
              <w:left w:val="nil"/>
              <w:bottom w:val="single" w:sz="4" w:space="0" w:color="auto"/>
              <w:right w:val="single" w:sz="4" w:space="0" w:color="auto"/>
            </w:tcBorders>
            <w:shd w:val="clear" w:color="auto" w:fill="auto"/>
            <w:vAlign w:val="center"/>
            <w:hideMark/>
          </w:tcPr>
          <w:p w14:paraId="6EF44CB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D3133A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53972F4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69FED8E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3, 7, 14, 21</w:t>
            </w:r>
          </w:p>
        </w:tc>
        <w:tc>
          <w:tcPr>
            <w:tcW w:w="603" w:type="pct"/>
            <w:tcBorders>
              <w:top w:val="nil"/>
              <w:left w:val="nil"/>
              <w:bottom w:val="single" w:sz="4" w:space="0" w:color="auto"/>
              <w:right w:val="single" w:sz="4" w:space="0" w:color="auto"/>
            </w:tcBorders>
            <w:shd w:val="clear" w:color="auto" w:fill="auto"/>
            <w:vAlign w:val="center"/>
            <w:hideMark/>
          </w:tcPr>
          <w:p w14:paraId="70D391F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 CSF IL-6 levels were significantly higher than serum IL-6 levels</w:t>
            </w:r>
          </w:p>
        </w:tc>
        <w:tc>
          <w:tcPr>
            <w:tcW w:w="573" w:type="pct"/>
            <w:tcBorders>
              <w:top w:val="nil"/>
              <w:left w:val="nil"/>
              <w:bottom w:val="single" w:sz="4" w:space="0" w:color="auto"/>
              <w:right w:val="single" w:sz="4" w:space="0" w:color="auto"/>
            </w:tcBorders>
            <w:shd w:val="clear" w:color="auto" w:fill="auto"/>
            <w:vAlign w:val="center"/>
            <w:hideMark/>
          </w:tcPr>
          <w:p w14:paraId="7F92D910"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GOS, Short Form health survey questionnaire, the Beck Depression Inventory, and the Daily Fatigue Impact Scale at 6 and 12 months.</w:t>
            </w:r>
          </w:p>
        </w:tc>
        <w:tc>
          <w:tcPr>
            <w:tcW w:w="607" w:type="pct"/>
            <w:tcBorders>
              <w:top w:val="nil"/>
              <w:left w:val="nil"/>
              <w:bottom w:val="single" w:sz="4" w:space="0" w:color="auto"/>
              <w:right w:val="single" w:sz="4" w:space="0" w:color="auto"/>
            </w:tcBorders>
            <w:shd w:val="clear" w:color="auto" w:fill="auto"/>
            <w:vAlign w:val="center"/>
            <w:hideMark/>
          </w:tcPr>
          <w:p w14:paraId="3F9E273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Higher IL-6 serum levels were associated with reduced fatigue</w:t>
            </w:r>
          </w:p>
        </w:tc>
      </w:tr>
      <w:tr w:rsidR="00236A5B" w:rsidRPr="00F7228F" w14:paraId="61386877" w14:textId="77777777" w:rsidTr="00236A5B">
        <w:trPr>
          <w:trHeight w:val="1944"/>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E0483BF" w14:textId="28ADFA98"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Vlachogiannis</w:t>
            </w:r>
            <w:proofErr w:type="spellEnd"/>
            <w:r w:rsidRPr="00F7228F">
              <w:rPr>
                <w:rFonts w:ascii="Arial" w:eastAsia="Times New Roman" w:hAnsi="Arial" w:cs="Arial"/>
                <w:b/>
                <w:bCs/>
                <w:color w:val="000000"/>
              </w:rPr>
              <w:t xml:space="preserve"> et al., 2019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{"citationItems":[{"id":"ITEM-1","itemData":{"DOI":"10.1016/J.WNEU.2018.10.113","ISSN":"1878-8769","PMID":"30814021","abstract":"Background: Inflammatory processes play a key role in the pathophysiology of subarachnoid hemorrhage (SAH). This study evaluated whether different temporal patterns of intrathecal and systemic inflammation could be identified in the acute phase after SAH. The intensity of the inflammation was also assessed in clinical subgroups. Methods: Cerebrospinal fluid (CSF) and blood samples were collected at days 1, 4, and 10 after ictus in 44 patients with severe SAH. Interleukin-6 (IL-6) was analyzed by a routine monoclonal antibody-based method. Median IL-6 values for each day were calculated. Day 4 IL-6 values were compared in dichotomized groups (age, sex, World Federation of Neurosurgical Societies [WFNS] grade, Fisher scale grade, outcome, vasospasm, central nervous system infection and systemic infections). Results: CSF IL-6 levels were significantly elevated from day 1 to days 4 and 10, whereas plasma IL-6 showed a different trend at lower levels. Median CSF IL-6 concentrations for days 1, 4, and 10 were 876.5, 3361, and 1567 ng/L, whereas plasma was 26, 27.5, and 15.9 ng/L, respectively. No significant differences in CSF concentrations were observed between the subgroups, with the most prominent one being in day 4 IL-6 in the WFNS subgroups (grades 1–3 vs. 4–5, 1158.5 vs. 5538 ng/L; P = 0.056). Patients with systemic infection had significantly higher plasma IL-6 concentrations than patients without infection (31 vs. 16.05 ng/L, respectively; P = 0.028). Conclusions: Distinctly different inflammatory patterns could be seen intrathecally compared with the systemic circulation. In plasma, a significant difference in the intensity of the inflammation was seen in cases with systemic infection. No other subgroup showed statistically significant differences.","author":[{"dropping-particle":"","family":"Vlachogiannis","given":"Pavlos","non-dropping-particle":"","parse-names":false,"suffix":""},{"dropping-particle":"","family":"Hillered","given":"Lars","non-dropping-particle":"","parse-names":false,"suffix":""},{"dropping-particle":"","family":"Khalil","given":"Fattema","non-dropping-particle":"","parse-names":false,"suffix":""},{"dropping-particle":"","family":"Enblad","given":"Per","non-dropping-particle":"","parse-names":false,"suffix":""},{"dropping-particle":"","family":"Ronne-Engström","given":"Elisabeth","non-dropping-particle":"","parse-names":false,"suffix":""}],"container-title":"World neurosurgery","id":"ITEM-1","issued":{"date-parts":[["2019","2","1"]]},"page":"e612-e618","publisher":"World Neurosurg","title":"Interleukin-6 Levels in Cerebrospinal Fluid and Plasma in Patients with Severe Spontaneous Subarachnoid Hemorrhage","type":"article-journal","volume":"122"},"uris":["http://www.mendeley.com/documents/?uuid=1bcb69b6-70ff-4861-91e1-b2ae40f7e345"]}],"mendeley":{"formattedCitation":"(51)","plainTextFormattedCitation":"(51)","previouslyFormattedCitation":"(51)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E3F370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44 SAH</w:t>
            </w:r>
          </w:p>
        </w:tc>
        <w:tc>
          <w:tcPr>
            <w:tcW w:w="559" w:type="pct"/>
            <w:tcBorders>
              <w:top w:val="nil"/>
              <w:left w:val="nil"/>
              <w:bottom w:val="single" w:sz="4" w:space="0" w:color="auto"/>
              <w:right w:val="single" w:sz="4" w:space="0" w:color="auto"/>
            </w:tcBorders>
            <w:shd w:val="clear" w:color="auto" w:fill="auto"/>
            <w:vAlign w:val="center"/>
            <w:hideMark/>
          </w:tcPr>
          <w:p w14:paraId="2A2F4FD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74163FA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14948FA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plasma</w:t>
            </w:r>
          </w:p>
        </w:tc>
        <w:tc>
          <w:tcPr>
            <w:tcW w:w="475" w:type="pct"/>
            <w:tcBorders>
              <w:top w:val="nil"/>
              <w:left w:val="nil"/>
              <w:bottom w:val="single" w:sz="4" w:space="0" w:color="auto"/>
              <w:right w:val="single" w:sz="4" w:space="0" w:color="auto"/>
            </w:tcBorders>
            <w:shd w:val="clear" w:color="auto" w:fill="auto"/>
            <w:vAlign w:val="center"/>
            <w:hideMark/>
          </w:tcPr>
          <w:p w14:paraId="2257FD7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0-1, 4, 10</w:t>
            </w:r>
          </w:p>
        </w:tc>
        <w:tc>
          <w:tcPr>
            <w:tcW w:w="603" w:type="pct"/>
            <w:tcBorders>
              <w:top w:val="nil"/>
              <w:left w:val="nil"/>
              <w:bottom w:val="single" w:sz="4" w:space="0" w:color="auto"/>
              <w:right w:val="single" w:sz="4" w:space="0" w:color="auto"/>
            </w:tcBorders>
            <w:shd w:val="clear" w:color="auto" w:fill="auto"/>
            <w:vAlign w:val="center"/>
            <w:hideMark/>
          </w:tcPr>
          <w:p w14:paraId="24A3AB7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 In CSF, the initial IL-6 levels on day 1 were followed by significantly increased IL-6 values on day 4 that had decreased on day </w:t>
            </w:r>
            <w:proofErr w:type="gramStart"/>
            <w:r w:rsidRPr="00F7228F">
              <w:rPr>
                <w:rFonts w:ascii="Arial" w:eastAsia="Times New Roman" w:hAnsi="Arial" w:cs="Arial"/>
                <w:color w:val="000000"/>
              </w:rPr>
              <w:t>10, but</w:t>
            </w:r>
            <w:proofErr w:type="gramEnd"/>
            <w:r w:rsidRPr="00F7228F">
              <w:rPr>
                <w:rFonts w:ascii="Arial" w:eastAsia="Times New Roman" w:hAnsi="Arial" w:cs="Arial"/>
                <w:color w:val="000000"/>
              </w:rPr>
              <w:t xml:space="preserve"> still remained significantly higher than the day 1 values. In plasma, IL-6 values were </w:t>
            </w:r>
            <w:r w:rsidRPr="00F7228F">
              <w:rPr>
                <w:rFonts w:ascii="Arial" w:eastAsia="Times New Roman" w:hAnsi="Arial" w:cs="Arial"/>
                <w:color w:val="000000"/>
              </w:rPr>
              <w:lastRenderedPageBreak/>
              <w:t>above the reference interval already from day 1, remained stable until day 4, and decreased on day 10.</w:t>
            </w:r>
          </w:p>
        </w:tc>
        <w:tc>
          <w:tcPr>
            <w:tcW w:w="573" w:type="pct"/>
            <w:tcBorders>
              <w:top w:val="nil"/>
              <w:left w:val="nil"/>
              <w:bottom w:val="single" w:sz="4" w:space="0" w:color="auto"/>
              <w:right w:val="single" w:sz="4" w:space="0" w:color="auto"/>
            </w:tcBorders>
            <w:shd w:val="clear" w:color="auto" w:fill="auto"/>
            <w:vAlign w:val="center"/>
            <w:hideMark/>
          </w:tcPr>
          <w:p w14:paraId="35F63AB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Vasospasm during admission, GOS at 12 months</w:t>
            </w:r>
          </w:p>
        </w:tc>
        <w:tc>
          <w:tcPr>
            <w:tcW w:w="607" w:type="pct"/>
            <w:tcBorders>
              <w:top w:val="nil"/>
              <w:left w:val="nil"/>
              <w:bottom w:val="single" w:sz="4" w:space="0" w:color="auto"/>
              <w:right w:val="single" w:sz="4" w:space="0" w:color="auto"/>
            </w:tcBorders>
            <w:shd w:val="clear" w:color="auto" w:fill="auto"/>
            <w:vAlign w:val="center"/>
            <w:hideMark/>
          </w:tcPr>
          <w:p w14:paraId="42375EB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 significant association between IL-6 levels and outcomes</w:t>
            </w:r>
          </w:p>
        </w:tc>
      </w:tr>
      <w:tr w:rsidR="00236A5B" w:rsidRPr="00F7228F" w14:paraId="221BAD0B" w14:textId="77777777" w:rsidTr="00236A5B">
        <w:trPr>
          <w:trHeight w:val="1392"/>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4C0C97F6" w14:textId="46587C58"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Chaudhry et al., 2020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{"citationItems":[{"id":"ITEM-1","itemData":{"DOI":"10.3390/IJMS21051569","ISSN":"1422-0067","PMID":"32106601","abstract":"Background: Aneurysmal subarachnoid hemorrhage (SAH) is a highly complex disease with very high mortality and morbidity. About one-third of SAH patients suffer from systemic infections, predominantly pneumonia, that can contribute to excess mortality after SAH. Immunodepression is probably the most important mechanism leading to infections. Interleukin-10 (IL-10) is a master regulator of immunodepression, but it is still not clear if systemic IL-10 levels contribute to immunodepression, occurrence of infections and clinical outcome after SAH. Methods: This explorative study included 76 patients with SAH admitted to our neurointensive care unit within 24 h after ictus. A group of 24 patients without any known intracranial pathology were included as controls. Peripheral venous blood was withdrawn on day 1 and day 7 after SAH. Serum was isolated by centrifugation and stored at −80 °C until analysis. Serum IL-10 levels were determined by enzyme-linked immunoassay (ELISA). Patient characteristics, post-SAH complications and clinical outcome at discharge were retrieved from patients’ record files. Results: Serum IL-10 levels were significantly higher on day 1 and day 7 in SAH patients compared to controls. Serum IL-10 levels were significantly higher on day 7 in patients who developed any kind of infection, cerebral vasospasm (CVS) or chronic hydrocephalus. Serum IL-10 levels were significantly higher in SAH patients discharged with poor clinical outcome (modified Rankin Scale (mRS) 3–6 or Glasgow Outcome Scale (GOS) 1–3). Conclusion: Serum IL-10 might be an additional useful parameter along with other biomarkers to predict post-SAH infections.","author":[{"dropping-particle":"","family":"Chaudhry","given":"Shafqat Rasul","non-dropping-particle":"","parse-names":false,"suffix":""},{"dropping-particle":"","family":"Kahlert","given":"Ulf Dietrich","non-dropping-particle":"","parse-names":false,"suffix":""},{"dropping-particle":"","family":"Kinfe","given":"Thomas Mehari","non-dropping-particle":"","parse-names":false,"suffix":""},{"dropping-particle":"","family":"Lamprecht","given":"Alf","non-dropping-particle":"","parse-names":false,"suffix":""},{"dropping-particle":"","family":"Niemelä","given":"Mika","non-dropping-particle":"","parse-names":false,"suffix":""},{"dropping-particle":"","family":"Hänggi","given":"Daniel","non-dropping-particle":"","parse-names":false,"suffix":""},{"dropping-particle":"","family":"Muhammad","given":"Sajjad","non-dropping-particle":"","parse-names":false,"suffix":""}],"container-title":"International journal of molecular sciences","id":"ITEM-1","issue":"5","issued":{"date-parts":[["2020","3","1"]]},"publisher":"Int J Mol Sci","title":"Elevated Systemic IL-10 Levels Indicate Immunodepression Leading to Nosocomial Infections after Aneurysmal Subarachnoid Hemorrhage (SAH) in Patients","type":"article-journal","volume":"21"},"uris":["http://www.mendeley.com/documents/?uuid=74567bdc-9d5d-349e-b690-12fc35cde55f"]}],"mendeley":{"formattedCitation":"(52)","plainTextFormattedCitation":"(52)","previouslyFormattedCitation":"(52)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1A2EA67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76 SAH</w:t>
            </w:r>
          </w:p>
        </w:tc>
        <w:tc>
          <w:tcPr>
            <w:tcW w:w="559" w:type="pct"/>
            <w:tcBorders>
              <w:top w:val="nil"/>
              <w:left w:val="nil"/>
              <w:bottom w:val="single" w:sz="4" w:space="0" w:color="auto"/>
              <w:right w:val="single" w:sz="4" w:space="0" w:color="auto"/>
            </w:tcBorders>
            <w:shd w:val="clear" w:color="auto" w:fill="auto"/>
            <w:vAlign w:val="center"/>
            <w:hideMark/>
          </w:tcPr>
          <w:p w14:paraId="0AB3EA0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32527F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IL-10</w:t>
            </w:r>
          </w:p>
        </w:tc>
        <w:tc>
          <w:tcPr>
            <w:tcW w:w="661" w:type="pct"/>
            <w:tcBorders>
              <w:top w:val="nil"/>
              <w:left w:val="nil"/>
              <w:bottom w:val="single" w:sz="4" w:space="0" w:color="auto"/>
              <w:right w:val="single" w:sz="4" w:space="0" w:color="auto"/>
            </w:tcBorders>
            <w:shd w:val="clear" w:color="auto" w:fill="auto"/>
            <w:vAlign w:val="center"/>
            <w:hideMark/>
          </w:tcPr>
          <w:p w14:paraId="337B156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13F0249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7</w:t>
            </w:r>
          </w:p>
        </w:tc>
        <w:tc>
          <w:tcPr>
            <w:tcW w:w="603" w:type="pct"/>
            <w:tcBorders>
              <w:top w:val="nil"/>
              <w:left w:val="nil"/>
              <w:bottom w:val="single" w:sz="4" w:space="0" w:color="auto"/>
              <w:right w:val="single" w:sz="4" w:space="0" w:color="auto"/>
            </w:tcBorders>
            <w:shd w:val="clear" w:color="auto" w:fill="auto"/>
            <w:vAlign w:val="center"/>
            <w:hideMark/>
          </w:tcPr>
          <w:p w14:paraId="7EB8CCC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 IL-10 levels were significantly higher in SAH patients on post-SAH day 1 and day 7 compared to the control patients</w:t>
            </w:r>
          </w:p>
        </w:tc>
        <w:tc>
          <w:tcPr>
            <w:tcW w:w="573" w:type="pct"/>
            <w:tcBorders>
              <w:top w:val="nil"/>
              <w:left w:val="nil"/>
              <w:bottom w:val="single" w:sz="4" w:space="0" w:color="auto"/>
              <w:right w:val="single" w:sz="4" w:space="0" w:color="auto"/>
            </w:tcBorders>
            <w:shd w:val="clear" w:color="auto" w:fill="auto"/>
            <w:vAlign w:val="center"/>
            <w:hideMark/>
          </w:tcPr>
          <w:p w14:paraId="1296092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DCI during admission, GOS,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20E8E81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There was a significant elevation in serum IL-10 levels on day 7 in SAH patients who developed cerebral vasospasm. Serum IL-10 levels were significantly higher on both day 1 and day 7 post-SAH in patients with poor clinical outcome</w:t>
            </w:r>
          </w:p>
        </w:tc>
      </w:tr>
      <w:tr w:rsidR="00236A5B" w:rsidRPr="00F7228F" w14:paraId="50EFF179" w14:textId="77777777" w:rsidTr="00236A5B">
        <w:trPr>
          <w:trHeight w:val="2028"/>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1ACA42CF" w14:textId="6F99B611"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Coulibaly et al., 2020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{"citationItems":[{"id":"ITEM-1","itemData":{"DOI":"10.1007/S12028-019-00871-9","ISSN":"1556-0961","PMID":"31768758","abstract":"Background: How inflammatory cells are recruited into the central nervous system is a topic of interest in a number of neurological injuries. In aneurysmal subarachnoid hemorrhage (SAH), neutrophil accumulation in the central nervous system 3 days after the hemorrhage is a critical step in the development of delayed cerebral injury (DCI). The mechanism by which neutrophils enter the central nervous system is still unclear. Methods and Results: To identify human effectors of neutrophil recruitment, cerebrospinal fluid (CSF) samples were taken from a small, selected sample of SAH patients with external ventricular drainage devices (10 patients). Among a battery of CSF cytokines tested 3 days after SAH, five cytokines were associated with poor 90-day outcome (modified Rankin Score 3–6). A parallel study in a mouse model of mild SAH showed elevation in three cytokines in the CNS compared to sham. IL-17 and IL-2 were increased in both patients and the mouse model. IL-17 was investigated further because of its known role in neutrophil recruitment. Inhibition of RAR-Related Orphan Receptor Gamma T, the master transcription factor of IL-17, with the inverse agonist GSK805 suppressed neutrophils entry into the CNS after SAH compared to control. Using an IL-17 reporter mouse, we investigated the source of IL-17 and found that myeloid cells were a common IL-17-producing cell type in the meninges after SAH, suggesting an autocrine role for neutrophil recruitment. Conclusions: Taken together, IL-17 appears to be in important factor in the recruitment of neutrophils into the meninges after SAH and could be an important target for therapies to ameliorate DCI.","author":[{"dropping-particle":"","family":"Coulibaly","given":"A. P.","non-dropping-particle":"","parse-names":false,"suffix":""},{"dropping-particle":"","family":"Gartman","given":"W. T.","non-dropping-particle":"","parse-names":false,"suffix":""},{"dropping-particle":"","family":"Swank","given":"V.","non-dropping-particle":"","parse-names":false,"suffix":""},{"dropping-particle":"","family":"Gomes","given":"J. A.","non-dropping-particle":"","parse-names":false,"suffix":""},{"dropping-particle":"","family":"Ruozhuo","given":"L.","non-dropping-particle":"","parse-names":false,"suffix":""},{"dropping-particle":"","family":"DeBacker","given":"J.","non-dropping-particle":"","parse-names":false,"suffix":""},{"dropping-particle":"","family":"Provencio","given":"J. J.","non-dropping-particle":"","parse-names":false,"suffix":""}],"container-title":"Neurocritical care","id":"ITEM-1","issue":"1","issued":{"date-parts":[["2020","8","1"]]},"page":"140-151","publisher":"Neurocrit Care","title":"RAR-Related Orphan Receptor Gamma T (RoRγt)-Related Cytokines Play a Role in Neutrophil Infiltration of the Central Nervous System After Subarachnoid Hemorrhage","type":"article-journal","volume":"33"},"uris":["http://www.mendeley.com/documents/?uuid=98d395fc-2ef3-4638-811e-e1ea004c6a60"]}],"mendeley":{"formattedCitation":"(53)","plainTextFormattedCitation":"(53)","previouslyFormattedCitation":"(53)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C71C16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10 SAH</w:t>
            </w:r>
          </w:p>
        </w:tc>
        <w:tc>
          <w:tcPr>
            <w:tcW w:w="559" w:type="pct"/>
            <w:tcBorders>
              <w:top w:val="nil"/>
              <w:left w:val="nil"/>
              <w:bottom w:val="single" w:sz="4" w:space="0" w:color="auto"/>
              <w:right w:val="single" w:sz="4" w:space="0" w:color="auto"/>
            </w:tcBorders>
            <w:shd w:val="clear" w:color="auto" w:fill="auto"/>
            <w:vAlign w:val="center"/>
            <w:hideMark/>
          </w:tcPr>
          <w:p w14:paraId="1316AF0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8460C2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IL-1α, IL-1β, IL-1ra, IL-2, IL-4, IL-5, IL-</w:t>
            </w:r>
            <w:proofErr w:type="gramStart"/>
            <w:r w:rsidRPr="00F7228F">
              <w:rPr>
                <w:rFonts w:ascii="Arial" w:eastAsia="Times New Roman" w:hAnsi="Arial" w:cs="Arial"/>
                <w:color w:val="000000"/>
              </w:rPr>
              <w:t>6,  IL</w:t>
            </w:r>
            <w:proofErr w:type="gramEnd"/>
            <w:r w:rsidRPr="00F7228F">
              <w:rPr>
                <w:rFonts w:ascii="Arial" w:eastAsia="Times New Roman" w:hAnsi="Arial" w:cs="Arial"/>
                <w:color w:val="000000"/>
              </w:rPr>
              <w:t>-8, IL-10, IL-12 p70, IL-13, IL-16, IL-17, IL-23, IL-27, CCL2, CCL3, CCL4, CCL5, CXCL10, CXCL11, CXCL12</w:t>
            </w:r>
          </w:p>
        </w:tc>
        <w:tc>
          <w:tcPr>
            <w:tcW w:w="661" w:type="pct"/>
            <w:tcBorders>
              <w:top w:val="nil"/>
              <w:left w:val="nil"/>
              <w:bottom w:val="single" w:sz="4" w:space="0" w:color="auto"/>
              <w:right w:val="single" w:sz="4" w:space="0" w:color="auto"/>
            </w:tcBorders>
            <w:shd w:val="clear" w:color="auto" w:fill="auto"/>
            <w:vAlign w:val="center"/>
            <w:hideMark/>
          </w:tcPr>
          <w:p w14:paraId="624D98E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55F084A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3</w:t>
            </w:r>
          </w:p>
        </w:tc>
        <w:tc>
          <w:tcPr>
            <w:tcW w:w="603" w:type="pct"/>
            <w:tcBorders>
              <w:top w:val="nil"/>
              <w:left w:val="nil"/>
              <w:bottom w:val="single" w:sz="4" w:space="0" w:color="auto"/>
              <w:right w:val="single" w:sz="4" w:space="0" w:color="auto"/>
            </w:tcBorders>
            <w:shd w:val="clear" w:color="auto" w:fill="auto"/>
            <w:vAlign w:val="center"/>
            <w:hideMark/>
          </w:tcPr>
          <w:p w14:paraId="071CE7B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7AF2E99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90 days</w:t>
            </w:r>
          </w:p>
        </w:tc>
        <w:tc>
          <w:tcPr>
            <w:tcW w:w="607" w:type="pct"/>
            <w:tcBorders>
              <w:top w:val="nil"/>
              <w:left w:val="nil"/>
              <w:bottom w:val="single" w:sz="4" w:space="0" w:color="auto"/>
              <w:right w:val="single" w:sz="4" w:space="0" w:color="auto"/>
            </w:tcBorders>
            <w:shd w:val="clear" w:color="auto" w:fill="auto"/>
            <w:vAlign w:val="center"/>
            <w:hideMark/>
          </w:tcPr>
          <w:p w14:paraId="53F74A7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Five cytokines were elevated in patients with poor outcome: IL-1α, TNFα, TREM-1, IL-2, and IL-17 </w:t>
            </w:r>
          </w:p>
        </w:tc>
      </w:tr>
      <w:tr w:rsidR="00236A5B" w:rsidRPr="00F7228F" w14:paraId="40785223" w14:textId="77777777" w:rsidTr="00236A5B">
        <w:trPr>
          <w:trHeight w:val="876"/>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200F84AD" w14:textId="5710416F"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Moraes et al., 2020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{"citationItems":[{"id":"ITEM-1","itemData":{"DOI":"10.1016/J.JNEUROIM.2020.577310","ISSN":"1872-8421","PMID":"32623101","abstract":"To evaluate cerebrospinal fluid (CSF) and peripheral blood (PB) Treg, TH17 cells, TH1, TH2 and related cytokines in the acute phase of aSAH we assessed TH17, TH1, TH2, T regulatory cells and neutrophils in 39 aneurysmal subarachnoid hemorrhage (aSAH) patients and 56 controls. PB TH17 cells and TH17/Treg ratio were higher in CSF and PB of aSAH patients. Serum and CSF IL-17A levels were increased in aSAH. Serum IL-17A levels were associated with vasospasm and ICU mortality. Study results support the role of TH17/IL17 axis in aSAH pathogenesis, turning it into a potential clinical biomarker and a novel target for research.","author":[{"dropping-particle":"","family":"Moraes","given":"Leandro","non-dropping-particle":"","parse-names":false,"suffix":""},{"dropping-particle":"","family":"Trias","given":"Natalia","non-dropping-particle":"","parse-names":false,"suffix":""},{"dropping-particle":"","family":"Brugnini","given":"Andreina","non-dropping-particle":"","parse-names":false,"suffix":""},{"dropping-particle":"","family":"Grille","given":"Pedro","non-dropping-particle":"","parse-names":false,"suffix":""},{"dropping-particle":"","family":"Lens","given":"Daniela","non-dropping-particle":"","parse-names":false,"suffix":""},{"dropping-particle":"","family":"Biestro","given":"Alberto","non-dropping-particle":"","parse-names":false,"suffix":""},{"dropping-particle":"","family":"Grille","given":"Sofia","non-dropping-particle":"","parse-names":false,"suffix":""}],"container-title":"Journal of neuroimmunology","id":"ITEM-1","issued":{"date-parts":[["2020","9","15"]]},"publisher":"J Neuroimmunol","title":"TH17/Treg imbalance and IL-17A increase after severe aneurysmal subarachnoid hemorrhage","type":"article-journal","volume":"346"},"uris":["http://www.mendeley.com/documents/?uuid=e9d372d6-a093-4676-9c0d-864a2238eaf5"]}],"mendeley":{"formattedCitation":"(54)","plainTextFormattedCitation":"(54)","previouslyFormattedCitation":"(54)"},"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(54)</w:t>
            </w:r>
            <w:r w:rsidRPr="00F7228F">
              <w:rPr>
                <w:rFonts w:ascii="Arial" w:eastAsia="Times New Roman" w:hAnsi="Arial" w:cs="Arial"/>
                <w:b/>
                <w:bCs/>
                <w:color w:val="000000"/>
              </w:rPr>
              <w:fldChar w:fldCharType="end"/>
            </w:r>
            <w:r w:rsidRPr="00F7228F">
              <w:rPr>
                <w:rFonts w:ascii="Arial" w:eastAsia="Times New Roman" w:hAnsi="Arial" w:cs="Arial"/>
                <w:b/>
                <w:bCs/>
                <w:color w:val="000000"/>
              </w:rPr>
              <w:t xml:space="preserve"> </w:t>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E61B2E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39 SAH</w:t>
            </w:r>
            <w:r w:rsidRPr="00F7228F">
              <w:rPr>
                <w:rFonts w:ascii="Arial" w:eastAsia="Times New Roman" w:hAnsi="Arial" w:cs="Arial"/>
                <w:color w:val="000000"/>
              </w:rPr>
              <w:br/>
              <w:t>56 controls</w:t>
            </w:r>
          </w:p>
        </w:tc>
        <w:tc>
          <w:tcPr>
            <w:tcW w:w="559" w:type="pct"/>
            <w:tcBorders>
              <w:top w:val="nil"/>
              <w:left w:val="nil"/>
              <w:bottom w:val="single" w:sz="4" w:space="0" w:color="auto"/>
              <w:right w:val="single" w:sz="4" w:space="0" w:color="auto"/>
            </w:tcBorders>
            <w:shd w:val="clear" w:color="auto" w:fill="auto"/>
            <w:vAlign w:val="center"/>
            <w:hideMark/>
          </w:tcPr>
          <w:p w14:paraId="5518D10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34190C6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TH1, TH2 and TH17 cytokines</w:t>
            </w:r>
          </w:p>
        </w:tc>
        <w:tc>
          <w:tcPr>
            <w:tcW w:w="661" w:type="pct"/>
            <w:tcBorders>
              <w:top w:val="nil"/>
              <w:left w:val="nil"/>
              <w:bottom w:val="single" w:sz="4" w:space="0" w:color="auto"/>
              <w:right w:val="single" w:sz="4" w:space="0" w:color="auto"/>
            </w:tcBorders>
            <w:shd w:val="clear" w:color="auto" w:fill="auto"/>
            <w:vAlign w:val="center"/>
            <w:hideMark/>
          </w:tcPr>
          <w:p w14:paraId="3FFECBF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2CE30A0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1-3, 4-6</w:t>
            </w:r>
          </w:p>
        </w:tc>
        <w:tc>
          <w:tcPr>
            <w:tcW w:w="603" w:type="pct"/>
            <w:tcBorders>
              <w:top w:val="nil"/>
              <w:left w:val="nil"/>
              <w:bottom w:val="single" w:sz="4" w:space="0" w:color="auto"/>
              <w:right w:val="single" w:sz="4" w:space="0" w:color="auto"/>
            </w:tcBorders>
            <w:shd w:val="clear" w:color="auto" w:fill="auto"/>
            <w:vAlign w:val="center"/>
            <w:hideMark/>
          </w:tcPr>
          <w:p w14:paraId="1D03DBA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and CSF levels of IL-6, TNF-α, IL-17A, IL-10 and IL-2 in early and delayed phase of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patients were increased compared to controls</w:t>
            </w:r>
          </w:p>
        </w:tc>
        <w:tc>
          <w:tcPr>
            <w:tcW w:w="573" w:type="pct"/>
            <w:tcBorders>
              <w:top w:val="nil"/>
              <w:left w:val="nil"/>
              <w:bottom w:val="single" w:sz="4" w:space="0" w:color="auto"/>
              <w:right w:val="single" w:sz="4" w:space="0" w:color="auto"/>
            </w:tcBorders>
            <w:shd w:val="clear" w:color="auto" w:fill="auto"/>
            <w:vAlign w:val="center"/>
            <w:hideMark/>
          </w:tcPr>
          <w:p w14:paraId="380F335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between days 1-14</w:t>
            </w:r>
          </w:p>
        </w:tc>
        <w:tc>
          <w:tcPr>
            <w:tcW w:w="607" w:type="pct"/>
            <w:tcBorders>
              <w:top w:val="nil"/>
              <w:left w:val="nil"/>
              <w:bottom w:val="single" w:sz="4" w:space="0" w:color="auto"/>
              <w:right w:val="single" w:sz="4" w:space="0" w:color="auto"/>
            </w:tcBorders>
            <w:shd w:val="clear" w:color="auto" w:fill="auto"/>
            <w:vAlign w:val="center"/>
            <w:hideMark/>
          </w:tcPr>
          <w:p w14:paraId="3A328DD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IL-17A serum level in the early phase of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patients was significantly increased in patients who </w:t>
            </w:r>
            <w:proofErr w:type="gramStart"/>
            <w:r w:rsidRPr="00F7228F">
              <w:rPr>
                <w:rFonts w:ascii="Arial" w:eastAsia="Times New Roman" w:hAnsi="Arial" w:cs="Arial"/>
                <w:color w:val="000000"/>
              </w:rPr>
              <w:t>developed  vasospasm</w:t>
            </w:r>
            <w:proofErr w:type="gramEnd"/>
          </w:p>
        </w:tc>
      </w:tr>
      <w:tr w:rsidR="00236A5B" w:rsidRPr="00F7228F" w14:paraId="7D0E0211" w14:textId="77777777" w:rsidTr="00236A5B">
        <w:trPr>
          <w:trHeight w:val="4980"/>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62F3EB2B" w14:textId="06DD07CC"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lastRenderedPageBreak/>
              <w:t>Gusdon</w:t>
            </w:r>
            <w:proofErr w:type="spellEnd"/>
            <w:r w:rsidRPr="00F7228F">
              <w:rPr>
                <w:rFonts w:ascii="Arial" w:eastAsia="Times New Roman" w:hAnsi="Arial" w:cs="Arial"/>
                <w:b/>
                <w:bCs/>
                <w:color w:val="000000"/>
              </w:rPr>
              <w:t xml:space="preserve"> et al., 2020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{"citationItems":[{"id":"ITEM-1","itemData":{"DOI":"10.2174/1567202617666201214104623","ISSN":"1875-5739","PMID":"33319684","abstract":"Background: Haptoglobin (Hp) binds to and facilitates clearance of heme. Compared with HP 1-1 and 1-2 genotypes, HP 2-2 has a weaker binding affinity and has been linked with increased inflammation and vasospasm after aneurysmal subarachnoid hemorrhage (SAH). Objective: This study aims to assess levels of inflammatory cytokines in the context of different HP genotypes. Methods: Patients were enrolled among those presenting with spontaneous aneurysmal SAH. Blood was drawn at four time points; &lt;24 hours (T1), 24-48 hours (T2), 3-5 days (T3), and 6-8 days (T4). Blood was analyzed for levels of 41 cytokines at each time point, as well as for HP geno-types. These data were analyzed using mixed-effect models to assess the association between HP genotypes and cytokine levels. The modified Rankin Scale (mRS) score was obtained at discharge, 3 months, and 6 months. Results: Fifty-seven patients were enrolled. Compared with HP 1-1 and 1-2, subjects encoding HP 2-2 had elevated levels of the following cytokines at all time points: FLT3L, IFNγ, IL-17A, TGFα, and VEGF-A. Elevations were also seen at some time points for IL-8, CSF2, FGF2, IL-7, IL-12p70, and TNFα. This study was not powered to detect differences in the functional outcome; however, there were no significant differences in dichotomized mRS scores between patients with HP 1-1/1-2 or HP 2-2. Conclusion: Our findings indicate that HP 2-2 genotype leads to increased proinflammatory cy-tokine levels compared with HP 1-1/1-2 genotypes. These data may provide guidance for further studies seeking to identify testable markers for functional prognosis or targets for treatment.","author":[{"dropping-particle":"","family":"Gusdon","given":"Aaron M.","non-dropping-particle":"","parse-names":false,"suffix":""},{"dropping-particle":"","family":"Savarraj","given":"Jude","non-dropping-particle":"","parse-names":false,"suffix":""},{"dropping-particle":"","family":"Zhu","given":"Liang","non-dropping-particle":"","parse-names":false,"suffix":""},{"dropping-particle":"","family":"Pandit","given":"Peeyush K. Thankamani","non-dropping-particle":"","parse-names":false,"suffix":""},{"dropping-particle":"","family":"Doré","given":"Sylvain","non-dropping-particle":"","parse-names":false,"suffix":""},{"dropping-particle":"","family":"McBride","given":"Devin W.","non-dropping-particle":"","parse-names":false,"suffix":""},{"dropping-particle":"","family":"Choi","given":"HuiMahn A.","non-dropping-particle":"","parse-names":false,"suffix":""},{"dropping-particle":"","family":"Blackburn","given":"Spiros L.","non-dropping-particle":"","parse-names":false,"suffix":""}],"container-title":"Current neurovascular research","id":"ITEM-1","issue":"5","issued":{"date-parts":[["2020","12","15"]]},"page":"652-659","publisher":"Curr Neurovasc Res","title":"Haptoglobin Genotype Affects Inflammation after Aneurysmal Subarachnoid Hemorrhage","type":"article-journal","volume":"17"},"uris":["http://www.mendeley.com/documents/?uuid=8acc0e2d-946c-45a7-98d5-aa83b1668cbb"]}],"mendeley":{"formattedCitation":"(55)","plainTextFormattedCitation":"(55)","previouslyFormattedCitation":"(55)"},"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(55)</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291C46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57 SAH</w:t>
            </w:r>
          </w:p>
        </w:tc>
        <w:tc>
          <w:tcPr>
            <w:tcW w:w="559" w:type="pct"/>
            <w:tcBorders>
              <w:top w:val="nil"/>
              <w:left w:val="nil"/>
              <w:bottom w:val="single" w:sz="4" w:space="0" w:color="auto"/>
              <w:right w:val="single" w:sz="4" w:space="0" w:color="auto"/>
            </w:tcBorders>
            <w:shd w:val="clear" w:color="auto" w:fill="auto"/>
            <w:vAlign w:val="center"/>
            <w:hideMark/>
          </w:tcPr>
          <w:p w14:paraId="6D27D5C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C419FB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CCL2, CCL5, CCL7, CCL11, CCL22, CX3CL1, CXCL1P1, MIP-1α, MIP-1β, IL-1A, IL-1R1, IL-4, IL-5, IL-6, IL-17a, IL-2, IL-3, IL-7, IL-8, IL-9, IL-10, IL-13, IL-15, PDGF-AA, PDGF-AB/BB, EGF, FGF-2, CSF3, CSF2, TNF-α, TNF-β, VEGFA, IL-12p40, IL-12p70, sCD40L, IL-1b, interferon-inducible protein 10, IFNG, IFN-</w:t>
            </w:r>
            <w:r w:rsidRPr="00F7228F">
              <w:rPr>
                <w:rFonts w:ascii="Arial" w:eastAsia="Times New Roman" w:hAnsi="Arial" w:cs="Arial"/>
                <w:color w:val="000000"/>
              </w:rPr>
              <w:lastRenderedPageBreak/>
              <w:t>α2, FLT3L, TGF-α</w:t>
            </w:r>
          </w:p>
        </w:tc>
        <w:tc>
          <w:tcPr>
            <w:tcW w:w="661" w:type="pct"/>
            <w:tcBorders>
              <w:top w:val="nil"/>
              <w:left w:val="nil"/>
              <w:bottom w:val="single" w:sz="4" w:space="0" w:color="auto"/>
              <w:right w:val="single" w:sz="4" w:space="0" w:color="auto"/>
            </w:tcBorders>
            <w:shd w:val="clear" w:color="auto" w:fill="auto"/>
            <w:vAlign w:val="center"/>
            <w:hideMark/>
          </w:tcPr>
          <w:p w14:paraId="6C98262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Serum</w:t>
            </w:r>
          </w:p>
        </w:tc>
        <w:tc>
          <w:tcPr>
            <w:tcW w:w="475" w:type="pct"/>
            <w:tcBorders>
              <w:top w:val="nil"/>
              <w:left w:val="nil"/>
              <w:bottom w:val="single" w:sz="4" w:space="0" w:color="auto"/>
              <w:right w:val="single" w:sz="4" w:space="0" w:color="auto"/>
            </w:tcBorders>
            <w:shd w:val="clear" w:color="auto" w:fill="auto"/>
            <w:vAlign w:val="center"/>
            <w:hideMark/>
          </w:tcPr>
          <w:p w14:paraId="23FBE89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0-1, 1-2, 3-5, 6-8</w:t>
            </w:r>
          </w:p>
        </w:tc>
        <w:tc>
          <w:tcPr>
            <w:tcW w:w="603" w:type="pct"/>
            <w:tcBorders>
              <w:top w:val="nil"/>
              <w:left w:val="nil"/>
              <w:bottom w:val="single" w:sz="4" w:space="0" w:color="auto"/>
              <w:right w:val="single" w:sz="4" w:space="0" w:color="auto"/>
            </w:tcBorders>
            <w:shd w:val="clear" w:color="auto" w:fill="auto"/>
            <w:vAlign w:val="center"/>
            <w:hideMark/>
          </w:tcPr>
          <w:p w14:paraId="121643E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Compared with HP 1-1 and 1-2, subjects encoding HP 2-2 had elevated levels of the following cytokines at all time points: FLT3L, </w:t>
            </w:r>
            <w:proofErr w:type="spellStart"/>
            <w:r w:rsidRPr="00F7228F">
              <w:rPr>
                <w:rFonts w:ascii="Arial" w:eastAsia="Times New Roman" w:hAnsi="Arial" w:cs="Arial"/>
                <w:color w:val="000000"/>
              </w:rPr>
              <w:t>IFNγ</w:t>
            </w:r>
            <w:proofErr w:type="spellEnd"/>
            <w:r w:rsidRPr="00F7228F">
              <w:rPr>
                <w:rFonts w:ascii="Arial" w:eastAsia="Times New Roman" w:hAnsi="Arial" w:cs="Arial"/>
                <w:color w:val="000000"/>
              </w:rPr>
              <w:t>, IL-17A, TGFα, and VEGF-A. Elevations were also seen at some time points for IL-8, CSF2, FGF2, IL-7, IL-12p70, and TNFα.</w:t>
            </w:r>
          </w:p>
        </w:tc>
        <w:tc>
          <w:tcPr>
            <w:tcW w:w="573" w:type="pct"/>
            <w:tcBorders>
              <w:top w:val="nil"/>
              <w:left w:val="nil"/>
              <w:bottom w:val="single" w:sz="4" w:space="0" w:color="auto"/>
              <w:right w:val="single" w:sz="4" w:space="0" w:color="auto"/>
            </w:tcBorders>
            <w:shd w:val="clear" w:color="auto" w:fill="auto"/>
            <w:vAlign w:val="center"/>
            <w:hideMark/>
          </w:tcPr>
          <w:p w14:paraId="7B38532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during admission,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 and 3 months</w:t>
            </w:r>
          </w:p>
        </w:tc>
        <w:tc>
          <w:tcPr>
            <w:tcW w:w="607" w:type="pct"/>
            <w:tcBorders>
              <w:top w:val="nil"/>
              <w:left w:val="nil"/>
              <w:bottom w:val="single" w:sz="4" w:space="0" w:color="auto"/>
              <w:right w:val="single" w:sz="4" w:space="0" w:color="auto"/>
            </w:tcBorders>
            <w:shd w:val="clear" w:color="auto" w:fill="auto"/>
            <w:vAlign w:val="center"/>
            <w:hideMark/>
          </w:tcPr>
          <w:p w14:paraId="3ADAF5A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73EAC4FE" w14:textId="77777777" w:rsidTr="00236A5B">
        <w:trPr>
          <w:trHeight w:val="288"/>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1D724B8D" w14:textId="357E1E9D"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Yang et al., 2020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{"citationItems":[{"id":"ITEM-1","itemData":{"DOI":"10.1007/S12640-019-00072-4","ISSN":"1476-3524","PMID":"31267487","abstract":"Inflammatory processes have long been implicated in the development of delayed cerebral ischemia (DCI) following aneurysmal subarachnoid hemorrhage (aSAH). Macrophage migration inhibitory factor (MIF) has been implicated in inflammation. The aim of this study was to assess whether serum levels of MIF at admission helps to predict which patients with aSAH would subsequently develop DCI. All patients with first-ever aSAH admitted between 2016 and 2017 were considered for inclusion in this prospective study. Primary study outcome was development of DCI at discharge. Serum levels of MIF, C-reactive protein (CRP), and interleukin-6 (IL-6) were tested at admission. The relation of serum levels of MIF at admission with DCI was assessed by the logistic regression models. In this study, 201 patients were included. A correlation between Hunt and Hess score and serum levels of MIF was found (r = 0.340; P &lt; 0.001). Fifty-two of the 201 aSAH (25.9%) were defined as DCI, and the obtained MIF level in those patients was higher than in those patients without DCI [26.4 (IQR, 22.6–32.4) ng/ml vs. 20.4 (16.4–24.6) ng/ml; P &lt; 0.001). As a continuous variable, MIF was associated with the risk of DCI. When serum level of MIF was elevated by each 1 ng/ml, the unadjusted risk of DCI was increased by 18% (OR = 1.18 [1.12–1.25], P &lt; 0.001), while the adjusted risk was increased by 10% (1.10 [1.03–1.19], P = 0.001). With the area under the curve (AUC) of 0.780 (95% CI, 0.710–0.849), the MIF showed a great discriminatory ability for DCI than CRP (0.665, 0.582–0.748; P &lt; 0.001) and IL-6 (0.721, 0.642–0.799; P = 0.001). Interestingly, the combined model (MIF/IL-6/CRP) improved the MIF to predict DCI (AUC of the combined model: 0.811; 95% CI, 0.751–0.871; P = 0.024). Furthermore, inclusion of MIF in the existing risk factors for the prediction of DCI enhanced the index and net reclassification improvement (NRI) (P &lt; 0.001) and integrated discrimination improvement (IDI) (P = 0.005) values, confirming the effective reclassification and discrimination. The data showed that elevated MIF serum level accurately identifies patients at highest risk for developing DCI following aSAH.","author":[{"dropping-particle":"","family":"Yang","given":"Xiaobo","non-dropping-particle":"","parse-names":false,"suffix":""},{"dropping-particle":"","family":"Peng","given":"Jianhua","non-dropping-particle":"","parse-names":false,"suffix":""},{"dropping-particle":"","family":"Pang","given":"Jinwei","non-dropping-particle":"","parse-names":false,"suffix":""},{"dropping-particle":"","family":"Wan","given":"Weifeng","non-dropping-particle":"","parse-names":false,"suffix":""},{"dropping-particle":"","family":"Zhong","given":"Chuanhong","non-dropping-particle":"","parse-names":false,"suffix":""},{"dropping-particle":"","family":"Peng","given":"Tangming","non-dropping-particle":"","parse-names":false,"suffix":""},{"dropping-particle":"","family":"Bao","given":"Kunyang","non-dropping-particle":"","parse-names":false,"suffix":""},{"dropping-particle":"","family":"Jiang","given":"Yong","non-dropping-particle":"","parse-names":false,"suffix":""}],"container-title":"Neurotoxicity research","id":"ITEM-1","issue":"2","issued":{"date-parts":[["2020","2","1"]]},"page":"397-405","publisher":"Neurotox Res","title":"The Association Between Serum Macrophage Migration Inhibitory Factor and Delayed Cerebral Ischemia After Aneurysmal Subarachnoid Hemorrhage","type":"article-journal","volume":"37"},"uris":["http://www.mendeley.com/documents/?uuid=1cf58a39-e754-4b13-8b8d-8644bb8f1116"]}],"mendeley":{"formattedCitation":"(56)","plainTextFormattedCitation":"(56)","previouslyFormattedCitation":"(56)"},"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(56)</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44C91FF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201 SAH</w:t>
            </w:r>
          </w:p>
        </w:tc>
        <w:tc>
          <w:tcPr>
            <w:tcW w:w="559" w:type="pct"/>
            <w:tcBorders>
              <w:top w:val="nil"/>
              <w:left w:val="nil"/>
              <w:bottom w:val="single" w:sz="4" w:space="0" w:color="auto"/>
              <w:right w:val="single" w:sz="4" w:space="0" w:color="auto"/>
            </w:tcBorders>
            <w:shd w:val="clear" w:color="auto" w:fill="auto"/>
            <w:vAlign w:val="center"/>
            <w:hideMark/>
          </w:tcPr>
          <w:p w14:paraId="72DCF67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1E9017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nil"/>
              <w:left w:val="nil"/>
              <w:bottom w:val="single" w:sz="4" w:space="0" w:color="auto"/>
              <w:right w:val="single" w:sz="4" w:space="0" w:color="auto"/>
            </w:tcBorders>
            <w:shd w:val="clear" w:color="auto" w:fill="auto"/>
            <w:vAlign w:val="center"/>
            <w:hideMark/>
          </w:tcPr>
          <w:p w14:paraId="02EAD76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0657413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1</w:t>
            </w:r>
          </w:p>
        </w:tc>
        <w:tc>
          <w:tcPr>
            <w:tcW w:w="603" w:type="pct"/>
            <w:tcBorders>
              <w:top w:val="nil"/>
              <w:left w:val="nil"/>
              <w:bottom w:val="single" w:sz="4" w:space="0" w:color="auto"/>
              <w:right w:val="single" w:sz="4" w:space="0" w:color="auto"/>
            </w:tcBorders>
            <w:shd w:val="clear" w:color="auto" w:fill="auto"/>
            <w:vAlign w:val="center"/>
            <w:hideMark/>
          </w:tcPr>
          <w:p w14:paraId="5C6DEC4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000DE54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Vasospasm during admission, DCI within 3 months</w:t>
            </w:r>
          </w:p>
        </w:tc>
        <w:tc>
          <w:tcPr>
            <w:tcW w:w="607" w:type="pct"/>
            <w:tcBorders>
              <w:top w:val="nil"/>
              <w:left w:val="nil"/>
              <w:bottom w:val="single" w:sz="4" w:space="0" w:color="auto"/>
              <w:right w:val="single" w:sz="4" w:space="0" w:color="auto"/>
            </w:tcBorders>
            <w:shd w:val="clear" w:color="auto" w:fill="auto"/>
            <w:vAlign w:val="center"/>
            <w:hideMark/>
          </w:tcPr>
          <w:p w14:paraId="3020C32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Patients with higher levels </w:t>
            </w:r>
            <w:proofErr w:type="gramStart"/>
            <w:r w:rsidRPr="00F7228F">
              <w:rPr>
                <w:rFonts w:ascii="Arial" w:eastAsia="Times New Roman" w:hAnsi="Arial" w:cs="Arial"/>
                <w:color w:val="000000"/>
              </w:rPr>
              <w:t>of  IL</w:t>
            </w:r>
            <w:proofErr w:type="gramEnd"/>
            <w:r w:rsidRPr="00F7228F">
              <w:rPr>
                <w:rFonts w:ascii="Arial" w:eastAsia="Times New Roman" w:hAnsi="Arial" w:cs="Arial"/>
                <w:color w:val="000000"/>
              </w:rPr>
              <w:t>-6 were more likely to suffer from DCI</w:t>
            </w:r>
          </w:p>
        </w:tc>
      </w:tr>
      <w:tr w:rsidR="00236A5B" w:rsidRPr="00F7228F" w14:paraId="2C09391E"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1094435B" w14:textId="78EF0FFF"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Bjerkne</w:t>
            </w:r>
            <w:proofErr w:type="spellEnd"/>
            <w:r w:rsidRPr="00F7228F">
              <w:rPr>
                <w:rFonts w:ascii="Arial" w:eastAsia="Times New Roman" w:hAnsi="Arial" w:cs="Arial"/>
                <w:b/>
                <w:bCs/>
                <w:color w:val="000000"/>
              </w:rPr>
              <w:t xml:space="preserve"> et al., 2021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{"citationItems":[{"id":"ITEM-1","itemData":{"DOI":"10.1111/ANE.13353","ISSN":"1600-0404","PMID":"32990943","abstract":"Objectives: Recent reports suggest an association between the inflammatory response after aneurysmal subarachnoid haemorrhage (aSAH) and patients' outcome. The primary aim of this study was to identify a potential association between the inflammatory response after aSAH and 1-year outcome. The secondary aim was to investigate whether the inflammatory response after aSAH could predict the development of delayed cerebral ischaemia (DCI). Materials and methods: This prospective observational pilot study included patients with an aSAH admitted to Sahlgrenska University Hospital, Gothenburg, Sweden, between May 2015 and October 2016. The patients were stratified according to the extended Glasgow Outcome Scale (GOSE) as having an unfavourable (score: 1–4) or favourable outcome (score: 5–8). Furthermore, patients were stratified depending on development of DCI or not. Patient data and blood samples were collected and analysed at admission and after 10 days. Results: Elevated serum concentrations of inflammatory markers such as tumour necrosis factor-α and interleukin (IL)-6, IL-1Ra, C-reactive protein and intercellular adhesion molecule-1 were detected in patients with unfavourable outcome. When adjustments for Glasgow coma scale were made, only IL-1Ra remained significantly associated with poor outcome (p = 0.012). The inflammatory response after aSAH was not predictive of the development of DCI. Conclusion: Elevated serum concentrations of inflammatory markers were associated with poor neurological outcome 1-year after aSAH. However, inflammatory markers are affected by many clinical events, and when adjustments were made, only IL-1Ra remained significantly associated with poor outcome. The robustness of these results needs to be tested in a larger trial.","author":[{"dropping-particle":"","family":"Bjerkne Wenneberg","given":"Sandra","non-dropping-particle":"","parse-names":false,"suffix":""},{"dropping-particle":"","family":"Odenstedt Hergès","given":"Helena","non-dropping-particle":"","parse-names":false,"suffix":""},{"dropping-particle":"","family":"Svedin","given":"Pernilla","non-dropping-particle":"","parse-names":false,"suffix":""},{"dropping-particle":"","family":"Mallard","given":"Carina","non-dropping-particle":"","parse-names":false,"suffix":""},{"dropping-particle":"","family":"Karlsson","given":"Thomas","non-dropping-particle":"","parse-names":false,"suffix":""},{"dropping-particle":"","family":"Adiels","given":"Martin","non-dropping-particle":"","parse-names":false,"suffix":""},{"dropping-particle":"","family":"Naredi","given":"Silvana","non-dropping-particle":"","parse-names":false,"suffix":""},{"dropping-particle":"","family":"Block","given":"Linda","non-dropping-particle":"","parse-names":false,"suffix":""}],"container-title":"Acta neurologica Scandinavica","id":"ITEM-1","issue":"2","issued":{"date-parts":[["2021","2","1"]]},"page":"195-205","publisher":"Acta Neurol Scand","title":"Association between inflammatory response and outcome after subarachnoid haemorrhage","type":"article-journal","volume":"143"},"uris":["http://www.mendeley.com/documents/?uuid=685948da-3dec-4bce-813e-3546fc200eff"]}],"mendeley":{"formattedCitation":"(57)","plainTextFormattedCitation":"(57)","previouslyFormattedCitation":"(57)"},"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(57)</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2E8AFE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58 SAH</w:t>
            </w:r>
          </w:p>
        </w:tc>
        <w:tc>
          <w:tcPr>
            <w:tcW w:w="559" w:type="pct"/>
            <w:tcBorders>
              <w:top w:val="nil"/>
              <w:left w:val="nil"/>
              <w:bottom w:val="single" w:sz="4" w:space="0" w:color="auto"/>
              <w:right w:val="single" w:sz="4" w:space="0" w:color="auto"/>
            </w:tcBorders>
            <w:shd w:val="clear" w:color="auto" w:fill="auto"/>
            <w:vAlign w:val="center"/>
            <w:hideMark/>
          </w:tcPr>
          <w:p w14:paraId="53B22E4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75A72EF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IL-1Ra, IL-6, TNF-α</w:t>
            </w:r>
          </w:p>
        </w:tc>
        <w:tc>
          <w:tcPr>
            <w:tcW w:w="661" w:type="pct"/>
            <w:tcBorders>
              <w:top w:val="nil"/>
              <w:left w:val="nil"/>
              <w:bottom w:val="nil"/>
              <w:right w:val="single" w:sz="4" w:space="0" w:color="auto"/>
            </w:tcBorders>
            <w:shd w:val="clear" w:color="auto" w:fill="auto"/>
            <w:vAlign w:val="center"/>
            <w:hideMark/>
          </w:tcPr>
          <w:p w14:paraId="29C0ADC4"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5FD7065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0-1, 10</w:t>
            </w:r>
          </w:p>
        </w:tc>
        <w:tc>
          <w:tcPr>
            <w:tcW w:w="603" w:type="pct"/>
            <w:tcBorders>
              <w:top w:val="nil"/>
              <w:left w:val="nil"/>
              <w:bottom w:val="single" w:sz="4" w:space="0" w:color="auto"/>
              <w:right w:val="single" w:sz="4" w:space="0" w:color="auto"/>
            </w:tcBorders>
            <w:shd w:val="clear" w:color="auto" w:fill="auto"/>
            <w:vAlign w:val="center"/>
            <w:hideMark/>
          </w:tcPr>
          <w:p w14:paraId="571B95D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58504F9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DCI during admission, GOSE at 1 year</w:t>
            </w:r>
          </w:p>
        </w:tc>
        <w:tc>
          <w:tcPr>
            <w:tcW w:w="607" w:type="pct"/>
            <w:tcBorders>
              <w:top w:val="nil"/>
              <w:left w:val="nil"/>
              <w:bottom w:val="single" w:sz="4" w:space="0" w:color="auto"/>
              <w:right w:val="single" w:sz="4" w:space="0" w:color="auto"/>
            </w:tcBorders>
            <w:shd w:val="clear" w:color="auto" w:fill="auto"/>
            <w:vAlign w:val="center"/>
            <w:hideMark/>
          </w:tcPr>
          <w:p w14:paraId="1C094E3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w:t>
            </w:r>
            <w:r w:rsidRPr="00F7228F">
              <w:rPr>
                <w:rFonts w:ascii="Cambria Math" w:eastAsia="Times New Roman" w:hAnsi="Cambria Math" w:cs="Cambria Math"/>
                <w:color w:val="000000"/>
              </w:rPr>
              <w:t>‐</w:t>
            </w:r>
            <w:r w:rsidRPr="00F7228F">
              <w:rPr>
                <w:rFonts w:ascii="Arial" w:eastAsia="Times New Roman" w:hAnsi="Arial" w:cs="Arial"/>
                <w:color w:val="000000"/>
              </w:rPr>
              <w:t>1</w:t>
            </w:r>
            <w:proofErr w:type="gramStart"/>
            <w:r w:rsidRPr="00F7228F">
              <w:rPr>
                <w:rFonts w:ascii="Arial" w:eastAsia="Times New Roman" w:hAnsi="Arial" w:cs="Arial"/>
                <w:color w:val="000000"/>
              </w:rPr>
              <w:t>Ra  levels</w:t>
            </w:r>
            <w:proofErr w:type="gramEnd"/>
            <w:r w:rsidRPr="00F7228F">
              <w:rPr>
                <w:rFonts w:ascii="Arial" w:eastAsia="Times New Roman" w:hAnsi="Arial" w:cs="Arial"/>
                <w:color w:val="000000"/>
              </w:rPr>
              <w:t xml:space="preserve"> were significantly associated with poor outcome</w:t>
            </w:r>
          </w:p>
        </w:tc>
      </w:tr>
      <w:tr w:rsidR="00236A5B" w:rsidRPr="00F7228F" w14:paraId="45CFDA34" w14:textId="77777777" w:rsidTr="00236A5B">
        <w:trPr>
          <w:trHeight w:val="1668"/>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78E0F7C8" w14:textId="3FBDFEC1"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themeColor="text1"/>
              </w:rPr>
              <w:lastRenderedPageBreak/>
              <w:t xml:space="preserve">Ridwan et al., 2021 </w:t>
            </w:r>
            <w:r w:rsidRPr="00F7228F">
              <w:rPr>
                <w:rFonts w:ascii="Arial" w:eastAsia="Times New Roman" w:hAnsi="Arial" w:cs="Arial"/>
                <w:b/>
                <w:bCs/>
                <w:color w:val="000000" w:themeColor="text1"/>
              </w:rPr>
              <w:fldChar w:fldCharType="begin" w:fldLock="1"/>
            </w:r>
            <w:r w:rsidR="008507E1" w:rsidRPr="00F7228F">
              <w:rPr>
                <w:rFonts w:ascii="Arial" w:eastAsia="Times New Roman" w:hAnsi="Arial" w:cs="Arial"/>
                <w:b/>
                <w:bCs/>
                <w:color w:val="000000" w:themeColor="text1"/>
              </w:rPr>
              <w:instrText>ADDIN CSL_CITATION {"citationItems":[{"id":"ITEM-1","itemData":{"DOI":"10.1038/S41598-020-79586-3","PMID":"33420113","abstract":"Interleukin 6 (IL-6) is a prominent proinflammatory cytokine and has been discussed as a potential biomarker for delayed cerebral ischemia (DCI) following aneurysmal subarachnoid hemorrhage. In the present study we have analyzed the time course of serum and cerebrospinal fluid (CSF) IL-6 levels in 82 patients with severe aneurysmal subarachnoid hemorrhage (SAH) requiring external ventricular drains in correlation to angiographic vasospasm, delayed cerebral ischemia, secondary infarctions and other clinical parameters. We observed much higher daily mean IL-6 levels (but also large interindividual variations) in the CSF than the serum of the patients with a peak between days 4 and 14 including a maximum on day 5 after SAH. Individual CSF peak levels correlated significantly with DCI (mean day 4–14 peak, DCI: 26,291 ± 24,159 pg/ml vs. no DCI: 16,184 ± 13,163 pg/ml; P = 0.023). Importantly, CSF IL-6 levels differed significantly between cases with DCI and infarctions and patients with DCI and no infarction (mean day 4–14 peak, DCI with infarction: 37,209 ± 26,951 pg/ml vs. DCI, no infarction: 15,123 ± 11,239 pg/ml; P = 0.003), while findings in the latter patient group were similar to cases with no vasospasm (mean day 4–14 peak, DCI, no infarction: 15,123 ± 11,239 vs. no DCI: 15,840 ± 12,979; P = 0.873). Together, these data support a potential role for elevated CSF IL-6 levels as a biomarker for DCI with infarction rather than for DCI in general. This fits well with a growing body of evidence linking neuroinflammation to ischemia and infarction, but (together with the large interindividual variations observed) limits the diagnostic usefulness of CSF IL-6 levels in SAH patients.","author":[{"dropping-particle":"","family":"Ridwan","given":"Sami","non-dropping-particle":"","parse-names":false,"suffix":""},{"dropping-particle":"","family":"Grote","given":"Alexander","non-dropping-particle":"","parse-names":false,"suffix":""},{"dropping-particle":"","family":"Simon","given":"Matthias","non-dropping-particle":"","parse-names":false,"suffix":""}],"container-title":"Scientific Reports","id":"ITEM-1","issue":"1","issued":{"date-parts":[["2021","12","1"]]},"page":"12","title":"Interleukin 6 in cerebrospinal fluid is a biomarker for delayed cerebral ischemia (DCI) related infarctions after aneurysmal subarachnoid hemorrhage","type":"article-journal","volume":"11"},"uris":["http://www.mendeley.com/documents/?uuid=954238a1-eb7b-4cc3-8d80-8685af7fd07d"]}],"mendeley":{"formattedCitation":"(58)","plainTextFormattedCitation":"(58)","previouslyFormattedCitation":"(58)"},"properties":{"noteIndex":0},"schema":"https://github.com/citation-style-language/schema/raw/master/csl-citation.json"}</w:instrText>
            </w:r>
            <w:r w:rsidRPr="00F7228F">
              <w:rPr>
                <w:rFonts w:ascii="Arial" w:eastAsia="Times New Roman" w:hAnsi="Arial" w:cs="Arial"/>
                <w:b/>
                <w:bCs/>
                <w:color w:val="000000" w:themeColor="text1"/>
              </w:rPr>
              <w:fldChar w:fldCharType="separate"/>
            </w:r>
            <w:r w:rsidR="008C09BB" w:rsidRPr="00F7228F">
              <w:rPr>
                <w:rFonts w:ascii="Arial" w:eastAsia="Times New Roman" w:hAnsi="Arial" w:cs="Arial"/>
                <w:bCs/>
                <w:noProof/>
                <w:color w:val="000000" w:themeColor="text1"/>
              </w:rPr>
              <w:t>(58)</w:t>
            </w:r>
            <w:r w:rsidRPr="00F7228F">
              <w:rPr>
                <w:rFonts w:ascii="Arial" w:eastAsia="Times New Roman" w:hAnsi="Arial" w:cs="Arial"/>
                <w:b/>
                <w:bCs/>
                <w:color w:val="000000" w:themeColor="text1"/>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98EA33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82 SAH</w:t>
            </w:r>
          </w:p>
        </w:tc>
        <w:tc>
          <w:tcPr>
            <w:tcW w:w="559" w:type="pct"/>
            <w:tcBorders>
              <w:top w:val="nil"/>
              <w:left w:val="nil"/>
              <w:bottom w:val="single" w:sz="4" w:space="0" w:color="auto"/>
              <w:right w:val="single" w:sz="4" w:space="0" w:color="auto"/>
            </w:tcBorders>
            <w:shd w:val="clear" w:color="auto" w:fill="auto"/>
            <w:vAlign w:val="center"/>
            <w:hideMark/>
          </w:tcPr>
          <w:p w14:paraId="2018AD6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6DC03CC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w:t>
            </w:r>
          </w:p>
        </w:tc>
        <w:tc>
          <w:tcPr>
            <w:tcW w:w="661" w:type="pct"/>
            <w:tcBorders>
              <w:top w:val="single" w:sz="4" w:space="0" w:color="auto"/>
              <w:left w:val="nil"/>
              <w:bottom w:val="single" w:sz="4" w:space="0" w:color="auto"/>
              <w:right w:val="single" w:sz="4" w:space="0" w:color="auto"/>
            </w:tcBorders>
            <w:shd w:val="clear" w:color="auto" w:fill="auto"/>
            <w:vAlign w:val="center"/>
            <w:hideMark/>
          </w:tcPr>
          <w:p w14:paraId="02E77BC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 serum</w:t>
            </w:r>
          </w:p>
        </w:tc>
        <w:tc>
          <w:tcPr>
            <w:tcW w:w="475" w:type="pct"/>
            <w:tcBorders>
              <w:top w:val="nil"/>
              <w:left w:val="nil"/>
              <w:bottom w:val="single" w:sz="4" w:space="0" w:color="auto"/>
              <w:right w:val="single" w:sz="4" w:space="0" w:color="auto"/>
            </w:tcBorders>
            <w:shd w:val="clear" w:color="auto" w:fill="auto"/>
            <w:vAlign w:val="center"/>
            <w:hideMark/>
          </w:tcPr>
          <w:p w14:paraId="058435A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0-3, 4-14</w:t>
            </w:r>
          </w:p>
        </w:tc>
        <w:tc>
          <w:tcPr>
            <w:tcW w:w="603" w:type="pct"/>
            <w:tcBorders>
              <w:top w:val="nil"/>
              <w:left w:val="nil"/>
              <w:bottom w:val="single" w:sz="4" w:space="0" w:color="auto"/>
              <w:right w:val="single" w:sz="4" w:space="0" w:color="auto"/>
            </w:tcBorders>
            <w:shd w:val="clear" w:color="auto" w:fill="auto"/>
            <w:vAlign w:val="center"/>
            <w:hideMark/>
          </w:tcPr>
          <w:p w14:paraId="3C0BB9B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28DF7A3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DCI within 21 days,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20610A2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Significant correlation between CSF IL-6 and DCI. Baseline CSF IL-6 levels following SAH predictors of DCI. No correlations between individual serum IL-6 peak levels and DCI. High CSF IL-6 levels corresponded to worse outcome on modified Rankin scale </w:t>
            </w:r>
          </w:p>
        </w:tc>
      </w:tr>
      <w:tr w:rsidR="00236A5B" w:rsidRPr="00F7228F" w14:paraId="55EB17CF" w14:textId="77777777" w:rsidTr="00236A5B">
        <w:trPr>
          <w:trHeight w:val="552"/>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51F2DAC6" w14:textId="19A004AB"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Luo et al., 2022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{"citationItems":[{"id":"ITEM-1","itemData":{"DOI":"10.2147/CIA.S362854","ISSN":"11781998","PMID":"35502188","abstract":"Background: Inflammation is closely associated with prognosis in patients with aneurysmal subarachnoid hemorrhage (aSAH), which is orchestrated by inflammatory cytokines. Therefore, this study aimed to investigate the levels of inflammatory cytokines in the early stage of aSAH and their predictive value for prognosis. Methods: In this retrospective study, 206 patients with aSAH were recruited and assigned to a severe group (WFNS grade ≥ 4) and a mild group (WFNS grade &lt; 4) according to the severity of patients on admission. Flow cytometry was performed to detect the levels of 12 inflammatory cytokines in the serum of patients. Then, patients were grouped into a poor prognosis group (mRS score ≥ 4) and a good prognosis group (mRS score &lt; 4) based on their prognosis after 3 months of discharge to compare the relationship between cytokines and prognosis. Propensity score matching (PSM) was utilized to control confounding factors. The correlation between inflammatory factors and prognosis was determined using Spearman correlation, and the predictive efficacy of inflammatory factors was tested by a receiver operating characteristic curve. Results: Serum IL-1β, IL-5, IL-6, IL-8, IL-10, IFN-γ, and TNF-α levels were significantly higher in the mild group than in the severe group and in the poor prognosis group than in the good prognosis group. After PSM, the differences in IL-1β, IL-5, IFN-α, and IFN-γ levels disappeared between the two groups, whereas IL-2, IL-6, IL-8, IL-10, and TNF-α levels remained higher in the poor prognosis group than in the good prognosis group. Additionally, IL-2, IL-6, IL-8, and IL-10 levels were positively correlated with mRS scores. Moreover, the predictive value was found to be the highest for IL-6 and the lowest for TNF-α. Conclusion: Inflammation degree was related to the severity of aSAH. Inflammatory markers, including IL-6, IL-10, IL-8, IL-2, and TNF-α, might predict the poor prognosis of aSAH.","author":[{"dropping-particle":"","family":"Luo","given":"Cong","non-dropping-particle":"","parse-names":false,"suffix":""},{"dropping-particle":"","family":"Yao","given":"Jiaxin","non-dropping-particle":"","parse-names":false,"suffix":""},{"dropping-particle":"","family":"Bi","given":"Haoran","non-dropping-particle":"","parse-names":false,"suffix":""},{"dropping-particle":"","family":"Li","given":"Zhen","non-dropping-particle":"","parse-names":false,"suffix":""},{"dropping-particle":"","family":"Li","given":"Ju","non-dropping-particle":"","parse-names":false,"suffix":""},{"dropping-particle":"","family":"Xue","given":"Guosong","non-dropping-particle":"","parse-names":false,"suffix":""},{"dropping-particle":"","family":"Li","given":"Ke","non-dropping-particle":"","parse-names":false,"suffix":""},{"dropping-particle":"","family":"Zhang","given":"Shenyang","non-dropping-particle":"","parse-names":false,"suffix":""},{"dropping-particle":"","family":"Zan","given":"Kun","non-dropping-particle":"","parse-names":false,"suffix":""},{"dropping-particle":"","family":"Meng","given":"Wenqing","non-dropping-particle":"","parse-names":false,"suffix":""},{"dropping-particle":"","family":"Zhang","given":"Zunsheng","non-dropping-particle":"","parse-names":false,"suffix":""},{"dropping-particle":"","family":"Chen","given":"Hao","non-dropping-particle":"","parse-names":false,"suffix":""}],"container-title":"Clinical Interventions in Aging","id":"ITEM-1","issued":{"date-parts":[["2022"]]},"page":"615","publisher":"Dove Press","title":"Clinical Value of Inflammatory Cytokines in Patients with Aneurysmal Subarachnoid Hemorrhage","type":"article-journal","volume":"17"},"uris":["http://www.mendeley.com/documents/?uuid=c632e542-633c-415c-8126-2f4d02b6d39e"]}],"mendeley":{"formattedCitation":"(59)","plainTextFormattedCitation":"(59)","previouslyFormattedCitation":"(59)"},"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(59)</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6CBFCE9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165 SAH</w:t>
            </w:r>
            <w:r w:rsidRPr="00F7228F">
              <w:rPr>
                <w:rFonts w:ascii="Arial" w:eastAsia="Times New Roman" w:hAnsi="Arial" w:cs="Arial"/>
                <w:color w:val="000000"/>
              </w:rPr>
              <w:br/>
              <w:t>86 controls</w:t>
            </w:r>
          </w:p>
        </w:tc>
        <w:tc>
          <w:tcPr>
            <w:tcW w:w="559" w:type="pct"/>
            <w:tcBorders>
              <w:top w:val="nil"/>
              <w:left w:val="nil"/>
              <w:bottom w:val="single" w:sz="4" w:space="0" w:color="auto"/>
              <w:right w:val="single" w:sz="4" w:space="0" w:color="auto"/>
            </w:tcBorders>
            <w:shd w:val="clear" w:color="auto" w:fill="auto"/>
            <w:vAlign w:val="center"/>
            <w:hideMark/>
          </w:tcPr>
          <w:p w14:paraId="15668AC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9E7704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 IL-2, IL-4, IL-5, IL-6, IL-8, IL-10, IL-12p70, IL-17, IFN-α, IFN-γ, and TNF-α</w:t>
            </w:r>
          </w:p>
        </w:tc>
        <w:tc>
          <w:tcPr>
            <w:tcW w:w="661" w:type="pct"/>
            <w:tcBorders>
              <w:top w:val="nil"/>
              <w:left w:val="nil"/>
              <w:bottom w:val="single" w:sz="4" w:space="0" w:color="auto"/>
              <w:right w:val="single" w:sz="4" w:space="0" w:color="auto"/>
            </w:tcBorders>
            <w:shd w:val="clear" w:color="auto" w:fill="auto"/>
            <w:vAlign w:val="center"/>
            <w:hideMark/>
          </w:tcPr>
          <w:p w14:paraId="5ECB282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Serum</w:t>
            </w:r>
          </w:p>
        </w:tc>
        <w:tc>
          <w:tcPr>
            <w:tcW w:w="475" w:type="pct"/>
            <w:tcBorders>
              <w:top w:val="nil"/>
              <w:left w:val="nil"/>
              <w:bottom w:val="single" w:sz="4" w:space="0" w:color="auto"/>
              <w:right w:val="single" w:sz="4" w:space="0" w:color="auto"/>
            </w:tcBorders>
            <w:shd w:val="clear" w:color="auto" w:fill="auto"/>
            <w:vAlign w:val="center"/>
            <w:hideMark/>
          </w:tcPr>
          <w:p w14:paraId="32D09AF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3" w:type="pct"/>
            <w:tcBorders>
              <w:top w:val="nil"/>
              <w:left w:val="nil"/>
              <w:bottom w:val="single" w:sz="4" w:space="0" w:color="auto"/>
              <w:right w:val="single" w:sz="4" w:space="0" w:color="auto"/>
            </w:tcBorders>
            <w:shd w:val="clear" w:color="auto" w:fill="auto"/>
            <w:vAlign w:val="center"/>
            <w:hideMark/>
          </w:tcPr>
          <w:p w14:paraId="07D5C90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Serum IL-1β, IL-5, IL-6, IL-8, IL-10, IFN-γ, and TNF-α levels were significantly higher in the mild group than in the severe group. </w:t>
            </w:r>
          </w:p>
        </w:tc>
        <w:tc>
          <w:tcPr>
            <w:tcW w:w="573" w:type="pct"/>
            <w:tcBorders>
              <w:top w:val="nil"/>
              <w:left w:val="nil"/>
              <w:bottom w:val="single" w:sz="4" w:space="0" w:color="auto"/>
              <w:right w:val="single" w:sz="4" w:space="0" w:color="auto"/>
            </w:tcBorders>
            <w:shd w:val="clear" w:color="auto" w:fill="auto"/>
            <w:vAlign w:val="center"/>
            <w:hideMark/>
          </w:tcPr>
          <w:p w14:paraId="2F8ED0F7" w14:textId="77777777" w:rsidR="00236A5B" w:rsidRPr="00F7228F" w:rsidRDefault="00236A5B" w:rsidP="000B242D">
            <w:pPr>
              <w:spacing w:after="0" w:line="240" w:lineRule="auto"/>
              <w:jc w:val="center"/>
              <w:rPr>
                <w:rFonts w:ascii="Arial" w:eastAsia="Times New Roman" w:hAnsi="Arial" w:cs="Arial"/>
                <w:color w:val="000000"/>
              </w:rPr>
            </w:pP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90 days</w:t>
            </w:r>
          </w:p>
        </w:tc>
        <w:tc>
          <w:tcPr>
            <w:tcW w:w="607" w:type="pct"/>
            <w:tcBorders>
              <w:top w:val="nil"/>
              <w:left w:val="nil"/>
              <w:bottom w:val="single" w:sz="4" w:space="0" w:color="auto"/>
              <w:right w:val="single" w:sz="4" w:space="0" w:color="auto"/>
            </w:tcBorders>
            <w:shd w:val="clear" w:color="auto" w:fill="auto"/>
            <w:vAlign w:val="center"/>
            <w:hideMark/>
          </w:tcPr>
          <w:p w14:paraId="14F3540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After propensity score matching, IL-2, IL-6, IL-8, IL-10, and TNF-α levels were higher in patients with worse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scores. Serum IL-6 levels had the largest </w:t>
            </w:r>
            <w:r w:rsidRPr="00F7228F">
              <w:rPr>
                <w:rFonts w:ascii="Arial" w:eastAsia="Times New Roman" w:hAnsi="Arial" w:cs="Arial"/>
                <w:color w:val="000000"/>
              </w:rPr>
              <w:lastRenderedPageBreak/>
              <w:t xml:space="preserve">AUC for predicting poor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outcomes at 90 days</w:t>
            </w:r>
          </w:p>
        </w:tc>
      </w:tr>
      <w:tr w:rsidR="00236A5B" w:rsidRPr="00F7228F" w14:paraId="7C36148B" w14:textId="77777777" w:rsidTr="00236A5B">
        <w:trPr>
          <w:trHeight w:val="552"/>
        </w:trPr>
        <w:tc>
          <w:tcPr>
            <w:tcW w:w="612" w:type="pct"/>
            <w:tcBorders>
              <w:top w:val="nil"/>
              <w:left w:val="single" w:sz="8" w:space="0" w:color="auto"/>
              <w:bottom w:val="single" w:sz="8" w:space="0" w:color="auto"/>
              <w:right w:val="single" w:sz="8" w:space="0" w:color="auto"/>
            </w:tcBorders>
            <w:shd w:val="clear" w:color="auto" w:fill="auto"/>
            <w:vAlign w:val="center"/>
            <w:hideMark/>
          </w:tcPr>
          <w:p w14:paraId="36FD51CB" w14:textId="777036C3"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lastRenderedPageBreak/>
              <w:t xml:space="preserve">Xu et el., 2022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{"citationItems":[{"id":"ITEM-1","itemData":{"DOI":"10.1016/J.JNEUROIM.2022.577841","ISSN":"1872-8421","PMID":"35279426","abstract":"Objective: To investigate the relationship between the dynamic changes of pro-inflammatory cytokines in cerebrospinal fluid (CSF) and headache in patients with aneurysmal subarachnoid hemorrhage (aSAH)at hospital admission. Methods: CSF was collected from patients with aSAH at four time points (days 1, 3, 5, and 7; n = 216) from January 2017 to August 2017 at the Department of Neurosurgery of the First Affiliated Hospital of Wannan Medical College. We measured CSF levels ofinterleukin-1β (IL-1β), IL-6, IL-8, and tumor necrosis factor-alpha (TNF-α) levels using an enzyme-linked immunosorbent assay. Results were statistically analyzed to determine the relationship between the dynamic changes of pro-inflammatory cytokines in CSF and headache after aSAH. Results: The concentrations of IL-1β, IL-6, IL-8, and TNF-α in CSF showed dynamic changes after aSAH. Spearman correlation coefficient analysis revealed that high Hunt-hess grade and modified Fisher scale were associated with a worse headache after aSAH on days 1 and 7 (all P &lt; 0.05). High values of intracranial pressure (ICP) and high levels of CSF pro-inflammatory cytokines were associated with a worse headache after aSAH at four time points (all P &lt; 0.05). However, no significant associations were found between headache and sex, and age. After multiple regression analysis, the Hunt-hess grade, the levels of IL-6 and the levels of TNF-α were associated with headache severity at day 1 (all P &lt; 0.05). The ICP, the levels of IL-1β and the levels of TNF-α were associated with headache severity on day 3, 5 and 7 (all P &lt; 0.05). Conclusions: Pro-inflammatory cytokines in CSF are closely associated with a headache after aSAH, and therefore may be a therapeutic target in the future.","author":[{"dropping-particle":"","family":"Xu","given":"Liang","non-dropping-particle":"","parse-names":false,"suffix":""},{"dropping-particle":"","family":"Wang","given":"Weidong","non-dropping-particle":"","parse-names":false,"suffix":""},{"dropping-particle":"","family":"Lai","given":"Niansheng","non-dropping-particle":"","parse-names":false,"suffix":""},{"dropping-particle":"","family":"Tong","given":"Jiamu","non-dropping-particle":"","parse-names":false,"suffix":""},{"dropping-particle":"","family":"Wang","given":"Geng","non-dropping-particle":"","parse-names":false,"suffix":""},{"dropping-particle":"","family":"Tang","given":"Degang","non-dropping-particle":"","parse-names":false,"suffix":""}],"container-title":"Journal of neuroimmunology","id":"ITEM-1","issued":{"date-parts":[["2022","5","15"]]},"publisher":"J Neuroimmunol","title":"Association between pro-inflammatory cytokines in cerebrospinal fluid and headache in patients with aneurysmal subarachnoid hemorrhage","type":"article-journal","volume":"366"},"uris":["http://www.mendeley.com/documents/?uuid=5a22198a-69d8-3f5c-a592-203b9c62b9a2"]}],"mendeley":{"formattedCitation":"(60)","plainTextFormattedCitation":"(60)","previouslyFormattedCitation":"(60)"},"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(60)</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2F379A4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54 SAH</w:t>
            </w:r>
          </w:p>
        </w:tc>
        <w:tc>
          <w:tcPr>
            <w:tcW w:w="559" w:type="pct"/>
            <w:tcBorders>
              <w:top w:val="nil"/>
              <w:left w:val="nil"/>
              <w:bottom w:val="single" w:sz="4" w:space="0" w:color="auto"/>
              <w:right w:val="single" w:sz="4" w:space="0" w:color="auto"/>
            </w:tcBorders>
            <w:shd w:val="clear" w:color="auto" w:fill="auto"/>
            <w:vAlign w:val="center"/>
            <w:hideMark/>
          </w:tcPr>
          <w:p w14:paraId="0327A01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22347E1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IL-6, IL-8, TNF-α</w:t>
            </w:r>
          </w:p>
        </w:tc>
        <w:tc>
          <w:tcPr>
            <w:tcW w:w="661" w:type="pct"/>
            <w:tcBorders>
              <w:top w:val="nil"/>
              <w:left w:val="nil"/>
              <w:bottom w:val="single" w:sz="4" w:space="0" w:color="auto"/>
              <w:right w:val="single" w:sz="4" w:space="0" w:color="auto"/>
            </w:tcBorders>
            <w:shd w:val="clear" w:color="auto" w:fill="auto"/>
            <w:vAlign w:val="center"/>
            <w:hideMark/>
          </w:tcPr>
          <w:p w14:paraId="52D566D6"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CSF</w:t>
            </w:r>
          </w:p>
        </w:tc>
        <w:tc>
          <w:tcPr>
            <w:tcW w:w="475" w:type="pct"/>
            <w:tcBorders>
              <w:top w:val="nil"/>
              <w:left w:val="nil"/>
              <w:bottom w:val="single" w:sz="4" w:space="0" w:color="auto"/>
              <w:right w:val="single" w:sz="4" w:space="0" w:color="auto"/>
            </w:tcBorders>
            <w:shd w:val="clear" w:color="auto" w:fill="auto"/>
            <w:vAlign w:val="center"/>
            <w:hideMark/>
          </w:tcPr>
          <w:p w14:paraId="5FD6F89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3, 5, and 7</w:t>
            </w:r>
          </w:p>
        </w:tc>
        <w:tc>
          <w:tcPr>
            <w:tcW w:w="603" w:type="pct"/>
            <w:tcBorders>
              <w:top w:val="nil"/>
              <w:left w:val="nil"/>
              <w:bottom w:val="single" w:sz="4" w:space="0" w:color="auto"/>
              <w:right w:val="single" w:sz="4" w:space="0" w:color="auto"/>
            </w:tcBorders>
            <w:shd w:val="clear" w:color="auto" w:fill="auto"/>
            <w:vAlign w:val="center"/>
            <w:hideMark/>
          </w:tcPr>
          <w:p w14:paraId="550C3C7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IL-1β levels in CSF peaked at&gt;60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 xml:space="preserve">/ml on day 1, then decreased on days 3, 5, and 7.CSF levels of IL-6 were &gt; 2000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 xml:space="preserve">/ml on day 1, and remained high on days 3 and 5, subsequently decreasing on day 7. IL-8 levels peaked at&gt;3000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 xml:space="preserve">/ml at day 3 after </w:t>
            </w:r>
            <w:proofErr w:type="spellStart"/>
            <w:r w:rsidRPr="00F7228F">
              <w:rPr>
                <w:rFonts w:ascii="Arial" w:eastAsia="Times New Roman" w:hAnsi="Arial" w:cs="Arial"/>
                <w:color w:val="000000"/>
              </w:rPr>
              <w:t>aSAH</w:t>
            </w:r>
            <w:proofErr w:type="spellEnd"/>
            <w:r w:rsidRPr="00F7228F">
              <w:rPr>
                <w:rFonts w:ascii="Arial" w:eastAsia="Times New Roman" w:hAnsi="Arial" w:cs="Arial"/>
                <w:color w:val="000000"/>
              </w:rPr>
              <w:t xml:space="preserve">, subsiding on days 5 and 7. TNF-α levels increased between days 1 and 5, peaking at&gt;75 </w:t>
            </w:r>
            <w:proofErr w:type="spellStart"/>
            <w:r w:rsidRPr="00F7228F">
              <w:rPr>
                <w:rFonts w:ascii="Arial" w:eastAsia="Times New Roman" w:hAnsi="Arial" w:cs="Arial"/>
                <w:color w:val="000000"/>
              </w:rPr>
              <w:t>pg</w:t>
            </w:r>
            <w:proofErr w:type="spellEnd"/>
            <w:r w:rsidRPr="00F7228F">
              <w:rPr>
                <w:rFonts w:ascii="Arial" w:eastAsia="Times New Roman" w:hAnsi="Arial" w:cs="Arial"/>
                <w:color w:val="000000"/>
              </w:rPr>
              <w:t xml:space="preserve">/ml on day 5 and then </w:t>
            </w:r>
            <w:r w:rsidRPr="00F7228F">
              <w:rPr>
                <w:rFonts w:ascii="Arial" w:eastAsia="Times New Roman" w:hAnsi="Arial" w:cs="Arial"/>
                <w:color w:val="000000"/>
              </w:rPr>
              <w:lastRenderedPageBreak/>
              <w:t>declining abruptly</w:t>
            </w:r>
          </w:p>
        </w:tc>
        <w:tc>
          <w:tcPr>
            <w:tcW w:w="573" w:type="pct"/>
            <w:tcBorders>
              <w:top w:val="nil"/>
              <w:left w:val="nil"/>
              <w:bottom w:val="single" w:sz="4" w:space="0" w:color="auto"/>
              <w:right w:val="single" w:sz="4" w:space="0" w:color="auto"/>
            </w:tcBorders>
            <w:shd w:val="clear" w:color="auto" w:fill="auto"/>
            <w:vAlign w:val="center"/>
            <w:hideMark/>
          </w:tcPr>
          <w:p w14:paraId="5179234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Not reported</w:t>
            </w:r>
          </w:p>
        </w:tc>
        <w:tc>
          <w:tcPr>
            <w:tcW w:w="607" w:type="pct"/>
            <w:tcBorders>
              <w:top w:val="nil"/>
              <w:left w:val="nil"/>
              <w:bottom w:val="single" w:sz="4" w:space="0" w:color="auto"/>
              <w:right w:val="single" w:sz="4" w:space="0" w:color="auto"/>
            </w:tcBorders>
            <w:shd w:val="clear" w:color="auto" w:fill="auto"/>
            <w:vAlign w:val="center"/>
            <w:hideMark/>
          </w:tcPr>
          <w:p w14:paraId="2F4B70E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1BD49DA6" w14:textId="77777777" w:rsidTr="00236A5B">
        <w:trPr>
          <w:trHeight w:val="840"/>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41BF0A2A" w14:textId="79D19757"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Hoadley et al., 2023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{"citationItems":[{"id":"ITEM-1","itemData":{"DOI":"10.1186/S40001-023-01222-3","ISSN":"2047-783X","PMID":"37644600","abstract":"Background: We sought to determine the extent to which cortisol suppressed innate and T cell-mediated cytokine production and whether it could be involved in reducing peripheral cytokine production following subarachnoid haemorrhage (SAH). Methods: Whole blood from healthy controls, patients with SAH and healthy volunteers was stimulated with lipopolysaccharide (LPS), to stimulate innate immunity, or phytohaemagglutinin (PHA), to stimulate T cell-mediated immunity. Varying concentrations of cortisol were included, with or without the cortisol antagonist RU486. Concentration of interleukin-6 (IL-6), IL-1β and tumour necrosis factor-alpha) TNFα were determined as a measure of innate immunity. IL-6, IL-17 (interferon gamma) IFNƔ and IL-17 were determined as an indicator of T cell-mediated immunity. Results: Suppression of innate responses to LPS was apparent in whole blood from SAH patients, relative to healthy controls, and TNFα production was inversely correlated with plasma cortisol concentration. Cytokine production in whole blood from healthy volunteers was inhibited by cortisol concentrations from 0.33 µM, or 1 µM and above, and these responses were effectively reversed by the cortisol antagonist RU-486. In SAH patients, RU-486 reversed suppression of innate TNF-α and IL-6 responses, but not IL-1ß or T cell-mediated responses. Conclusion: These data suggest that cortisol may play a role in reducing innate, but not T cell-mediated immune responses in patients with injuries such as SAH and that cortisol antagonists could be effective in boosting early innate responses.","author":[{"dropping-particle":"","family":"Hoadley","given":"Margaret E.","non-dropping-particle":"","parse-names":false,"suffix":""},{"dropping-particle":"","family":"Galea","given":"James","non-dropping-particle":"","parse-names":false,"suffix":""},{"dropping-particle":"","family":"Singh","given":"Navneet","non-dropping-particle":"","parse-names":false,"suffix":""},{"dropping-particle":"","family":"Hulme","given":"Sharon","non-dropping-particle":"","parse-names":false,"suffix":""},{"dropping-particle":"","family":"Ajao","given":"David O.","non-dropping-particle":"","parse-names":false,"suffix":""},{"dropping-particle":"","family":"Rothwell","given":"Nancy","non-dropping-particle":"","parse-names":false,"suffix":""},{"dropping-particle":"","family":"King","given":"Andrew","non-dropping-particle":"","parse-names":false,"suffix":""},{"dropping-particle":"","family":"Tyrrell","given":"Pippa","non-dropping-particle":"","parse-names":false,"suffix":""},{"dropping-particle":"","family":"Hopkins","given":"Stephen J.","non-dropping-particle":"","parse-names":false,"suffix":""}],"container-title":"European journal of medical research","id":"ITEM-1","issue":"1","issued":{"date-parts":[["2023","12","1"]]},"publisher":"Eur J Med Res","title":"The role of cortisol in immunosuppression in subarachnoid haemorrhage","type":"article-journal","volume":"28"},"uris":["http://www.mendeley.com/documents/?uuid=d6993de5-5ddb-3fed-819a-8d8971f867b7"]}],"mendeley":{"formattedCitation":"(61)","plainTextFormattedCitation":"(61)","previouslyFormattedCitation":"(61)"},"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(61)</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58F5B5D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11 SAH</w:t>
            </w:r>
            <w:r w:rsidRPr="00F7228F">
              <w:rPr>
                <w:rFonts w:ascii="Arial" w:eastAsia="Times New Roman" w:hAnsi="Arial" w:cs="Arial"/>
                <w:color w:val="000000"/>
              </w:rPr>
              <w:br/>
              <w:t>22 controls</w:t>
            </w:r>
          </w:p>
        </w:tc>
        <w:tc>
          <w:tcPr>
            <w:tcW w:w="559" w:type="pct"/>
            <w:tcBorders>
              <w:top w:val="nil"/>
              <w:left w:val="nil"/>
              <w:bottom w:val="single" w:sz="4" w:space="0" w:color="auto"/>
              <w:right w:val="single" w:sz="4" w:space="0" w:color="auto"/>
            </w:tcBorders>
            <w:shd w:val="clear" w:color="auto" w:fill="auto"/>
            <w:vAlign w:val="center"/>
            <w:hideMark/>
          </w:tcPr>
          <w:p w14:paraId="654EB97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182F31A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IL-1β, IL-</w:t>
            </w:r>
            <w:proofErr w:type="gramStart"/>
            <w:r w:rsidRPr="00F7228F">
              <w:rPr>
                <w:rFonts w:ascii="Arial" w:eastAsia="Times New Roman" w:hAnsi="Arial" w:cs="Arial"/>
                <w:color w:val="000000"/>
              </w:rPr>
              <w:t>4,  IL</w:t>
            </w:r>
            <w:proofErr w:type="gramEnd"/>
            <w:r w:rsidRPr="00F7228F">
              <w:rPr>
                <w:rFonts w:ascii="Arial" w:eastAsia="Times New Roman" w:hAnsi="Arial" w:cs="Arial"/>
                <w:color w:val="000000"/>
              </w:rPr>
              <w:t>-6, IL-8, IL-17, IFN-γ, TNF-α</w:t>
            </w:r>
          </w:p>
        </w:tc>
        <w:tc>
          <w:tcPr>
            <w:tcW w:w="661" w:type="pct"/>
            <w:tcBorders>
              <w:top w:val="nil"/>
              <w:left w:val="nil"/>
              <w:bottom w:val="single" w:sz="4" w:space="0" w:color="auto"/>
              <w:right w:val="single" w:sz="4" w:space="0" w:color="auto"/>
            </w:tcBorders>
            <w:shd w:val="clear" w:color="auto" w:fill="auto"/>
            <w:vAlign w:val="center"/>
            <w:hideMark/>
          </w:tcPr>
          <w:p w14:paraId="6590987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77356A3C"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0, 3</w:t>
            </w:r>
          </w:p>
        </w:tc>
        <w:tc>
          <w:tcPr>
            <w:tcW w:w="603" w:type="pct"/>
            <w:tcBorders>
              <w:top w:val="nil"/>
              <w:left w:val="nil"/>
              <w:bottom w:val="single" w:sz="4" w:space="0" w:color="auto"/>
              <w:right w:val="single" w:sz="4" w:space="0" w:color="auto"/>
            </w:tcBorders>
            <w:shd w:val="clear" w:color="auto" w:fill="auto"/>
            <w:vAlign w:val="center"/>
            <w:hideMark/>
          </w:tcPr>
          <w:p w14:paraId="573986A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54F0262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607" w:type="pct"/>
            <w:tcBorders>
              <w:top w:val="nil"/>
              <w:left w:val="nil"/>
              <w:bottom w:val="single" w:sz="4" w:space="0" w:color="auto"/>
              <w:right w:val="single" w:sz="4" w:space="0" w:color="auto"/>
            </w:tcBorders>
            <w:shd w:val="clear" w:color="auto" w:fill="auto"/>
            <w:vAlign w:val="center"/>
            <w:hideMark/>
          </w:tcPr>
          <w:p w14:paraId="1BF4DD25"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r>
      <w:tr w:rsidR="00236A5B" w:rsidRPr="00F7228F" w14:paraId="6F282B47" w14:textId="77777777" w:rsidTr="00236A5B">
        <w:trPr>
          <w:trHeight w:val="876"/>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46B0AE8A" w14:textId="4882737E" w:rsidR="00236A5B" w:rsidRPr="00F7228F" w:rsidRDefault="00236A5B" w:rsidP="000B242D">
            <w:pPr>
              <w:spacing w:after="0" w:line="240" w:lineRule="auto"/>
              <w:jc w:val="center"/>
              <w:rPr>
                <w:rFonts w:ascii="Arial" w:eastAsia="Times New Roman" w:hAnsi="Arial" w:cs="Arial"/>
                <w:b/>
                <w:bCs/>
                <w:color w:val="000000"/>
              </w:rPr>
            </w:pPr>
            <w:r w:rsidRPr="00F7228F">
              <w:rPr>
                <w:rFonts w:ascii="Arial" w:eastAsia="Times New Roman" w:hAnsi="Arial" w:cs="Arial"/>
                <w:b/>
                <w:bCs/>
                <w:color w:val="000000"/>
              </w:rPr>
              <w:t xml:space="preserve">Fischer et al., 2023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{"citationItems":[{"id":"ITEM-1","itemData":{"DOI":"10.1007/S10143-023-01967-9","ISSN":"14372320","PMID":"36864213","abstract":"Post-aSAH sequela is characterized by the onset of life-threatening complications along with the upregulated underlying inflammation. Cerebral vasospasm (CVS) is one of the most frequent complication after aSAH, which contributes majorly to delayed cerebral ischemia and poor clinical outcome. The objective of this study was to identify the clusters of serum biomarkers that are associated with cerebral vasospasm (CVS) after suffering from aneurysmal subarachnoid hemorrhage (aSAH). In this single-center study, serum concentrations of 10 potential biomarkers, together with clinical and demographic parameters, for 66 aSAH patients were recorded within 24 h after aSAH. The dataset was split into a training set (43 patients) and a validation set. Correlation heatmaps for both datasets were computed. Variables with inconsistent correlations on the two subsets were excluded. Clusters of relevant biomarkers were identified on the complete set, separately for patients who developed post-aSAH CVS and those who did not. Two clusters were found to be specific for patients who suffered from CVS: mitochondrial gene fragments (cytochrome B (Cyt-B), cytochrome C oxidase subunit-1 (Cox-1), displacement loop (D-loop), and IL-23, and the other one, containing IL-6, IL-10, age, and Hunt and Hess score. Clusters of serum biomarkers, analyzed within 24 h of the onset of aSAH, days before the CVS development, are expressed differently in patients suffering from post-aSAH CVS, compared to patients without CVS. This suggests that these biomarkers may be involved in the pathophysiological processes leading to CVS and may be used as its early predictors. These interesting findings are potentially highly relevant for the management of CVS and call for validation on a larger sample of patients.","author":[{"dropping-particle":"","family":"Fischer","given":"Igor","non-dropping-particle":"","parse-names":false,"suffix":""},{"dropping-particle":"","family":"Chaudhry","given":"Shafqat Rasul","non-dropping-particle":"","parse-names":false,"suffix":""},{"dropping-particle":"","family":"Hänggi","given":"Daniel","non-dropping-particle":"","parse-names":false,"suffix":""},{"dropping-particle":"","family":"Muhammad","given":"Sajjad","non-dropping-particle":"","parse-names":false,"suffix":""}],"container-title":"Neurosurgical Review","id":"ITEM-1","issue":"1","issued":{"date-parts":[["2023","12","1"]]},"page":"63","publisher":"Springer","title":"Clustering of serum biomarkers involved in post-aneurysmal subarachnoid hemorrhage (aSAH) complications","type":"article-journal","volume":"46"},"uris":["http://www.mendeley.com/documents/?uuid=3cdb7ade-3cfe-36cb-b05f-04ea3a0b9055"]}],"mendeley":{"formattedCitation":"(62)","plainTextFormattedCitation":"(62)","previouslyFormattedCitation":"(62)"},"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(62)</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0324B7A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66 SAH</w:t>
            </w:r>
          </w:p>
        </w:tc>
        <w:tc>
          <w:tcPr>
            <w:tcW w:w="559" w:type="pct"/>
            <w:tcBorders>
              <w:top w:val="nil"/>
              <w:left w:val="nil"/>
              <w:bottom w:val="single" w:sz="4" w:space="0" w:color="auto"/>
              <w:right w:val="single" w:sz="4" w:space="0" w:color="auto"/>
            </w:tcBorders>
            <w:shd w:val="clear" w:color="auto" w:fill="auto"/>
            <w:vAlign w:val="center"/>
            <w:hideMark/>
          </w:tcPr>
          <w:p w14:paraId="32A755F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89ACB9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IL-17, IL-23, IL-10, CCL5)</w:t>
            </w:r>
          </w:p>
        </w:tc>
        <w:tc>
          <w:tcPr>
            <w:tcW w:w="661" w:type="pct"/>
            <w:tcBorders>
              <w:top w:val="nil"/>
              <w:left w:val="nil"/>
              <w:bottom w:val="single" w:sz="4" w:space="0" w:color="auto"/>
              <w:right w:val="single" w:sz="4" w:space="0" w:color="auto"/>
            </w:tcBorders>
            <w:shd w:val="clear" w:color="auto" w:fill="auto"/>
            <w:vAlign w:val="center"/>
            <w:hideMark/>
          </w:tcPr>
          <w:p w14:paraId="45803F6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Plasma</w:t>
            </w:r>
          </w:p>
        </w:tc>
        <w:tc>
          <w:tcPr>
            <w:tcW w:w="475" w:type="pct"/>
            <w:tcBorders>
              <w:top w:val="nil"/>
              <w:left w:val="nil"/>
              <w:bottom w:val="single" w:sz="4" w:space="0" w:color="auto"/>
              <w:right w:val="single" w:sz="4" w:space="0" w:color="auto"/>
            </w:tcBorders>
            <w:shd w:val="clear" w:color="auto" w:fill="auto"/>
            <w:vAlign w:val="center"/>
            <w:hideMark/>
          </w:tcPr>
          <w:p w14:paraId="640E6348"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 0 - 1</w:t>
            </w:r>
          </w:p>
        </w:tc>
        <w:tc>
          <w:tcPr>
            <w:tcW w:w="603" w:type="pct"/>
            <w:tcBorders>
              <w:top w:val="nil"/>
              <w:left w:val="nil"/>
              <w:bottom w:val="single" w:sz="4" w:space="0" w:color="auto"/>
              <w:right w:val="single" w:sz="4" w:space="0" w:color="auto"/>
            </w:tcBorders>
            <w:shd w:val="clear" w:color="auto" w:fill="auto"/>
            <w:vAlign w:val="center"/>
            <w:hideMark/>
          </w:tcPr>
          <w:p w14:paraId="1703B8D2"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Not reported</w:t>
            </w:r>
          </w:p>
        </w:tc>
        <w:tc>
          <w:tcPr>
            <w:tcW w:w="573" w:type="pct"/>
            <w:tcBorders>
              <w:top w:val="nil"/>
              <w:left w:val="nil"/>
              <w:bottom w:val="single" w:sz="4" w:space="0" w:color="auto"/>
              <w:right w:val="single" w:sz="4" w:space="0" w:color="auto"/>
            </w:tcBorders>
            <w:shd w:val="clear" w:color="auto" w:fill="auto"/>
            <w:vAlign w:val="center"/>
            <w:hideMark/>
          </w:tcPr>
          <w:p w14:paraId="04D606D7"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Vasospasm during admission, GOS, </w:t>
            </w:r>
            <w:proofErr w:type="spellStart"/>
            <w:r w:rsidRPr="00F7228F">
              <w:rPr>
                <w:rFonts w:ascii="Arial" w:eastAsia="Times New Roman" w:hAnsi="Arial" w:cs="Arial"/>
                <w:color w:val="000000"/>
              </w:rPr>
              <w:t>mRS</w:t>
            </w:r>
            <w:proofErr w:type="spellEnd"/>
            <w:r w:rsidRPr="00F7228F">
              <w:rPr>
                <w:rFonts w:ascii="Arial" w:eastAsia="Times New Roman" w:hAnsi="Arial" w:cs="Arial"/>
                <w:color w:val="000000"/>
              </w:rPr>
              <w:t xml:space="preserve"> at discharge</w:t>
            </w:r>
          </w:p>
        </w:tc>
        <w:tc>
          <w:tcPr>
            <w:tcW w:w="607" w:type="pct"/>
            <w:tcBorders>
              <w:top w:val="nil"/>
              <w:left w:val="nil"/>
              <w:bottom w:val="single" w:sz="4" w:space="0" w:color="auto"/>
              <w:right w:val="single" w:sz="4" w:space="0" w:color="auto"/>
            </w:tcBorders>
            <w:shd w:val="clear" w:color="auto" w:fill="auto"/>
            <w:vAlign w:val="center"/>
            <w:hideMark/>
          </w:tcPr>
          <w:p w14:paraId="21D12293"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IL-6, IL-10, and vasospasm were correlated with one another</w:t>
            </w:r>
          </w:p>
        </w:tc>
      </w:tr>
      <w:tr w:rsidR="00236A5B" w:rsidRPr="00F7228F" w14:paraId="1AA462C8" w14:textId="77777777" w:rsidTr="00236A5B">
        <w:trPr>
          <w:trHeight w:val="3180"/>
        </w:trPr>
        <w:tc>
          <w:tcPr>
            <w:tcW w:w="612" w:type="pct"/>
            <w:tcBorders>
              <w:top w:val="nil"/>
              <w:left w:val="single" w:sz="8" w:space="0" w:color="auto"/>
              <w:bottom w:val="single" w:sz="8" w:space="0" w:color="auto"/>
              <w:right w:val="single" w:sz="8" w:space="0" w:color="auto"/>
            </w:tcBorders>
            <w:shd w:val="clear" w:color="auto" w:fill="auto"/>
            <w:vAlign w:val="bottom"/>
            <w:hideMark/>
          </w:tcPr>
          <w:p w14:paraId="731146BD" w14:textId="36CBA57D" w:rsidR="00236A5B" w:rsidRPr="00F7228F" w:rsidRDefault="00236A5B" w:rsidP="000B242D">
            <w:pPr>
              <w:spacing w:after="0" w:line="240" w:lineRule="auto"/>
              <w:jc w:val="center"/>
              <w:rPr>
                <w:rFonts w:ascii="Arial" w:eastAsia="Times New Roman" w:hAnsi="Arial" w:cs="Arial"/>
                <w:b/>
                <w:bCs/>
                <w:color w:val="000000"/>
              </w:rPr>
            </w:pPr>
            <w:proofErr w:type="spellStart"/>
            <w:r w:rsidRPr="00F7228F">
              <w:rPr>
                <w:rFonts w:ascii="Arial" w:eastAsia="Times New Roman" w:hAnsi="Arial" w:cs="Arial"/>
                <w:b/>
                <w:bCs/>
                <w:color w:val="000000"/>
              </w:rPr>
              <w:t>Vlachogiannis</w:t>
            </w:r>
            <w:proofErr w:type="spellEnd"/>
            <w:r w:rsidRPr="00F7228F">
              <w:rPr>
                <w:rFonts w:ascii="Arial" w:eastAsia="Times New Roman" w:hAnsi="Arial" w:cs="Arial"/>
                <w:b/>
                <w:bCs/>
                <w:color w:val="000000"/>
              </w:rPr>
              <w:t xml:space="preserve"> et al., 2023 </w:t>
            </w:r>
            <w:r w:rsidRPr="00F7228F">
              <w:rPr>
                <w:rFonts w:ascii="Arial" w:eastAsia="Times New Roman" w:hAnsi="Arial" w:cs="Arial"/>
                <w:b/>
                <w:bCs/>
                <w:color w:val="000000"/>
              </w:rPr>
              <w:fldChar w:fldCharType="begin" w:fldLock="1"/>
            </w:r>
            <w:r w:rsidR="008507E1" w:rsidRPr="00F7228F">
              <w:rPr>
                <w:rFonts w:ascii="Arial" w:eastAsia="Times New Roman" w:hAnsi="Arial" w:cs="Arial"/>
                <w:b/>
                <w:bCs/>
                <w:color w:val="000000"/>
              </w:rPr>
              <w:instrText>ADDIN CSL_CITATION {"citationItems":[{"id":"ITEM-1","itemData":{"DOI":"10.1371/JOURNAL.PONE.0282424","ISSN":"1932-6203","PMID":"36893189","abstract":"Background Chemokines are small cytokines that exert chemotactic actions on immune cells and are involved in many inflammatory processes. The present study aims to provide insight in the role of this relatively unexplored family of proteins in the inflammatory pathophysiology of subarachnoid hemorrhage (SAH). Materials and methods Cerebrospinal fluid of 29 patients (17 female; mean age 57 years) was collected at days 1, 4 and 10 after SAH, centrifuged and frozen at -70C. Analysis of 92 inflammation-related proteins was performed using Target 96 Inflammation ® assay (Olink Proteomics, Uppsala, Sweden) based on Proximity Extension Assay technology. The panel included 20 chemokines (CCL2 (or MCP-1), CCL3, CCL4, CCL7 (or MCP-3), CCL8 (or MCP-2), CCL11 (or Eotaxin), CCL13 (or MCP-4), CCL19, CCL20, CCL23, CCL25, CCL28, CXCL1, CXCL5, CXCL6, CXCL8 (or IL-8), CXCL9, CXCL10, CXCL11 and CX3CL1 (or Fractalkine)) that were analyzed for their temporal patterns of expression and compared in dichotomized clinical groups based on World Federation of Neurosurgical Societies (WFNS) admission score and amount of blood on admission CT based on Fisher scale; presence of delayed cerebral ischemia(DCI)/delayed ischemic neurological deficit (DIND); and clinical outcome based on Glasgow Outcome Scale. Protein expression levels were provided in output unit Normalized Protein Expression (NPX). ANOVA models were used for statistical analyses. Results Four temporal patterns of expression were observed (i.e., early, middle, late peak and no peak). Significantly higher day 10 mean NPX values were observed in patients with poor outcome (GOS 1–3) for chemokines CCL2, CCL4, CCL7, CCL11, CCL13, CCL19, CCL20, CXCL1, CXCL5, CXCL6 and CXCL8. In the WFNS 4–5 group, CCL11 showed significantly higher day 4 and day 10 mean NPX values and CCL25 significantly higher day 4 values. In patients with SAH Fisher 4, CCL11 showed significantly higher mean NPX values on days 1, 4 and 10. Finally, patients with DCI/DIND had significantly higher day 4 mean NPX values of CXCL5. Conclusion Higher levels of multiple chemokines at the late stage of SAH seemed to correlate with worse clinical outcome. A few chemokines correlated with WFNS score, Fisher score and occurrence of DCI/DIND. Chemokines may be useful as biomarkers for describing the pathophysiology and prognosis of SAH. Further studies are needed to better understand their exact mechanism of action in the inflammatory cascade.","author":[{"dropping-particle":"","family":"Vlachogiannis","given":"Pavlos","non-dropping-particle":"","parse-names":false,"suffix":""},{"dropping-particle":"","family":"Hillered","given":"Lars","non-dropping-particle":"","parse-names":false,"suffix":""},{"dropping-particle":"","family":"Enblad","given":"Per","non-dropping-particle":"","parse-names":false,"suffix":""},{"dropping-particle":"","family":"Ronne-Engström","given":"Elisabeth","non-dropping-particle":"","parse-names":false,"suffix":""}],"container-title":"PloS one","id":"ITEM-1","issue":"3","issued":{"date-parts":[["2023","3","1"]]},"publisher":"PLoS One","title":"Elevated levels of several chemokines in the cerebrospinal fluid of patients with subarachnoid hemorrhage are associated with worse clinical outcome","type":"article-journal","volume":"18"},"uris":["http://www.mendeley.com/documents/?uuid=d05c5091-b798-38d6-93d9-75f9b2a2e7bb"]}],"mendeley":{"formattedCitation":"(63)","plainTextFormattedCitation":"(63)","previouslyFormattedCitation":"(63)"},"properties":{"noteIndex":0},"schema":"https://github.com/citation-style-language/schema/raw/master/csl-citation.json"}</w:instrText>
            </w:r>
            <w:r w:rsidRPr="00F7228F">
              <w:rPr>
                <w:rFonts w:ascii="Arial" w:eastAsia="Times New Roman" w:hAnsi="Arial" w:cs="Arial"/>
                <w:b/>
                <w:bCs/>
                <w:color w:val="000000"/>
              </w:rPr>
              <w:fldChar w:fldCharType="separate"/>
            </w:r>
            <w:r w:rsidR="008C09BB" w:rsidRPr="00F7228F">
              <w:rPr>
                <w:rFonts w:ascii="Arial" w:eastAsia="Times New Roman" w:hAnsi="Arial" w:cs="Arial"/>
                <w:bCs/>
                <w:noProof/>
                <w:color w:val="000000"/>
              </w:rPr>
              <w:t>(63)</w:t>
            </w:r>
            <w:r w:rsidRPr="00F7228F">
              <w:rPr>
                <w:rFonts w:ascii="Arial" w:eastAsia="Times New Roman" w:hAnsi="Arial" w:cs="Arial"/>
                <w:b/>
                <w:bCs/>
                <w:color w:val="000000"/>
              </w:rPr>
              <w:fldChar w:fldCharType="end"/>
            </w:r>
          </w:p>
        </w:tc>
        <w:tc>
          <w:tcPr>
            <w:tcW w:w="407" w:type="pct"/>
            <w:tcBorders>
              <w:top w:val="nil"/>
              <w:left w:val="single" w:sz="4" w:space="0" w:color="auto"/>
              <w:bottom w:val="single" w:sz="4" w:space="0" w:color="auto"/>
              <w:right w:val="single" w:sz="4" w:space="0" w:color="auto"/>
            </w:tcBorders>
            <w:shd w:val="clear" w:color="auto" w:fill="auto"/>
            <w:vAlign w:val="center"/>
            <w:hideMark/>
          </w:tcPr>
          <w:p w14:paraId="78D3BBEA"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29 SAH</w:t>
            </w:r>
          </w:p>
        </w:tc>
        <w:tc>
          <w:tcPr>
            <w:tcW w:w="559" w:type="pct"/>
            <w:tcBorders>
              <w:top w:val="nil"/>
              <w:left w:val="nil"/>
              <w:bottom w:val="single" w:sz="4" w:space="0" w:color="auto"/>
              <w:right w:val="single" w:sz="4" w:space="0" w:color="auto"/>
            </w:tcBorders>
            <w:shd w:val="clear" w:color="auto" w:fill="auto"/>
            <w:vAlign w:val="center"/>
            <w:hideMark/>
          </w:tcPr>
          <w:p w14:paraId="6DDCF891"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Prospective cohort study</w:t>
            </w:r>
          </w:p>
        </w:tc>
        <w:tc>
          <w:tcPr>
            <w:tcW w:w="502" w:type="pct"/>
            <w:tcBorders>
              <w:top w:val="nil"/>
              <w:left w:val="nil"/>
              <w:bottom w:val="single" w:sz="4" w:space="0" w:color="auto"/>
              <w:right w:val="single" w:sz="4" w:space="0" w:color="auto"/>
            </w:tcBorders>
            <w:shd w:val="clear" w:color="auto" w:fill="auto"/>
            <w:vAlign w:val="center"/>
            <w:hideMark/>
          </w:tcPr>
          <w:p w14:paraId="5138B68E"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CCL2 (or MCP-1), CCL3, CCL4, CCL7 (or MCP-3), CCL8 (or MCP-2), CCL11 (or </w:t>
            </w:r>
            <w:proofErr w:type="spellStart"/>
            <w:r w:rsidRPr="00F7228F">
              <w:rPr>
                <w:rFonts w:ascii="Arial" w:eastAsia="Times New Roman" w:hAnsi="Arial" w:cs="Arial"/>
                <w:color w:val="000000"/>
              </w:rPr>
              <w:t>Eotaxin</w:t>
            </w:r>
            <w:proofErr w:type="spellEnd"/>
            <w:r w:rsidRPr="00F7228F">
              <w:rPr>
                <w:rFonts w:ascii="Arial" w:eastAsia="Times New Roman" w:hAnsi="Arial" w:cs="Arial"/>
                <w:color w:val="000000"/>
              </w:rPr>
              <w:t xml:space="preserve">), CCL13 (or MCP-4), CCL19, CCL20, CCL23, CCL25, CCL28, CXCL1, CXCL5, CXCL6, CXCL8 (or IL-8), CXCL9, </w:t>
            </w:r>
            <w:r w:rsidRPr="00F7228F">
              <w:rPr>
                <w:rFonts w:ascii="Arial" w:eastAsia="Times New Roman" w:hAnsi="Arial" w:cs="Arial"/>
                <w:color w:val="000000"/>
              </w:rPr>
              <w:lastRenderedPageBreak/>
              <w:t>CXCL10, CXCL11 and CX3CL1</w:t>
            </w:r>
          </w:p>
        </w:tc>
        <w:tc>
          <w:tcPr>
            <w:tcW w:w="661" w:type="pct"/>
            <w:tcBorders>
              <w:top w:val="nil"/>
              <w:left w:val="nil"/>
              <w:bottom w:val="single" w:sz="4" w:space="0" w:color="auto"/>
              <w:right w:val="single" w:sz="4" w:space="0" w:color="auto"/>
            </w:tcBorders>
            <w:shd w:val="clear" w:color="auto" w:fill="auto"/>
            <w:vAlign w:val="center"/>
            <w:hideMark/>
          </w:tcPr>
          <w:p w14:paraId="07C04460"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CSF</w:t>
            </w:r>
          </w:p>
        </w:tc>
        <w:tc>
          <w:tcPr>
            <w:tcW w:w="475" w:type="pct"/>
            <w:tcBorders>
              <w:top w:val="nil"/>
              <w:left w:val="nil"/>
              <w:bottom w:val="single" w:sz="4" w:space="0" w:color="auto"/>
              <w:right w:val="single" w:sz="4" w:space="0" w:color="auto"/>
            </w:tcBorders>
            <w:shd w:val="clear" w:color="auto" w:fill="auto"/>
            <w:vAlign w:val="center"/>
            <w:hideMark/>
          </w:tcPr>
          <w:p w14:paraId="760BC1BB"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Days 1, 4, 10</w:t>
            </w:r>
          </w:p>
        </w:tc>
        <w:tc>
          <w:tcPr>
            <w:tcW w:w="603" w:type="pct"/>
            <w:tcBorders>
              <w:top w:val="nil"/>
              <w:left w:val="nil"/>
              <w:bottom w:val="single" w:sz="4" w:space="0" w:color="auto"/>
              <w:right w:val="single" w:sz="4" w:space="0" w:color="auto"/>
            </w:tcBorders>
            <w:shd w:val="clear" w:color="auto" w:fill="auto"/>
            <w:vAlign w:val="center"/>
            <w:hideMark/>
          </w:tcPr>
          <w:p w14:paraId="3C141F3D"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 xml:space="preserve">Four chemokines (CCL3, CCL4, CCL11 and CCL20) showed early peak and decreasing values. CCL28 showed a statistically significant middle peak. </w:t>
            </w:r>
            <w:proofErr w:type="gramStart"/>
            <w:r w:rsidRPr="00F7228F">
              <w:rPr>
                <w:rFonts w:ascii="Arial" w:eastAsia="Times New Roman" w:hAnsi="Arial" w:cs="Arial"/>
                <w:color w:val="000000"/>
              </w:rPr>
              <w:t>The majority of</w:t>
            </w:r>
            <w:proofErr w:type="gramEnd"/>
            <w:r w:rsidRPr="00F7228F">
              <w:rPr>
                <w:rFonts w:ascii="Arial" w:eastAsia="Times New Roman" w:hAnsi="Arial" w:cs="Arial"/>
                <w:color w:val="000000"/>
              </w:rPr>
              <w:t xml:space="preserve"> the chemokines (i.e., 11/20; notably, almost all members of the C-X-C chemokine family except </w:t>
            </w:r>
            <w:r w:rsidRPr="00F7228F">
              <w:rPr>
                <w:rFonts w:ascii="Arial" w:eastAsia="Times New Roman" w:hAnsi="Arial" w:cs="Arial"/>
                <w:color w:val="000000"/>
              </w:rPr>
              <w:lastRenderedPageBreak/>
              <w:t>CXCL5) showed increasing trends throughout the observation period and late peaks on day 10</w:t>
            </w:r>
          </w:p>
        </w:tc>
        <w:tc>
          <w:tcPr>
            <w:tcW w:w="573" w:type="pct"/>
            <w:tcBorders>
              <w:top w:val="nil"/>
              <w:left w:val="nil"/>
              <w:bottom w:val="single" w:sz="4" w:space="0" w:color="auto"/>
              <w:right w:val="single" w:sz="4" w:space="0" w:color="auto"/>
            </w:tcBorders>
            <w:shd w:val="clear" w:color="auto" w:fill="auto"/>
            <w:vAlign w:val="center"/>
            <w:hideMark/>
          </w:tcPr>
          <w:p w14:paraId="6AFF4E2F"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lastRenderedPageBreak/>
              <w:t>DCI during admission, GOS at 12 months</w:t>
            </w:r>
          </w:p>
        </w:tc>
        <w:tc>
          <w:tcPr>
            <w:tcW w:w="607" w:type="pct"/>
            <w:tcBorders>
              <w:top w:val="nil"/>
              <w:left w:val="nil"/>
              <w:bottom w:val="single" w:sz="4" w:space="0" w:color="auto"/>
              <w:right w:val="single" w:sz="4" w:space="0" w:color="auto"/>
            </w:tcBorders>
            <w:shd w:val="clear" w:color="auto" w:fill="auto"/>
            <w:vAlign w:val="center"/>
            <w:hideMark/>
          </w:tcPr>
          <w:p w14:paraId="5F6757E9" w14:textId="77777777" w:rsidR="00236A5B" w:rsidRPr="00F7228F" w:rsidRDefault="00236A5B" w:rsidP="000B242D">
            <w:pPr>
              <w:spacing w:after="0" w:line="240" w:lineRule="auto"/>
              <w:jc w:val="center"/>
              <w:rPr>
                <w:rFonts w:ascii="Arial" w:eastAsia="Times New Roman" w:hAnsi="Arial" w:cs="Arial"/>
                <w:color w:val="000000"/>
              </w:rPr>
            </w:pPr>
            <w:r w:rsidRPr="00F7228F">
              <w:rPr>
                <w:rFonts w:ascii="Arial" w:eastAsia="Times New Roman" w:hAnsi="Arial" w:cs="Arial"/>
                <w:color w:val="000000"/>
              </w:rPr>
              <w:t>Significantly higher day 10 mean values were observed in patients with poor outcome for chemokines CCL2, CCL4, CCL7, CCL11, CCL13, CCL19, CCL20, CXCL1, CXCL5, CXCL6 and CXCL8. Patients with DCI had significantly higher day 4 values of CXCL5</w:t>
            </w:r>
          </w:p>
        </w:tc>
      </w:tr>
    </w:tbl>
    <w:p w14:paraId="6803A821" w14:textId="6A87CD74" w:rsidR="00236A5B" w:rsidRPr="00F7228F" w:rsidRDefault="00236A5B" w:rsidP="000B242D">
      <w:pPr>
        <w:spacing w:after="0"/>
        <w:rPr>
          <w:rFonts w:ascii="Arial" w:hAnsi="Arial" w:cs="Arial"/>
          <w:b/>
          <w:bCs/>
        </w:rPr>
      </w:pPr>
    </w:p>
    <w:p w14:paraId="76301F2B" w14:textId="6734001B" w:rsidR="002E3FCD" w:rsidRPr="00F7228F" w:rsidRDefault="00236A5B" w:rsidP="000B242D">
      <w:pPr>
        <w:spacing w:after="0"/>
        <w:rPr>
          <w:rFonts w:ascii="Arial" w:hAnsi="Arial" w:cs="Arial"/>
          <w:b/>
          <w:bCs/>
          <w:iCs/>
        </w:rPr>
      </w:pPr>
      <w:r w:rsidRPr="00F7228F">
        <w:rPr>
          <w:rFonts w:ascii="Arial" w:hAnsi="Arial" w:cs="Arial"/>
          <w:b/>
          <w:bCs/>
        </w:rPr>
        <w:t>Appendix S3 –</w:t>
      </w:r>
      <w:r w:rsidR="002E3FCD" w:rsidRPr="00F7228F">
        <w:rPr>
          <w:rFonts w:ascii="Arial" w:hAnsi="Arial" w:cs="Arial"/>
          <w:b/>
          <w:bCs/>
        </w:rPr>
        <w:t xml:space="preserve"> Narrative summary of </w:t>
      </w:r>
      <w:r w:rsidR="002E3FCD" w:rsidRPr="00F7228F">
        <w:rPr>
          <w:rFonts w:ascii="Arial" w:hAnsi="Arial" w:cs="Arial"/>
          <w:b/>
          <w:bCs/>
          <w:iCs/>
        </w:rPr>
        <w:t>the association of cytokines with outcomes in patients with subarachnoid haemorrhage from existing studies.</w:t>
      </w:r>
    </w:p>
    <w:p w14:paraId="62A9EE78" w14:textId="77777777" w:rsidR="002E3FCD" w:rsidRPr="00F7228F" w:rsidRDefault="002E3FCD" w:rsidP="000B242D">
      <w:pPr>
        <w:spacing w:after="0"/>
        <w:rPr>
          <w:rFonts w:ascii="Arial" w:hAnsi="Arial" w:cs="Arial"/>
          <w:b/>
          <w:bCs/>
          <w:iCs/>
        </w:rPr>
      </w:pPr>
    </w:p>
    <w:p w14:paraId="2EE72123" w14:textId="1703F09D" w:rsidR="00652344" w:rsidRPr="00F7228F" w:rsidRDefault="000B242D" w:rsidP="00652344">
      <w:pPr>
        <w:spacing w:after="0" w:line="276" w:lineRule="auto"/>
        <w:rPr>
          <w:rFonts w:ascii="Arial" w:hAnsi="Arial" w:cs="Arial"/>
        </w:rPr>
      </w:pPr>
      <w:r w:rsidRPr="00F7228F">
        <w:rPr>
          <w:rFonts w:ascii="Arial" w:hAnsi="Arial" w:cs="Arial"/>
        </w:rPr>
        <w:t>Thirteen</w:t>
      </w:r>
      <w:r w:rsidR="002E3FCD" w:rsidRPr="00F7228F">
        <w:rPr>
          <w:rFonts w:ascii="Arial" w:hAnsi="Arial" w:cs="Arial"/>
        </w:rPr>
        <w:t xml:space="preserve"> studies have measured IL-6 in both CSF and plasma/serum, and have </w:t>
      </w:r>
      <w:r w:rsidRPr="00F7228F">
        <w:rPr>
          <w:rFonts w:ascii="Arial" w:hAnsi="Arial" w:cs="Arial"/>
        </w:rPr>
        <w:t xml:space="preserve">reported </w:t>
      </w:r>
      <w:r w:rsidR="002E3FCD" w:rsidRPr="00F7228F">
        <w:rPr>
          <w:rFonts w:ascii="Arial" w:hAnsi="Arial" w:cs="Arial"/>
        </w:rPr>
        <w:t>significantly higher levels of IL-6 in the CSF</w:t>
      </w:r>
      <w:r w:rsidRPr="00F7228F">
        <w:rPr>
          <w:rFonts w:ascii="Arial" w:hAnsi="Arial" w:cs="Arial"/>
        </w:rPr>
        <w:t xml:space="preserve"> </w:t>
      </w:r>
      <w:r w:rsidRPr="00F7228F">
        <w:rPr>
          <w:rFonts w:ascii="Arial" w:eastAsia="Times New Roman" w:hAnsi="Arial" w:cs="Arial"/>
          <w:color w:val="000000"/>
        </w:rPr>
        <w:fldChar w:fldCharType="begin" w:fldLock="1"/>
      </w:r>
      <w:r w:rsidR="008507E1" w:rsidRPr="00F7228F">
        <w:rPr>
          <w:rFonts w:ascii="Arial" w:eastAsia="Times New Roman" w:hAnsi="Arial" w:cs="Arial"/>
          <w:color w:val="000000"/>
        </w:rPr>
        <w:instrText>ADDIN CSL_CITATION {"citationItems":[{"id":"ITEM-1","itemData":{"DOI":"10.1136/JNNP.70.4.534","ISSN":"0022-3050","PMID":"11254783","abstract":"Subarachnoidal release of inflammatory cytokines (interleukin (IL)-1β, IL-6, and tumour necrosis factor (TNF)-α) was characterised in 35 patients with subarachnoid haemorrhage (SAH) and control subjects and compared with development of complicating haemodynamic abnormalities in basal cerebral arteries and clinical outcome. Serial analysis allowed the observation of a subacute response profile of these key mediators of inflammation in the subarachnoidal space. This compartmentalised inflammatory host response was closely associated in time and extent with development of increased blood flow velocities in the basal cerebral vessels as recorded by transcranial Doppler sonography. Moreover, intrathecal secretion of inflammatory cytokines was significantly increased in patients with poor clinical outcome. Together, these findings suggest a role of excessive compartmentalised inflammatory host response in pathogenesis of cerebrovascular complications after SAH.","author":[{"dropping-particle":"","family":"Fassbender","given":"K.","non-dropping-particle":"","parse-names":false,"suffix":""},{"dropping-particle":"","family":"Hodapp","given":"B.","non-dropping-particle":"","parse-names":false,"suffix":""},{"dropping-particle":"","family":"Rossol","given":"S.","non-dropping-particle":"","parse-names":false,"suffix":""},{"dropping-particle":"","family":"Bertsch","given":"T.","non-dropping-particle":"","parse-names":false,"suffix":""},{"dropping-particle":"","family":"Schmeck","given":"J.","non-dropping-particle":"","parse-names":false,"suffix":""},{"dropping-particle":"","family":"Schütt","given":"S.","non-dropping-particle":"","parse-names":false,"suffix":""},{"dropping-particle":"","family":"Fritzinger","given":"M.","non-dropping-particle":"","parse-names":false,"suffix":""},{"dropping-particle":"","family":"Horn","given":"P.","non-dropping-particle":"","parse-names":false,"suffix":""},{"dropping-particle":"","family":"Vajkoczy","given":"P.","non-dropping-particle":"","parse-names":false,"suffix":""},{"dropping-particle":"","family":"Kreisel","given":"S.","non-dropping-particle":"","parse-names":false,"suffix":""},{"dropping-particle":"","family":"Brunner","given":"J.","non-dropping-particle":"","parse-names":false,"suffix":""},{"dropping-particle":"","family":"Schmiedek","given":"P.","non-dropping-particle":"","parse-names":false,"suffix":""},{"dropping-particle":"","family":"Hennerici","given":"M.","non-dropping-particle":"","parse-names":false,"suffix":""}],"container-title":"Journal of Neurology, Neurosurgery &amp; Psychiatry","id":"ITEM-1","issue":"4","issued":{"date-parts":[["2001","4","1"]]},"page":"534-537","publisher":"J Neurol Neurosurg Psychiatry","title":"Inflammatory cytokines in subarachnoid haemorrhage: association with abnormal blood flow velocities in basal cerebral arteries","type":"article-journal","volume":"70"},"uris":["http://www.mendeley.com/documents/?uuid=53d2393b-1f17-41db-a801-7dfdbbacf4e5"]},{"id":"ITEM-2","itemData":{"DOI":"10.1055/S-0037-1604084","ISSN":"2193-6323","PMID":"28869993","abstract":"Background Subarachnoid hemorrhage (SAH) is a severe condition associated with high mortality. Early brain injury (EBI) plays an important role in the pathophysiology of SAH, and inflammation is a major contributor to EBI. Inflammation is a widely studied topic in both experimental and clinical conditions; however, just a few clinical studies have focused primarily on the early inflammatory response after SAH, and detailed information about the association between the dynamics of early inflammatory response with main clinical characteristics is lacking. This study analyzes the early dynamics of inflammatory response after SAH and evaluates the possible associations between the markers of early inflammatory response and main clinical characteristics. Patients and Methods A total of 47 patients with a diagnosis of aneurysmal SAH within the last 24 hours were enrolled in the study. All treatments, including treatment of aneurysm (surgery/coiling) and implantation of a drainage system (external ventricular drainage/lumbar catheter), were conducted in the same way as in other patients with this diagnosis. Blood and cerebrospinal fluid (CSF) samples were collected three times a day for 4 days. The dynamics of proinflammatory cytokines were assessed, and associations between levels of the proinflammatory cytokines interleukin (IL)-6, IL-1β, or tumor necrosis factor (TNF)α and main clinical characteristics were evaluated using linear mixed-effect models. Results The CSF levels of IL-6 were massively increased initially after SAH (up to 72 hours) with an additional increase in later phases (after 72 hours), but there was high variability in IL-6 levels. A significant association was noted between the Glasgow Outcome Scale score and both overall levels of IL-6 (p = 0.0095) and their dynamics (p = 0.0208); the effect of the Hunt and Hess scale was borderline (p = 0.0887). No association was found between IL-6 levels and Fisher grade, modality of treatment (surgery, coiling, no treatment), and later development of cerebral vasospasm. Plasmatic levels of IL-6 increased slightly, but no significant association was found. The levels of IL-1β and TNFα were within the physiologic range in both CSF and plasma. Conclusions Early dynamics of IL-6 in CSF are associated with a patient's outcome. But it is difficult to use IL-6 alone for outcome prediction due to its high variability. The question is whether the dynamics of IL-6 could be used in combination with other early m…","author":[{"dropping-particle":"","family":"Ďuriš","given":"Kamil","non-dropping-particle":"","parse-names":false,"suffix":""},{"dropping-particle":"","family":"Neuman","given":"Eduard","non-dropping-particle":"","parse-names":false,"suffix":""},{"dropping-particle":"","family":"Vybíhal","given":"Václav","non-dropping-particle":"","parse-names":false,"suffix":""},{"dropping-particle":"","family":"Juráå","given":"Vilém","non-dropping-particle":"","parse-names":false,"suffix":""},{"dropping-particle":"","family":"Gottwaldová","given":"Jana","non-dropping-particle":"","parse-names":false,"suffix":""},{"dropping-particle":"","family":"Kýr","given":"Michal","non-dropping-particle":"","parse-names":false,"suffix":""},{"dropping-particle":"","family":"Vašků","given":"Anna","non-dropping-particle":"","parse-names":false,"suffix":""},{"dropping-particle":"","family":"Smrčka","given":"Martin","non-dropping-particle":"","parse-names":false,"suffix":""}],"container-title":"Journal of neurological surgery. Part A, Central European neurosurgery","id":"ITEM-2","issue":"2","issued":{"date-parts":[["2018","3","1"]]},"page":"145-151","publisher":"J Neurol Surg A Cent Eur Neurosurg","title":"Early Dynamics of Interleukin-6 in Cerebrospinal Fluid after Aneurysmal Subarachnoid Hemorrhage","type":"article-journal","volume":"79"},"uris":["http://www.mendeley.com/documents/?uuid=210ae3b6-3b7b-3e68-83b6-24187e50ae43"]},{"id":"ITEM-3","itemData":{"DOI":"10.1016/J.CYTO.2019.154778","ISSN":"1096-0023","PMID":"31323526","abstract":"Introduction: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-3","issued":{"date-parts":[["2019","11","1"]]},"publisher":"Cytokine","title":"Compartmentalisation of the inflammatory response following aneurysmal subarachnoid haemorrhage","type":"article-journal","volume":"123"},"uris":["http://www.mendeley.com/documents/?uuid=3ea37f2c-2423-40f3-aa94-54cc1f8c4b7d"]},{"id":"ITEM-4","itemData":{"DOI":"10.1016/J.WNEU.2018.10.113","ISSN":"1878-8769","PMID":"30814021","abstract":"Background: Inflammatory processes play a key role in the pathophysiology of subarachnoid hemorrhage (SAH). This study evaluated whether different temporal patterns of intrathecal and systemic inflammation could be identified in the acute phase after SAH. The intensity of the inflammation was also assessed in clinical subgroups. Methods: Cerebrospinal fluid (CSF) and blood samples were collected at days 1, 4, and 10 after ictus in 44 patients with severe SAH. Interleukin-6 (IL-6) was analyzed by a routine monoclonal antibody-based method. Median IL-6 values for each day were calculated. Day 4 IL-6 values were compared in dichotomized groups (age, sex, World Federation of Neurosurgical Societies [WFNS] grade, Fisher scale grade, outcome, vasospasm, central nervous system infection and systemic infections). Results: CSF IL-6 levels were significantly elevated from day 1 to days 4 and 10, whereas plasma IL-6 showed a different trend at lower levels. Median CSF IL-6 concentrations for days 1, 4, and 10 were 876.5, 3361, and 1567 ng/L, whereas plasma was 26, 27.5, and 15.9 ng/L, respectively. No significant differences in CSF concentrations were observed between the subgroups, with the most prominent one being in day 4 IL-6 in the WFNS subgroups (grades 1–3 vs. 4–5, 1158.5 vs. 5538 ng/L; P = 0.056). Patients with systemic infection had significantly higher plasma IL-6 concentrations than patients without infection (31 vs. 16.05 ng/L, respectively; P = 0.028). Conclusions: Distinctly different inflammatory patterns could be seen intrathecally compared with the systemic circulation. In plasma, a significant difference in the intensity of the inflammation was seen in cases with systemic infection. No other subgroup showed statistically significant differences.","author":[{"dropping-particle":"","family":"Vlachogiannis","given":"Pavlos","non-dropping-particle":"","parse-names":false,"suffix":""},{"dropping-particle":"","family":"Hillered","given":"Lars","non-dropping-particle":"","parse-names":false,"suffix":""},{"dropping-particle":"","family":"Khalil","given":"Fattema","non-dropping-particle":"","parse-names":false,"suffix":""},{"dropping-particle":"","family":"Enblad","given":"Per","non-dropping-particle":"","parse-names":false,"suffix":""},{"dropping-particle":"","family":"Ronne-Engström","given":"Elisabeth","non-dropping-particle":"","parse-names":false,"suffix":""}],"container-title":"World neurosurgery","id":"ITEM-4","issued":{"date-parts":[["2019","2","1"]]},"page":"e612-e618","publisher":"World Neurosurg","title":"Interleukin-6 Levels in Cerebrospinal Fluid and Plasma in Patients with Severe Spontaneous Subarachnoid Hemorrhage","type":"article-journal","volume":"122"},"uris":["http://www.mendeley.com/documents/?uuid=1bcb69b6-70ff-4861-91e1-b2ae40f7e345"]},{"id":"ITEM-5","itemData":{"DOI":"10.1007/S12028-010-9432-4/FIGURES/2","ISSN":"15416933","PMID":"20725805","abstract":"Background: This study examines the inflammatory response via interleukin-6 (IL-6) in aneurysmal subarachnoid hemorrhage (aSAH) patients and its association with their clinical course (occurrence of acute focal neurological deficits, AFND; and delayed cerebral ischemia, DCI). Methods: A total of 38 consecutive aSAH patients were studied prospectively within 14 days after admission and classified as asymptomatic (n = 9; WFNS grade 1 (1-2), median and quartiles) and symptomatic (n = 29; WFNS grade 4 (2-5)); the latter presenting with AFND (n = 13), DCI (n = 10) or both (n = 6). Levels of pro-inflammatory cytokine IL-6 were determined in cerebral extracellular fluid (ECF, using cerebral microdialysis), cerebrospinal fluid (CSF) and plasma for 10 days after aSAH. Additionally, C-reactive protein (CRP) levels were measured in plasma. Results: High IL-6 levels in CSF, ECF and plasma were found in all patients, reflecting a pronounced local inflammatory response after aSAH, followed only in symptomatic patients by a delayed systemic inflammation (CRP P &lt; 0.025, days 7-9 after aSAH). In all compartments, IL-6 levels appeared to be higher in symptomatic patients, accompanied also by a higher ECF lactate-pyruvate ratio (P = 0.04). Cerebral, but not plasma IL-6, levels were indicative of the development of DCI in symptomatic patients (ECF P = 0.003; CSF P = 0.001). Conclusions: A pronounced initial cerebral inflammatory state was observed in patients of all WFNS grades, suggesting that IL-6 elevations are not necessarily detrimental. Cerebral, but not plasma IL-6, levels were predictive of the development of delayed ischemic deficits in symptomatic patients, suggesting that CSF or ECF are the best sampling media for future studies. © 2010 Springer Science+Business Media, LLC.","author":[{"dropping-particle":"","family":"Sarrafzadeh","given":"Asita","non-dropping-particle":"","parse-names":false,"suffix":""},{"dropping-particle":"","family":"Schlenk","given":"Florian","non-dropping-particle":"","parse-names":false,"suffix":""},{"dropping-particle":"","family":"Gericke","given":"Christine","non-dropping-particle":"","parse-names":false,"suffix":""},{"dropping-particle":"","family":"Vajkoczy","given":"Peter","non-dropping-particle":"","parse-names":false,"suffix":""}],"container-title":"Neurocritical Care","id":"ITEM-5","issue":"3","issued":{"date-parts":[["2010","12","20"]]},"page":"339-346","publisher":"Springer","title":"Relevance of cerebral interleukin-6 after aneurysmal subarachnoid hemorrhage","type":"article-journal","volume":"13"},"uris":["http://www.mendeley.com/documents/?uuid=37cacf00-41ce-4e1c-80bd-7eb871e9118e"]},{"id":"ITEM-6","itemData":{"DOI":"10.1179/016164109X12464612122650","PMID":"19682408","abstract":"Objective: There is a rising debate about the role of inflammation in the pathogenesis of complications after aneurysmal subarachnoid hemorrhage (SAH) such as intracranial hypertension (intracranial pressure, ICP &gt;20 mmHg). This study aimed to analyse the origin of interleukin-6 (IL-6) in respect to ICP and cerebral metabolism in SAH patients. Methods: Prospectively, IL-6 was measured in three compartments, the extracellular fluid (ECF) monitored by cerebral microdialysis (MD), cerebrospinal fluid (CSF) and plasma for 10 days after SAH (days 0-4, three times daily; days 5-10, two times daily). Patients were classified having intracranial hypertension (n=7) or normal ICP (n=17) during 10 days after bleeding. Glasgow outcome scale (GOS) was assessed after 3 and 6 months. Results: Patient groups were comparable for age, WFNS and Fisher grade. Intracranial hypertension was associated with an inflammatory response, indicating activation of the inflammatory cascade in the brain (ECF) and systemic circulation with high IL-6 and C-reactive protein (CRP) plasma levels after SAH, the latter associated with unfavourable outcome. The data suggest the ECF but not the CSF as main origin of IL-6 in the systemic circulation in the presence of intracranial hypertension in SAH. Discussion: Intracranial hypertension is associated with a strong activation of the inflammatory cascade in the brain and systemic circulation, and might be underestimated as proinflammmatory trigger in the pathogenesis of complications after SAH. Future therapies targeting anti-inflammatory response in plasma may help to reduce the inflammatory cascade responsible for development of intracranial hypertension. © 2010 Maney Publishing.","author":[{"dropping-particle":"","family":"Graetz","given":"Daniela","non-dropping-particle":"","parse-names":false,"suffix":""},{"dropping-particle":"","family":"Nagel","given":"Alexandra","non-dropping-particle":"","parse-names":false,"suffix":""},{"dropping-particle":"","family":"Schlenk","given":"Florian","non-dropping-particle":"","parse-names":false,"suffix":""},{"dropping-particle":"","family":"Sakowitz","given":"Oliver","non-dropping-particle":"","parse-names":false,"suffix":""},{"dropping-particle":"","family":"Vajkoczy","given":"Peter","non-dropping-particle":"","parse-names":false,"suffix":""},{"dropping-particle":"","family":"Sarrafzadeh","given":"Asita","non-dropping-particle":"","parse-names":false,"suffix":""}],"container-title":"Neurological research","id":"ITEM-6","issue":"7","issued":{"date-parts":[["2010","9","1"]]},"page":"728-735","title":"High ICP as trigger of proinflammatory IL-6 cytokine activation in aneurysmal subarachnoid hemorrhage","type":"article-journal","volume":"32"},"uris":["http://www.mendeley.com/documents/?uuid=3c564ccc-6ba7-4c92-b5c8-82d52535b769"]},{"id":"ITEM-7","itemData":{"DOI":"10.3171/JNS.1993.78.4.0562","ISSN":"0022-3085","PMID":"8450329","abstract":"Serum and cerebrospinal fluid (CSF) samples from 12 patients were analyzed for interleukin (IL)-6, soluble IL-2 receptor (IL-2R), and soluble CD8 levels in order to determine the immune activation profile following subarachnoid hemorrhage (SAH). Dramatically increased levels of IL-6 and moderate increases of soluble IL-2R were detected in the CSF in 11 of the 12 patients; slightly elevated levels of soluble CD8 were observed in six patients. The IL-6 levels were higher on Day 6 than on Days 3 and 9. The increases in IL- 6, soluble IL-2R, and soluble CD8 levels in the CSF samples were not paralleled by increased values in the serum samples, and thus probably reflected an intrathecal synthesis of the cytokine. Passive transfer of IL-6 across the blood-brain barrier seemed not to occur since the serum and CSF levels of IL-6 showed a negative correlation. The findings suggest a severe inflammatory affection of the central nervous system that could be of importance in understanding the clinical course in patients following SAH.","author":[{"dropping-particle":"","family":"Mathiesen","given":"T.","non-dropping-particle":"","parse-names":false,"suffix":""},{"dropping-particle":"","family":"Andersson","given":"B.","non-dropping-particle":"","parse-names":false,"suffix":""},{"dropping-particle":"","family":"Loftenius","given":"A.","non-dropping-particle":"","parse-names":false,"suffix":""},{"dropping-particle":"","family":"Holst","given":"H.","non-dropping-particle":"Von","parse-names":false,"suffix":""}],"container-title":"Journal of neurosurgery","id":"ITEM-7","issue":"4","issued":{"date-parts":[["1993"]]},"page":"562-567","publisher":"J Neurosurg","title":"Increased interleukin-6 levels in cerebrospinal fluid following subarachnoid hemorrhage","type":"article-journal","volume":"78"},"uris":["http://www.mendeley.com/documents/?uuid=c331c873-cfff-3eb1-b851-5f21c6d2b0d1"]},{"id":"ITEM-8","itemData":{"DOI":"10.1080/01616412.1995.11740296","ISSN":"0161-6412","PMID":"7609845","abstract":"Pathophysiological mechanisms for vasospasm after subarachnoid haemorrhage (SAH) remain unclear and, so far, roles of cytokines in vasospasm have not been known. In the present study, we measured interleukin-1α (IL-1α), interleukin-1β (IL-1β), interleukin-6 (IL-6), interleukin-8 (IL-8), and tumour necrosis factor-α (TNF-α) concentrations in the cerebrospinal fluid (CSF) of patients with subarachnoid haemorrhage (SAH). ELISA assay were performed on 21 CSF samples from 7 patients with SAH and on 4 sera samples. Both IL-6 and IL-8 were detected in all CSF samples, but IL-1α, IL-1β, and TNF-α were not detected. IL-6 and IL-8 were also detected in sera, but at much lower concentrations. This study indicates that IL-6 and IL-8 may play roles as immunomodulators in patients with SAH. In addition, it has been reported that IL-6 inhibits prostaglandin I2 production and increases the mRNA level of c-sis gene, suggesting that IL-6 may play an important role in vasospasm as vasoconstrictor.","author":[{"dropping-particle":"","family":"Kikuchi","given":"T.","non-dropping-particle":"","parse-names":false,"suffix":""},{"dropping-particle":"","family":"Okuda","given":"Y.","non-dropping-particle":"","parse-names":false,"suffix":""},{"dropping-particle":"","family":"Kaito","given":"N.","non-dropping-particle":"","parse-names":false,"suffix":""},{"dropping-particle":"","family":"Abe","given":"T.","non-dropping-particle":"","parse-names":false,"suffix":""}],"container-title":"Neurological research","id":"ITEM-8","issue":"2","issued":{"date-parts":[["1995"]]},"page":"106-108","publisher":"Neurol Res","title":"Cytokine production in cerebrospinal fluid after subarachnoid haemorrhage","type":"article-journal","volume":"17"},"uris":["http://www.mendeley.com/documents/?uuid=f2bd4311-f6fc-3534-9462-e7879f989b34"]},{"id":"ITEM-9","itemData":{"DOI":"10.1007/S007010050197/METRICS","ISSN":"00016268","PMID":"9842432","abstract":"The authors characterized the role of interleukins in the cerebrospinal fluid (CSF) in the development of vasospasm after subarachnoid haemorrhage (SAH), particularly interleukin-6 (IL-6). Concentrations of interleukin-1β (IL-1 β), IL-6, and interleukin-8 (IL-8) were measured serially in CSF of 24 patients and in serum of 9 patients with SAH and correlated clinically. Additionally, the effects of the same cytokines on the cerebral arteries of dogs were analyzed on angiograms after intracisternal injection. Changes in levels of eicosanoids, angiogenic factors, and soluble cell adhesion molecules were investigated in the CSF of injected dogs. CSF concentrations of IL-6 and IL-8 were elevated significantly above control levels from the acute stage of SAH until the chronic stage. Patients with symptomatic vasospasm had significantly higher levels of IL-6 as well as IL-8 in CSF on days 5 and 7. Intracisternal injection of IL-6 induced long-lasting vasoconstriction in five out of eight dogs, while IL-8 did not. The diameter of canine basilar artery after IL-6 was reduced 29 ± 5% from pretreatment diameter at 8 hours. Prostaglandins E2 and I2 were elevated in CSF for the first 4.5 hour of this IL-6-induced vasospasm. Neither angioenic factors such as platelet-derived growth factor-AB and vascular endothelial growth factor nor soluble cell adhesion molecules were significantly elevated in CSF. IL-6, which increases to very high concentrations in CSF after SAH, may be important in inducing vasospasm, as IL-6 produced long-lasting vasoconstriction in the canine cerebral artery, which may be partly related to activation of the prostaglandin cascade.","author":[{"dropping-particle":"","family":"Osuka","given":"K.","non-dropping-particle":"","parse-names":false,"suffix":""},{"dropping-particle":"","family":"Suzuki","given":"Y.","non-dropping-particle":"","parse-names":false,"suffix":""},{"dropping-particle":"","family":"Tanazawa","given":"T.","non-dropping-particle":"","parse-names":false,"suffix":""},{"dropping-particle":"","family":"Hattori","given":"K.","non-dropping-particle":"","parse-names":false,"suffix":""},{"dropping-particle":"","family":"Yamamoto","given":"N.","non-dropping-particle":"","parse-names":false,"suffix":""},{"dropping-particle":"","family":"Takayasu","given":"M.","non-dropping-particle":"","parse-names":false,"suffix":""},{"dropping-particle":"","family":"Shibuya","given":"M.","non-dropping-particle":"","parse-names":false,"suffix":""},{"dropping-particle":"","family":"Yoshida","given":"J.","non-dropping-particle":"","parse-names":false,"suffix":""}],"container-title":"Acta Neurochirurgica","id":"ITEM-9","issue":"9","issued":{"date-parts":[["1998"]]},"page":"943-951","publisher":"Springer","title":"Interleukin-6 and development of vasospasm after subarachnoid haemorrhage","type":"article-journal","volume":"140"},"uris":["http://www.mendeley.com/documents/?uuid=3f26e22a-9bd2-3b0a-b025-4b3ed52ab1db"]},{"id":"ITEM-10","itemData":{"DOI":"10.1097/00008506-200010000-00001","ISSN":"0898-4921","PMID":"11147377","abstract":"Postsubarachnoid hemorrhage, systemic inflammatory response syndrome and associated organ system failure are more frequently found in patients in poor neurologic condition. Since subarachnoid hemorrhage causes a profound intrathecal inflammatory response with production of proinflammatory cytokines TNFα, IL-1β, and IL-6, a possible explanation for this association is that brain-derived cytokines may enter the systemic circulation in the presence of postsubarachnoid hemorrhage blood brain barrier disruption to systemically activate inflammatory cascades and thereby contribute to the development of postsubarachnoid hemorrhage systemic inflammatory response syndrome and extracerebral organ system failures. In 44 patients with aneurysmal subarachnoid hemorrhage admitted within 3 days of the initial bleed, extracerebral organ system functions were assessed individually and in aggregate using the modified Multiple Organ Dysfunction Score. Serum and cerebrospinal fluid concentrations of soluble tumor necrosis factor-α receptor-I, interleukin-1β receptor antagonist, and IL-6 were determined during the first 2 weeks after subarachnoid hemorrhage and tested for correlation with (1) admission Hunt-Hess grade, (2) development of systemic inflammatory response syndrome and extracerebral organ system failures, and (3) neurologic outcome. The development of postsubarachnoid hemorrhage systemic inflammatory response syndrome and extracerebral organ system failures was paralleled by a significant increase in serum but not in cerebrospinal fluid levels of soluble tumor necrosis factor-α receptor-I and IL-1ra, that is, patients with and without extracerebral organ system failures did not differ in pattern and time course of cerebrospinal fluid cytokine concentrations. In contrast, increasing soluble tumor necrosis factor-α receptor-I and interleukin-1β receptor antagonist serum levels correlated with a higher Multiple Organ Dysfunction score and with individual organ system dysfunctions. Postsubarachnoid hemorrhage, systemic inflammatory response syndrome and extracerebral organ system failures could therefore not be linked to changes in cerebrospinal fluid cytokine concentration profiles.","author":[{"dropping-particle":"","family":"Gruber","given":"Andreas","non-dropping-particle":"","parse-names":false,"suffix":""},{"dropping-particle":"","family":"Rössler","given":"Karl","non-dropping-particle":"","parse-names":false,"suffix":""},{"dropping-particle":"","family":"Graninger","given":"Wolfgang","non-dropping-particle":"","parse-names":false,"suffix":""},{"dropping-particle":"","family":"Donner","given":"Andrew","non-dropping-particle":"","parse-names":false,"suffix":""},{"dropping-particle":"","family":"Illievich","given":"Udo M.","non-dropping-particle":"","parse-names":false,"suffix":""},{"dropping-particle":"","family":"Czech","given":"Thomas","non-dropping-particle":"","parse-names":false,"suffix":""}],"container-title":"Journal of neurosurgical anesthesiology","id":"ITEM-10","issue":"4","issued":{"date-parts":[["2000"]]},"page":"297-306","publisher":"J Neurosurg Anesthesiol","title":"Ventricular cerebrospinal fluid and serum concentrations of sTNFR-I, IL-1ra, and IL-6 after aneurysmal subarachnoid hemorrhage","type":"article-journal","volume":"12"},"uris":["http://www.mendeley.com/documents/?uuid=19135cbb-0cba-353c-9ba1-cde903e47c15"]},{"id":"ITEM-11","itemData":{"DOI":"10.18926/AMO/56456","ISSN":"0386-300X","PMID":"30820052","abstract":"Cerebral vasospasm (CVS) is a major contributor to the high morbidity and mortality of aneurysmal subarachnoid hemorrhage (aSAH) patients. We measured histidine-rich glycoprotein (HRG), a new biomarker of aSAH, in cerebrospinal fluid (CSF) to investigate whether HRG might be an early predictor of CVS. A total of seven controls and 14 aSAH patients (8 males, 6 females aged 53.4±15.4 years) were enrolled, and serial CSF and serum samples were taken. We allocated these samples to three phases (T1-T3) and measured HRG, interleukin (IL)-6, fibrinopeptide A (FpA), and 8-hydroxy-2'-deoxyguanosine (8OHdG) in the CSF, and the HRG in serum. We also examined the release of HRG in rat blood incubated in artificial CSF. In contrast to the other biomarkers examined, the change in the CSF HRG concentration was significantly different between the nonspasm and spasm groups (p &lt; 0.01). The rat blood/CSF model revealed a time course similar to that of the human CSF samples in the non-spasm group. HRG thus appears to have the potential to become an early predictor of CVS. In addition, the interaction of HRG with IL-6, FpA, and 8OHdG may form the pathology of CVS.","author":[{"dropping-particle":"","family":"Matsumoto","given":"Atsushi","non-dropping-particle":"","parse-names":false,"suffix":""},{"dropping-particle":"","family":"Nakamura","given":"Takehiro","non-dropping-particle":"","parse-names":false,"suffix":""},{"dropping-particle":"","family":"Shinomiya","given":"Aya","non-dropping-particle":"","parse-names":false,"suffix":""},{"dropping-particle":"","family":"Kawakita","given":"Kenya","non-dropping-particle":"","parse-names":false,"suffix":""},{"dropping-particle":"","family":"Kawanishi","given":"Masahiko","non-dropping-particle":"","parse-names":false,"suffix":""},{"dropping-particle":"","family":"Miyake","given":"Keisuke","non-dropping-particle":"","parse-names":false,"suffix":""},{"dropping-particle":"","family":"Kuroda","given":"Yasuhiro","non-dropping-particle":"","parse-names":false,"suffix":""},{"dropping-particle":"","family":"Keep","given":"Richard F.","non-dropping-particle":"","parse-names":false,"suffix":""},{"dropping-particle":"","family":"Tamiya","given":"Takashi","non-dropping-particle":"","parse-names":false,"suffix":""}],"container-title":"Acta medica Okayama","id":"ITEM-11","issue":"1","issued":{"date-parts":[["2019"]]},"page":"29-39","publisher":"Acta Med Okayama","title":"Histidine-rich Glycoprotein Could Be an Early Predictor of Vasospasm after Aneurysmal Subarachnoid Hemorrhage","type":"article-journal","volume":"73"},"uris":["http://www.mendeley.com/documents/?uuid=8f487f11-f788-4095-990c-1303d3c186ac"]},{"id":"ITEM-12","itemData":{"DOI":"10.1055/S-0039-1677827","ISSN":"2193-6323","PMID":"31272120","abstract":"Objective âTo highlight the impact of aneurysmal subarachnoid hemorrhage (SAH) on surviving patients' health-related quality of life (HRQoL) with respect to cortisol and interleukin (IL)-6 alterations and also to identify possible clinical predictors for a better HRQoL. Methods âFifty surviving patients treated in our hospital for aneurysmal SAH in a 2-year period with sufficient HRQoL data were enrolled. A good clinical outcome was represented by the modified Rankin Scale (MRS) 0 to 2. The patient's HRQoL was assessed using the Short Form health survey questionnaire, the Beck Depression Inventory, and the Daily Fatigue Impact Scale at 6 and 12 months. The results were analyzed regarding possible correlation to 24-hour urinary free cortisol, serum, and cerebrospinal fluid IL-6 levels. Results âA reduction of HRQoL in up to 35% of survivors was observed at 6 months and in a high proportion of patients (47.2%) with an assumable good outcome (MRS 0-2). Reduced HRQoL in survivors was found in terms of SF-36 (34.9%), depression (26.8%), and fatigue (14%) at 6 months and 18.4%, 39.4%, and 18.9% at 12 months, respectively. Improvement was recorded at 12 months, mainly in SF-36. Early elevated 24-hour urinary free cortisol and IL-6 levels showed a significant positive impact on HRQoL. Conclusions âEarly cortisol and IL-6 levels may predict patients' HRQoL after SAH. Twelve months after SAH, a considerable percentage of patients with a presumably good outcome (MRS 0-2) had a lower HRQoL compared with the general population. Implementing corresponding tests at discharge and 12-month follow-up is recommended.","author":[{"dropping-particle":"","family":"Ridwan","given":"Sami","non-dropping-particle":"","parse-names":false,"suffix":""},{"dropping-particle":"","family":"Greschus","given":"Susanne","non-dropping-particle":"","parse-names":false,"suffix":""},{"dropping-particle":"","family":"Boström","given":"Jan","non-dropping-particle":"","parse-names":false,"suffix":""},{"dropping-particle":"","family":"Barrera","given":"Julio","non-dropping-particle":"","parse-names":false,"suffix":""},{"dropping-particle":"","family":"Esche","given":"Jonas","non-dropping-particle":"","parse-names":false,"suffix":""},{"dropping-particle":"","family":"Zur","given":"Bernd","non-dropping-particle":"","parse-names":false,"suffix":""},{"dropping-particle":"","family":"Klingmüller","given":"Dietrich","non-dropping-particle":"","parse-names":false,"suffix":""},{"dropping-particle":"","family":"Boström","given":"Azize","non-dropping-particle":"","parse-names":false,"suffix":""}],"container-title":"Journal of neurological surgery. Part A, Central European neurosurgery","id":"ITEM-12","issue":"5","issued":{"date-parts":[["2019"]]},"page":"371-380","publisher":"J Neurol Surg A Cent Eur Neurosurg","title":"Spontaneous Aneurysmal Subarachnoid Hemorrhage and Related Cortisol and Immunologic Alterations: Impact on Patients' Health-related Quality of Life","type":"article-journal","volume":"80"},"uris":["http://www.mendeley.com/documents/?uuid=5d112380-a4a4-386c-8463-6b91b3590fd0"]},{"id":"ITEM-13","itemData":{"DOI":"10.1016/J.JNEUROIM.2020.577310","ISSN":"1872-8421","PMID":"32623101","abstract":"To evaluate cerebrospinal fluid (CSF) and peripheral blood (PB) Treg, TH17 cells, TH1, TH2 and related cytokines in the acute phase of aSAH we assessed TH17, TH1, TH2, T regulatory cells and neutrophils in 39 aneurysmal subarachnoid hemorrhage (aSAH) patients and 56 controls. PB TH17 cells and TH17/Treg ratio were higher in CSF and PB of aSAH patients. Serum and CSF IL-17A levels were increased in aSAH. Serum IL-17A levels were associated with vasospasm and ICU mortality. Study results support the role of TH17/IL17 axis in aSAH pathogenesis, turning it into a potential clinical biomarker and a novel target for research.","author":[{"dropping-particle":"","family":"Moraes","given":"Leandro","non-dropping-particle":"","parse-names":false,"suffix":""},{"dropping-particle":"","family":"Trias","given":"Natalia","non-dropping-particle":"","parse-names":false,"suffix":""},{"dropping-particle":"","family":"Brugnini","given":"Andreina","non-dropping-particle":"","parse-names":false,"suffix":""},{"dropping-particle":"","family":"Grille","given":"Pedro","non-dropping-particle":"","parse-names":false,"suffix":""},{"dropping-particle":"","family":"Lens","given":"Daniela","non-dropping-particle":"","parse-names":false,"suffix":""},{"dropping-particle":"","family":"Biestro","given":"Alberto","non-dropping-particle":"","parse-names":false,"suffix":""},{"dropping-particle":"","family":"Grille","given":"Sofia","non-dropping-particle":"","parse-names":false,"suffix":""}],"container-title":"Journal of neuroimmunology","id":"ITEM-13","issued":{"date-parts":[["2020","9","15"]]},"publisher":"J Neuroimmunol","title":"TH17/Treg imbalance and IL-17A increase after severe aneurysmal subarachnoid hemorrhage","type":"article-journal","volume":"346"},"uris":["http://www.mendeley.com/documents/?uuid=e9d372d6-a093-4676-9c0d-864a2238eaf5"]}],"mendeley":{"formattedCitation":"(1,2,50,51,54,7–9,13,14,39,47,48)","plainTextFormattedCitation":"(1,2,50,51,54,7–9,13,14,39,47,48)","previouslyFormattedCitation":"(1,2,7–9,13,14,39,47,48,50,51,54)"},"properties":{"noteIndex":0},"schema":"https://github.com/citation-style-language/schema/raw/master/csl-citation.json"}</w:instrText>
      </w:r>
      <w:r w:rsidRPr="00F7228F">
        <w:rPr>
          <w:rFonts w:ascii="Arial" w:eastAsia="Times New Roman" w:hAnsi="Arial" w:cs="Arial"/>
          <w:color w:val="000000"/>
        </w:rPr>
        <w:fldChar w:fldCharType="separate"/>
      </w:r>
      <w:r w:rsidR="008507E1" w:rsidRPr="00F7228F">
        <w:rPr>
          <w:rFonts w:ascii="Arial" w:eastAsia="Times New Roman" w:hAnsi="Arial" w:cs="Arial"/>
          <w:noProof/>
          <w:color w:val="000000"/>
        </w:rPr>
        <w:t>(1,2,50,51,54,7–9,13,14,39,47,48)</w:t>
      </w:r>
      <w:r w:rsidRPr="00F7228F">
        <w:rPr>
          <w:rFonts w:ascii="Arial" w:eastAsia="Times New Roman" w:hAnsi="Arial" w:cs="Arial"/>
          <w:color w:val="000000"/>
        </w:rPr>
        <w:fldChar w:fldCharType="end"/>
      </w:r>
      <w:r w:rsidR="00D50FA7" w:rsidRPr="00F7228F">
        <w:rPr>
          <w:rFonts w:ascii="Arial" w:eastAsia="Times New Roman" w:hAnsi="Arial" w:cs="Arial"/>
          <w:color w:val="000000"/>
        </w:rPr>
        <w:t>.</w:t>
      </w:r>
      <w:r w:rsidR="00652344" w:rsidRPr="00F7228F">
        <w:rPr>
          <w:rFonts w:ascii="Arial" w:hAnsi="Arial" w:cs="Arial"/>
        </w:rPr>
        <w:t xml:space="preserve"> </w:t>
      </w:r>
      <w:r w:rsidR="002E3FCD" w:rsidRPr="00F7228F">
        <w:rPr>
          <w:rFonts w:ascii="Arial" w:hAnsi="Arial" w:cs="Arial"/>
        </w:rPr>
        <w:t xml:space="preserve">Although several existing studies have presented graphical trends of small series of CSF or plasma/serum cytokine levels with time that would be consistent with our findings, few have presented them together and none have discussed the implications of any differences between the compartments. Two small series of SAH patients (n = 38 and n = 12) displayed figures consistent with IL-6 levels being highest in the plasma in the first few days after SAH, and between days 6 – 8 in the CSF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{"citationItems":[{"id":"ITEM-1","itemData":{"DOI":"10.1007/S12028-010-9432-4/FIGURES/2","ISSN":"15416933","PMID":"20725805","abstract":"Background: This study examines the inflammatory response via interleukin-6 (IL-6) in aneurysmal subarachnoid hemorrhage (aSAH) patients and its association with their clinical course (occurrence of acute focal neurological deficits, AFND; and delayed cerebral ischemia, DCI). Methods: A total of 38 consecutive aSAH patients were studied prospectively within 14 days after admission and classified as asymptomatic (n = 9; WFNS grade 1 (1-2), median and quartiles) and symptomatic (n = 29; WFNS grade 4 (2-5)); the latter presenting with AFND (n = 13), DCI (n = 10) or both (n = 6). Levels of pro-inflammatory cytokine IL-6 were determined in cerebral extracellular fluid (ECF, using cerebral microdialysis), cerebrospinal fluid (CSF) and plasma for 10 days after aSAH. Additionally, C-reactive protein (CRP) levels were measured in plasma. Results: High IL-6 levels in CSF, ECF and plasma were found in all patients, reflecting a pronounced local inflammatory response after aSAH, followed only in symptomatic patients by a delayed systemic inflammation (CRP P &lt; 0.025, days 7-9 after aSAH). In all compartments, IL-6 levels appeared to be higher in symptomatic patients, accompanied also by a higher ECF lactate-pyruvate ratio (P = 0.04). Cerebral, but not plasma IL-6, levels were indicative of the development of DCI in symptomatic patients (ECF P = 0.003; CSF P = 0.001). Conclusions: A pronounced initial cerebral inflammatory state was observed in patients of all WFNS grades, suggesting that IL-6 elevations are not necessarily detrimental. Cerebral, but not plasma IL-6, levels were predictive of the development of delayed ischemic deficits in symptomatic patients, suggesting that CSF or ECF are the best sampling media for future studies. © 2010 Springer Science+Business Media, LLC.","author":[{"dropping-particle":"","family":"Sarrafzadeh","given":"Asita","non-dropping-particle":"","parse-names":false,"suffix":""},{"dropping-particle":"","family":"Schlenk","given":"Florian","non-dropping-particle":"","parse-names":false,"suffix":""},{"dropping-particle":"","family":"Gericke","given":"Christine","non-dropping-particle":"","parse-names":false,"suffix":""},{"dropping-particle":"","family":"Vajkoczy","given":"Peter","non-dropping-particle":"","parse-names":false,"suffix":""}],"container-title":"Neurocritical Care","id":"ITEM-1","issue":"3","issued":{"date-parts":[["2010","12","20"]]},"page":"339-346","publisher":"Springer","title":"Relevance of cerebral interleukin-6 after aneurysmal subarachnoid hemorrhage","type":"article-journal","volume":"13"},"uris":["http://www.mendeley.com/documents/?uuid=37cacf00-41ce-4e1c-80bd-7eb871e9118e"]},{"id":"ITEM-2","itemData":{"DOI":"10.3171/JNS.1993.78.4.0562","ISSN":"0022-3085","PMID":"8450329","abstract":"Serum and cerebrospinal fluid (CSF) samples from 12 patients were analyzed for interleukin (IL)-6, soluble IL-2 receptor (IL-2R), and soluble CD8 levels in order to determine the immune activation profile following subarachnoid hemorrhage (SAH). Dramatically increased levels of IL-6 and moderate increases of soluble IL-2R were detected in the CSF in 11 of the 12 patients; slightly elevated levels of soluble CD8 were observed in six patients. The IL-6 levels were higher on Day 6 than on Days 3 and 9. The increases in IL- 6, soluble IL-2R, and soluble CD8 levels in the CSF samples were not paralleled by increased values in the serum samples, and thus probably reflected an intrathecal synthesis of the cytokine. Passive transfer of IL-6 across the blood-brain barrier seemed not to occur since the serum and CSF levels of IL-6 showed a negative correlation. The findings suggest a severe inflammatory affection of the central nervous system that could be of importance in understanding the clinical course in patients following SAH.","author":[{"dropping-particle":"","family":"Mathiesen","given":"T.","non-dropping-particle":"","parse-names":false,"suffix":""},{"dropping-particle":"","family":"Andersson","given":"B.","non-dropping-particle":"","parse-names":false,"suffix":""},{"dropping-particle":"","family":"Loftenius","given":"A.","non-dropping-particle":"","parse-names":false,"suffix":""},{"dropping-particle":"","family":"Holst","given":"H.","non-dropping-particle":"Von","parse-names":false,"suffix":""}],"container-title":"Journal of neurosurgery","id":"ITEM-2","issue":"4","issued":{"date-parts":[["1993"]]},"page":"562-567","publisher":"J Neurosurg","title":"Increased interleukin-6 levels in cerebrospinal fluid following subarachnoid hemorrhage","type":"article-journal","volume":"78"},"uris":["http://www.mendeley.com/documents/?uuid=c331c873-cfff-3eb1-b851-5f21c6d2b0d1"]}],"mendeley":{"formattedCitation":"(1,13)","plainTextFormattedCitation":"(1,13)","previouslyFormattedCitation":"(1,13)"},"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(1,13)</w:t>
      </w:r>
      <w:r w:rsidR="002E3FCD" w:rsidRPr="00F7228F">
        <w:rPr>
          <w:rFonts w:ascii="Arial" w:hAnsi="Arial" w:cs="Arial"/>
        </w:rPr>
        <w:fldChar w:fldCharType="end"/>
      </w:r>
      <w:r w:rsidR="002E3FCD" w:rsidRPr="00F7228F">
        <w:rPr>
          <w:rFonts w:ascii="Arial" w:hAnsi="Arial" w:cs="Arial"/>
        </w:rPr>
        <w:t xml:space="preserve">. Another small series of SAH patients (n = 35) presented figures consistent with TNF-α peaking between days 5 to 9 in the CSF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{"citationItems":[{"id":"ITEM-1","itemData":{"DOI":"10.1136/JNNP.70.4.534","ISSN":"0022-3050","PMID":"11254783","abstract":"Subarachnoidal release of inflammatory cytokines (interleukin (IL)-1β, IL-6, and tumour necrosis factor (TNF)-α) was characterised in 35 patients with subarachnoid haemorrhage (SAH) and control subjects and compared with development of complicating haemodynamic abnormalities in basal cerebral arteries and clinical outcome. Serial analysis allowed the observation of a subacute response profile of these key mediators of inflammation in the subarachnoidal space. This compartmentalised inflammatory host response was closely associated in time and extent with development of increased blood flow velocities in the basal cerebral vessels as recorded by transcranial Doppler sonography. Moreover, intrathecal secretion of inflammatory cytokines was significantly increased in patients with poor clinical outcome. Together, these findings suggest a role of excessive compartmentalised inflammatory host response in pathogenesis of cerebrovascular complications after SAH.","author":[{"dropping-particle":"","family":"Fassbender","given":"K.","non-dropping-particle":"","parse-names":false,"suffix":""},{"dropping-particle":"","family":"Hodapp","given":"B.","non-dropping-particle":"","parse-names":false,"suffix":""},{"dropping-particle":"","family":"Rossol","given":"S.","non-dropping-particle":"","parse-names":false,"suffix":""},{"dropping-particle":"","family":"Bertsch","given":"T.","non-dropping-particle":"","parse-names":false,"suffix":""},{"dropping-particle":"","family":"Schmeck","given":"J.","non-dropping-particle":"","parse-names":false,"suffix":""},{"dropping-particle":"","family":"Schütt","given":"S.","non-dropping-particle":"","parse-names":false,"suffix":""},{"dropping-particle":"","family":"Fritzinger","given":"M.","non-dropping-particle":"","parse-names":false,"suffix":""},{"dropping-particle":"","family":"Horn","given":"P.","non-dropping-particle":"","parse-names":false,"suffix":""},{"dropping-particle":"","family":"Vajkoczy","given":"P.","non-dropping-particle":"","parse-names":false,"suffix":""},{"dropping-particle":"","family":"Kreisel","given":"S.","non-dropping-particle":"","parse-names":false,"suffix":""},{"dropping-particle":"","family":"Brunner","given":"J.","non-dropping-particle":"","parse-names":false,"suffix":""},{"dropping-particle":"","family":"Schmiedek","given":"P.","non-dropping-particle":"","parse-names":false,"suffix":""},{"dropping-particle":"","family":"Hennerici","given":"M.","non-dropping-particle":"","parse-names":false,"suffix":""}],"container-title":"Journal of Neurology, Neurosurgery &amp; Psychiatry","id":"ITEM-1","issue":"4","issued":{"date-parts":[["2001","4","1"]]},"page":"534-537","publisher":"J Neurol Neurosurg Psychiatry","title":"Inflammatory cytokines in subarachnoid haemorrhage: association with abnormal blood flow velocities in basal cerebral arteries","type":"article-journal","volume":"70"},"uris":["http://www.mendeley.com/documents/?uuid=53d2393b-1f17-41db-a801-7dfdbbacf4e5"]}],"mendeley":{"formattedCitation":"(9)","plainTextFormattedCitation":"(9)","previouslyFormattedCitation":"(9)"},"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(9)</w:t>
      </w:r>
      <w:r w:rsidR="002E3FCD" w:rsidRPr="00F7228F">
        <w:rPr>
          <w:rFonts w:ascii="Arial" w:hAnsi="Arial" w:cs="Arial"/>
        </w:rPr>
        <w:fldChar w:fldCharType="end"/>
      </w:r>
      <w:r w:rsidR="002E3FCD" w:rsidRPr="00F7228F">
        <w:rPr>
          <w:rFonts w:ascii="Arial" w:hAnsi="Arial" w:cs="Arial"/>
        </w:rPr>
        <w:t xml:space="preserve">. Two previous studies </w:t>
      </w:r>
      <w:r w:rsidR="009600B9" w:rsidRPr="00F7228F">
        <w:rPr>
          <w:rFonts w:ascii="Arial" w:hAnsi="Arial" w:cs="Arial"/>
        </w:rPr>
        <w:t>produced</w:t>
      </w:r>
      <w:r w:rsidR="002E3FCD" w:rsidRPr="00F7228F">
        <w:rPr>
          <w:rFonts w:ascii="Arial" w:hAnsi="Arial" w:cs="Arial"/>
        </w:rPr>
        <w:t xml:space="preserve"> findings</w:t>
      </w:r>
      <w:r w:rsidR="009600B9" w:rsidRPr="00F7228F">
        <w:rPr>
          <w:rFonts w:ascii="Arial" w:hAnsi="Arial" w:cs="Arial"/>
        </w:rPr>
        <w:t xml:space="preserve"> which differed</w:t>
      </w:r>
      <w:r w:rsidR="00FD0832" w:rsidRPr="00F7228F">
        <w:rPr>
          <w:rFonts w:ascii="Arial" w:hAnsi="Arial" w:cs="Arial"/>
        </w:rPr>
        <w:t xml:space="preserve"> in some </w:t>
      </w:r>
      <w:proofErr w:type="gramStart"/>
      <w:r w:rsidR="00FD0832" w:rsidRPr="00F7228F">
        <w:rPr>
          <w:rFonts w:ascii="Arial" w:hAnsi="Arial" w:cs="Arial"/>
        </w:rPr>
        <w:t>aspects</w:t>
      </w:r>
      <w:proofErr w:type="gramEnd"/>
      <w:r w:rsidR="009600B9" w:rsidRPr="00F7228F">
        <w:rPr>
          <w:rFonts w:ascii="Arial" w:hAnsi="Arial" w:cs="Arial"/>
        </w:rPr>
        <w:t xml:space="preserve"> from ours</w:t>
      </w:r>
      <w:r w:rsidR="002E3FCD" w:rsidRPr="00F7228F">
        <w:rPr>
          <w:rFonts w:ascii="Arial" w:hAnsi="Arial" w:cs="Arial"/>
        </w:rPr>
        <w:t xml:space="preserve">, </w:t>
      </w:r>
      <w:r w:rsidR="00FD0832" w:rsidRPr="00F7228F">
        <w:rPr>
          <w:rFonts w:ascii="Arial" w:hAnsi="Arial" w:cs="Arial"/>
        </w:rPr>
        <w:t>and this</w:t>
      </w:r>
      <w:r w:rsidR="009600B9" w:rsidRPr="00F7228F">
        <w:rPr>
          <w:rFonts w:ascii="Arial" w:hAnsi="Arial" w:cs="Arial"/>
        </w:rPr>
        <w:t xml:space="preserve"> may be</w:t>
      </w:r>
      <w:r w:rsidR="002E3FCD" w:rsidRPr="00F7228F">
        <w:rPr>
          <w:rFonts w:ascii="Arial" w:hAnsi="Arial" w:cs="Arial"/>
        </w:rPr>
        <w:t xml:space="preserve"> potentially explained by </w:t>
      </w:r>
      <w:r w:rsidR="009600B9" w:rsidRPr="00F7228F">
        <w:rPr>
          <w:rFonts w:ascii="Arial" w:hAnsi="Arial" w:cs="Arial"/>
        </w:rPr>
        <w:t>differences in study</w:t>
      </w:r>
      <w:r w:rsidR="002E3FCD" w:rsidRPr="00F7228F">
        <w:rPr>
          <w:rFonts w:ascii="Arial" w:hAnsi="Arial" w:cs="Arial"/>
        </w:rPr>
        <w:t xml:space="preserve"> design. The first study was a small series (n = 24) </w:t>
      </w:r>
      <w:r w:rsidR="009600B9" w:rsidRPr="00F7228F">
        <w:rPr>
          <w:rFonts w:ascii="Arial" w:hAnsi="Arial" w:cs="Arial"/>
        </w:rPr>
        <w:t>which found that</w:t>
      </w:r>
      <w:r w:rsidR="002E3FCD" w:rsidRPr="00F7228F">
        <w:rPr>
          <w:rFonts w:ascii="Arial" w:hAnsi="Arial" w:cs="Arial"/>
        </w:rPr>
        <w:t xml:space="preserve"> levels of cytokines were highest in the plasma in the first few days after SAH – similar to our study –  but CSF cytokine</w:t>
      </w:r>
      <w:r w:rsidR="009600B9" w:rsidRPr="00F7228F">
        <w:rPr>
          <w:rFonts w:ascii="Arial" w:hAnsi="Arial" w:cs="Arial"/>
        </w:rPr>
        <w:t>s peaked</w:t>
      </w:r>
      <w:r w:rsidR="002E3FCD" w:rsidRPr="00F7228F">
        <w:rPr>
          <w:rFonts w:ascii="Arial" w:hAnsi="Arial" w:cs="Arial"/>
        </w:rPr>
        <w:t xml:space="preserve"> at ictus and around day 7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{"citationItems":[{"id":"ITEM-1","itemData":{"DOI":"10.1007/S007010050197/METRICS","ISSN":"00016268","PMID":"9842432","abstract":"The authors characterized the role of interleukins in the cerebrospinal fluid (CSF) in the development of vasospasm after subarachnoid haemorrhage (SAH), particularly interleukin-6 (IL-6). Concentrations of interleukin-1β (IL-1 β), IL-6, and interleukin-8 (IL-8) were measured serially in CSF of 24 patients and in serum of 9 patients with SAH and correlated clinically. Additionally, the effects of the same cytokines on the cerebral arteries of dogs were analyzed on angiograms after intracisternal injection. Changes in levels of eicosanoids, angiogenic factors, and soluble cell adhesion molecules were investigated in the CSF of injected dogs. CSF concentrations of IL-6 and IL-8 were elevated significantly above control levels from the acute stage of SAH until the chronic stage. Patients with symptomatic vasospasm had significantly higher levels of IL-6 as well as IL-8 in CSF on days 5 and 7. Intracisternal injection of IL-6 induced long-lasting vasoconstriction in five out of eight dogs, while IL-8 did not. The diameter of canine basilar artery after IL-6 was reduced 29 ± 5% from pretreatment diameter at 8 hours. Prostaglandins E2 and I2 were elevated in CSF for the first 4.5 hour of this IL-6-induced vasospasm. Neither angioenic factors such as platelet-derived growth factor-AB and vascular endothelial growth factor nor soluble cell adhesion molecules were significantly elevated in CSF. IL-6, which increases to very high concentrations in CSF after SAH, may be important in inducing vasospasm, as IL-6 produced long-lasting vasoconstriction in the canine cerebral artery, which may be partly related to activation of the prostaglandin cascade.","author":[{"dropping-particle":"","family":"Osuka","given":"K.","non-dropping-particle":"","parse-names":false,"suffix":""},{"dropping-particle":"","family":"Suzuki","given":"Y.","non-dropping-particle":"","parse-names":false,"suffix":""},{"dropping-particle":"","family":"Tanazawa","given":"T.","non-dropping-particle":"","parse-names":false,"suffix":""},{"dropping-particle":"","family":"Hattori","given":"K.","non-dropping-particle":"","parse-names":false,"suffix":""},{"dropping-particle":"","family":"Yamamoto","given":"N.","non-dropping-particle":"","parse-names":false,"suffix":""},{"dropping-particle":"","family":"Takayasu","given":"M.","non-dropping-particle":"","parse-names":false,"suffix":""},{"dropping-particle":"","family":"Shibuya","given":"M.","non-dropping-particle":"","parse-names":false,"suffix":""},{"dropping-particle":"","family":"Yoshida","given":"J.","non-dropping-particle":"","parse-names":false,"suffix":""}],"container-title":"Acta Neurochirurgica","id":"ITEM-1","issue":"9","issued":{"date-parts":[["1998"]]},"page":"943-951","publisher":"Springer","title":"Interleukin-6 and development of vasospasm after subarachnoid haemorrhage","type":"article-journal","volume":"140"},"uris":["http://www.mendeley.com/documents/?uuid=3f26e22a-9bd2-3b0a-b025-4b3ed52ab1db"]}],"mendeley":{"formattedCitation":"(7)","plainTextFormattedCitation":"(7)","previouslyFormattedCitation":"(7)"},"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(7)</w:t>
      </w:r>
      <w:r w:rsidR="002E3FCD" w:rsidRPr="00F7228F">
        <w:rPr>
          <w:rFonts w:ascii="Arial" w:hAnsi="Arial" w:cs="Arial"/>
        </w:rPr>
        <w:fldChar w:fldCharType="end"/>
      </w:r>
      <w:r w:rsidR="009600B9" w:rsidRPr="00F7228F">
        <w:rPr>
          <w:rFonts w:ascii="Arial" w:hAnsi="Arial" w:cs="Arial"/>
        </w:rPr>
        <w:t>, though steroid treatment may have altered the temporal pattern of CSF cytokines</w:t>
      </w:r>
      <w:r w:rsidR="002E3FCD" w:rsidRPr="00F7228F">
        <w:rPr>
          <w:rFonts w:ascii="Arial" w:hAnsi="Arial" w:cs="Arial"/>
        </w:rPr>
        <w:t xml:space="preserve">. The second study </w:t>
      </w:r>
      <w:r w:rsidR="009600B9" w:rsidRPr="00F7228F">
        <w:rPr>
          <w:rFonts w:ascii="Arial" w:hAnsi="Arial" w:cs="Arial"/>
        </w:rPr>
        <w:t xml:space="preserve">found that IL-6 and IL-8 levels in the CSF were significantly greater within 3 days </w:t>
      </w:r>
      <w:r w:rsidR="00FD0832" w:rsidRPr="00F7228F">
        <w:rPr>
          <w:rFonts w:ascii="Arial" w:hAnsi="Arial" w:cs="Arial"/>
        </w:rPr>
        <w:t>after</w:t>
      </w:r>
      <w:r w:rsidR="009600B9" w:rsidRPr="00F7228F">
        <w:rPr>
          <w:rFonts w:ascii="Arial" w:hAnsi="Arial" w:cs="Arial"/>
        </w:rPr>
        <w:t xml:space="preserve"> SAH</w:t>
      </w:r>
      <w:r w:rsidR="00FD0832" w:rsidRPr="00F7228F">
        <w:rPr>
          <w:rFonts w:ascii="Arial" w:hAnsi="Arial" w:cs="Arial"/>
        </w:rPr>
        <w:t>, compared to day 10</w:t>
      </w:r>
      <w:r w:rsidR="009600B9" w:rsidRPr="00F7228F">
        <w:rPr>
          <w:rFonts w:ascii="Arial" w:hAnsi="Arial" w:cs="Arial"/>
        </w:rPr>
        <w:t xml:space="preserve"> </w:t>
      </w:r>
      <w:r w:rsidR="009600B9" w:rsidRPr="00F7228F">
        <w:rPr>
          <w:rFonts w:ascii="Arial" w:hAnsi="Arial" w:cs="Arial"/>
        </w:rPr>
        <w:fldChar w:fldCharType="begin" w:fldLock="1"/>
      </w:r>
      <w:r w:rsidR="008507E1" w:rsidRPr="00F7228F">
        <w:rPr>
          <w:rFonts w:ascii="Arial" w:hAnsi="Arial" w:cs="Arial"/>
        </w:rPr>
        <w:instrText>ADDIN CSL_CITATION {"citationItems":[{"id":"ITEM-1","itemData":{"DOI":"10.1080/01616412.1998.11740528","ISSN":"0161-6412","PMID":"9618698","abstract":"Cytokines are considered as mediators of immune and inflammatory responses. Cisternal CSF levels of interleukin (IL)-6, IL-8, monocyte chemoattractant protein-1 (MCP-1) and of the soluble adhesion molecule E- selectin were evaluated in patients operated on for intracranial aneurysms. Cisternal CSF samples were obtained at surgery in 41 selected patients (31 with diagnosis of subarachnoid hemorrhage (SAH) and 10 control patients operated on for incidental unruptured aneurysms); 14 patients were operated within 72 h after SAH (early surgery) and 17 were operated after day 10 after the hemorrhage (delayed surgery). The CSF levels of cytokines were evaluated using radioimmunoassay and their concentrations were related to the timing of surgery, the amount of cisternal subarachnoid blood clots and the onset of clinical and angiographical evidence of arterial vasospasm. Mean cisternal CSF levels of IL-6, IL-8 and AMCP-1 are significantly higher in samples obtained from patients early operated after SAH, while levels of E-selectin were below the threshold value of the method in all 41 cases. In the early operated group 7 patients presented symptomatic vasospasm: levels of IL-8 and MCP-1 were not significantly different when compared to those of uncomplicated cases; on the other hand, significantly higher levels of IL-6 were shown in the subgroup of patients operated within 72 h after SAH and developing vasospasm. Among the patients undergoing delayed surgery 5 presented symptomatic vasospasm, but no significant difference was shown in cisternal CSF levels of cytokines measured. The results of the present study show that in patients with unruptured aneurysms cytokines are present in cisternal CSF in scarce quantities and that in subarachnoid spaces after SAH there is an impressive increase of IL-6, IL-8 and MCP-1. Moreover, the higher cisternal CSF levels of IL-6 found in the early stage after SAH might have a predictive value regarding the occurrence of symptomatic vasospasm.","author":[{"dropping-particle":"","family":"Gaetani","given":"Paolo","non-dropping-particle":"","parse-names":false,"suffix":""},{"dropping-particle":"","family":"Tartara","given":"Fulvio","non-dropping-particle":"","parse-names":false,"suffix":""},{"dropping-particle":"","family":"Pignatti","given":"Patrizia","non-dropping-particle":"","parse-names":false,"suffix":""},{"dropping-particle":"","family":"Tancioni","given":"Flavio","non-dropping-particle":"","parse-names":false,"suffix":""},{"dropping-particle":"","family":"Rodriguez Y Baena","given":"Riccardo","non-dropping-particle":"","parse-names":false,"suffix":""},{"dropping-particle":"","family":"Benedetti","given":"Fabrizio","non-dropping-particle":"De","parse-names":false,"suffix":""}],"container-title":"Neurological research","id":"ITEM-1","issue":"4","issued":{"date-parts":[["1998"]]},"page":"337-342","publisher":"Neurol Res","title":"Cisternal CSF levels of cytokines after subarachnoid hemorrhage","type":"article-journal","volume":"20"},"uris":["http://www.mendeley.com/documents/?uuid=3ba2ba00-6cae-3927-a7a5-769546d3759b"]}],"mendeley":{"formattedCitation":"(6)","plainTextFormattedCitation":"(6)","previouslyFormattedCitation":"(6)"},"properties":{"noteIndex":0},"schema":"https://github.com/citation-style-language/schema/raw/master/csl-citation.json"}</w:instrText>
      </w:r>
      <w:r w:rsidR="009600B9" w:rsidRPr="00F7228F">
        <w:rPr>
          <w:rFonts w:ascii="Arial" w:hAnsi="Arial" w:cs="Arial"/>
        </w:rPr>
        <w:fldChar w:fldCharType="separate"/>
      </w:r>
      <w:r w:rsidR="009600B9" w:rsidRPr="00F7228F">
        <w:rPr>
          <w:rFonts w:ascii="Arial" w:hAnsi="Arial" w:cs="Arial"/>
          <w:noProof/>
        </w:rPr>
        <w:t>(6)</w:t>
      </w:r>
      <w:r w:rsidR="009600B9" w:rsidRPr="00F7228F">
        <w:rPr>
          <w:rFonts w:ascii="Arial" w:hAnsi="Arial" w:cs="Arial"/>
        </w:rPr>
        <w:fldChar w:fldCharType="end"/>
      </w:r>
      <w:r w:rsidR="009600B9" w:rsidRPr="00F7228F">
        <w:rPr>
          <w:rFonts w:ascii="Arial" w:hAnsi="Arial" w:cs="Arial"/>
        </w:rPr>
        <w:t xml:space="preserve">, </w:t>
      </w:r>
      <w:r w:rsidR="00FD0832" w:rsidRPr="00F7228F">
        <w:rPr>
          <w:rFonts w:ascii="Arial" w:hAnsi="Arial" w:cs="Arial"/>
        </w:rPr>
        <w:t xml:space="preserve">but </w:t>
      </w:r>
      <w:r w:rsidR="002E3FCD" w:rsidRPr="00F7228F">
        <w:rPr>
          <w:rFonts w:ascii="Arial" w:hAnsi="Arial" w:cs="Arial"/>
        </w:rPr>
        <w:t xml:space="preserve">the samples from day 3 and 10 were obtained from two different populations. </w:t>
      </w:r>
      <w:r w:rsidR="00652344" w:rsidRPr="00F7228F">
        <w:rPr>
          <w:rFonts w:ascii="Arial" w:hAnsi="Arial" w:cs="Arial"/>
        </w:rPr>
        <w:t>With</w:t>
      </w:r>
      <w:r w:rsidR="00FD0832" w:rsidRPr="00F7228F">
        <w:rPr>
          <w:rFonts w:ascii="Arial" w:hAnsi="Arial" w:cs="Arial"/>
        </w:rPr>
        <w:t xml:space="preserve"> a</w:t>
      </w:r>
      <w:r w:rsidR="00652344" w:rsidRPr="00F7228F">
        <w:rPr>
          <w:rFonts w:ascii="Arial" w:hAnsi="Arial" w:cs="Arial"/>
        </w:rPr>
        <w:t xml:space="preserve"> larger </w:t>
      </w:r>
      <w:r w:rsidR="00FD0832" w:rsidRPr="00F7228F">
        <w:rPr>
          <w:rFonts w:ascii="Arial" w:hAnsi="Arial" w:cs="Arial"/>
        </w:rPr>
        <w:t>sample size, paired CSF/serum sampling</w:t>
      </w:r>
      <w:r w:rsidR="00652344" w:rsidRPr="00F7228F">
        <w:rPr>
          <w:rFonts w:ascii="Arial" w:hAnsi="Arial" w:cs="Arial"/>
        </w:rPr>
        <w:t xml:space="preserve"> and a panel of ten cytokines</w:t>
      </w:r>
      <w:r w:rsidR="00FD0832" w:rsidRPr="00F7228F">
        <w:rPr>
          <w:rFonts w:ascii="Arial" w:hAnsi="Arial" w:cs="Arial"/>
        </w:rPr>
        <w:t xml:space="preserve"> in the same cohort</w:t>
      </w:r>
      <w:r w:rsidR="00652344" w:rsidRPr="00F7228F">
        <w:rPr>
          <w:rFonts w:ascii="Arial" w:hAnsi="Arial" w:cs="Arial"/>
        </w:rPr>
        <w:t xml:space="preserve">, we provide definitive evidence that </w:t>
      </w:r>
      <w:r w:rsidR="00FD0832" w:rsidRPr="00F7228F">
        <w:rPr>
          <w:rFonts w:ascii="Arial" w:hAnsi="Arial" w:cs="Arial"/>
        </w:rPr>
        <w:t xml:space="preserve">the temporal behaviour of </w:t>
      </w:r>
      <w:r w:rsidR="00652344" w:rsidRPr="00F7228F">
        <w:rPr>
          <w:rFonts w:ascii="Arial" w:hAnsi="Arial" w:cs="Arial"/>
        </w:rPr>
        <w:t xml:space="preserve">cytokine levels </w:t>
      </w:r>
      <w:r w:rsidR="00FD0832" w:rsidRPr="00F7228F">
        <w:rPr>
          <w:rFonts w:ascii="Arial" w:hAnsi="Arial" w:cs="Arial"/>
        </w:rPr>
        <w:t xml:space="preserve">is distinctly different </w:t>
      </w:r>
      <w:r w:rsidR="00652344" w:rsidRPr="00F7228F">
        <w:rPr>
          <w:rFonts w:ascii="Arial" w:hAnsi="Arial" w:cs="Arial"/>
        </w:rPr>
        <w:t>in plasma and CSF.</w:t>
      </w:r>
    </w:p>
    <w:p w14:paraId="631EC7E2" w14:textId="77777777" w:rsidR="00652344" w:rsidRPr="00F7228F" w:rsidRDefault="00652344" w:rsidP="000B242D">
      <w:pPr>
        <w:spacing w:after="0" w:line="276" w:lineRule="auto"/>
        <w:rPr>
          <w:rFonts w:ascii="Arial" w:hAnsi="Arial" w:cs="Arial"/>
        </w:rPr>
      </w:pPr>
    </w:p>
    <w:p w14:paraId="6A60E327" w14:textId="0C0812EE" w:rsidR="002E3FCD" w:rsidRPr="00F7228F" w:rsidRDefault="002E3FCD" w:rsidP="000B242D">
      <w:pPr>
        <w:spacing w:after="0" w:line="276" w:lineRule="auto"/>
        <w:rPr>
          <w:rFonts w:ascii="Arial" w:hAnsi="Arial" w:cs="Arial"/>
          <w:bCs/>
        </w:rPr>
      </w:pPr>
      <w:r w:rsidRPr="00F7228F">
        <w:rPr>
          <w:rFonts w:ascii="Arial" w:hAnsi="Arial" w:cs="Arial"/>
        </w:rPr>
        <w:t>No studies to date have directly assessed the correlation between plasma and CSF cytokines and how this correlation is related to BBB integrity.</w:t>
      </w:r>
    </w:p>
    <w:p w14:paraId="21F7385F" w14:textId="77777777" w:rsidR="002E3FCD" w:rsidRPr="00F7228F" w:rsidRDefault="002E3FCD" w:rsidP="000B242D">
      <w:pPr>
        <w:spacing w:after="0" w:line="276" w:lineRule="auto"/>
        <w:rPr>
          <w:rFonts w:ascii="Arial" w:hAnsi="Arial" w:cs="Arial"/>
        </w:rPr>
      </w:pPr>
    </w:p>
    <w:p w14:paraId="243A48E3" w14:textId="7F792D48" w:rsidR="002E3FCD" w:rsidRPr="00F7228F" w:rsidRDefault="002E3FCD" w:rsidP="000B242D">
      <w:pPr>
        <w:spacing w:after="0" w:line="276" w:lineRule="auto"/>
        <w:rPr>
          <w:rFonts w:ascii="Arial" w:hAnsi="Arial" w:cs="Arial"/>
        </w:rPr>
      </w:pPr>
      <w:r w:rsidRPr="00F7228F">
        <w:rPr>
          <w:rFonts w:ascii="Arial" w:hAnsi="Arial" w:cs="Arial"/>
        </w:rPr>
        <w:t xml:space="preserve">Our study also found that CSF cytokine levels were related to WFNS grade and blood load. This is congruent with what is described in the existing literature. Studies have shown that CSF IL-6 and TNF-α levels increased with the severity of the SAH as defined by the Hunt &amp; Hess classification </w:t>
      </w:r>
      <w:r w:rsidRPr="00F7228F">
        <w:rPr>
          <w:rFonts w:ascii="Arial" w:hAnsi="Arial" w:cs="Arial"/>
        </w:rPr>
        <w:fldChar w:fldCharType="begin" w:fldLock="1"/>
      </w:r>
      <w:r w:rsidR="008507E1" w:rsidRPr="00F7228F">
        <w:rPr>
          <w:rFonts w:ascii="Arial" w:hAnsi="Arial" w:cs="Arial"/>
        </w:rPr>
        <w:instrText>ADDIN CSL_CITATION {"citationItems":[{"id":"ITEM-1","itemData":{"PMID":"26063595","abstract":"The present study investigated the correlation between interleukin-6 (IL-6) and tumor necrosis factor alpha (TNF-α) levels in cerebrospinal fluid (CSF) and subarachnoid hemorrhage (SAH) progression. A meta-analysis was further conducted from pooled data to analyze the clinical value of IL-6 and TNF-α in SAH diagnosis. In our case-control study, a total of 57 SAH patients were assigned to two groups, CVS group (n = 27) and non-CVS group (n = 30), based on the presence of cerebral vasospasm (CVS). In addition, 65 healthy subjects were enrolled as controls. IL-6 and TNF-α levels in CSF were measured in all the study subjects by enzyme-linked immunosorbent assay (ELISA). For meta-analysis, an exhaustive literature search was conducted to identify relevant published articles and strict inclusion and exclusion criteria were applied to select studies for the present meta-analysis. Data extracted from these studies was analyzed using STATA 12.0 software. IL-6 and TNF-α levels in CSF of SAH patients were markedly higher than those of healthy controls (all P &lt; 0.001). Further, CVS patients showed elevated IL-6 and TNF-α levels in CSF compared to non-CVS patients (all P &lt; 0.001). The increase in IL-6 and TNF-α levels in CSF correlated with the increasing disease severity, based on Hunt-Hess grade, in SAH patients (all P &lt; 0.05). Our meta-analysis also confirmed that IL-6 and TNF-α CSF levels were markedly higher in SAH patients compared to healthy controls (all P &lt; 0.001). Ethnicity-stratified analysis showed that both IL-6 and TNF-α CSF levels were elevated in Asian SAH patients, compared to their healthy counterparts (all P &lt; 0.05). The TNF-α CSF levels were significantly higher in Caucasian SAH patients (P &lt; 0.001), but the IL-6 CSF levels showed no such differences compared to the healthy controls (P = 0.219). Subgroup analysis based on the presence of CVS showed that both IL-6 and TNF-α CSF levels were markedly higher in CVS patients than those in non-CVS patients (all P &lt; 0.05). Our results provide strong evidence that IL-6 and TNF-α CSF levels are elevated in SAH patients and may participate in SAH development. Thus, these two cytokines could be important biomarkers for early diagnosis and disease monitoring in SAH patients.","author":[{"dropping-particle":"","family":"Wu","given":"Wei","non-dropping-particle":"","parse-names":false,"suffix":""},{"dropping-particle":"","family":"Guan","given":"Yi","non-dropping-particle":"","parse-names":false,"suffix":""},{"dropping-particle":"","family":"Zhao","given":"Gang","non-dropping-particle":"","parse-names":false,"suffix":""},{"dropping-particle":"","family":"Fu","given":"Xi Jia","non-dropping-particle":"","parse-names":false,"suffix":""},{"dropping-particle":"","family":"Guo","given":"Tie Zhu","non-dropping-particle":"","parse-names":false,"suffix":""},{"dropping-particle":"","family":"Liu","given":"Yue Ting","non-dropping-particle":"","parse-names":false,"suffix":""},{"dropping-particle":"","family":"Ren","given":"Xin Liang","non-dropping-particle":"","parse-names":false,"suffix":""},{"dropping-particle":"","family":"Wang","given":"Wei","non-dropping-particle":"","parse-names":false,"suffix":""},{"dropping-particle":"","family":"Liu","given":"Han Rui","non-dropping-particle":"","parse-names":false,"suffix":""},{"dropping-particle":"","family":"Li","given":"Yun Qian","non-dropping-particle":"","parse-names":false,"suffix":""}],"id":"ITEM-1","issue":"5","issued":{"date-parts":[["2016","7","1"]]},"page":"3277-3285","title":"Elevated IL-6 and TNF-α Levels in Cerebrospinal Fluid of Subarachnoid Hemorrhage Patients","type":"article-journal","volume":"53"},"uris":["http://www.mendeley.com/documents/?uuid=2017d7e1-0c6f-48c8-86ad-76071ee19f73"]},{"id":"ITEM-2","itemData":{"DOI":"10.1097/00008506-200010000-00001","ISSN":"0898-4921","PMID":"11147377","abstract":"Postsubarachnoid hemorrhage, systemic inflammatory response syndrome and associated organ system failure are more frequently found in patients in poor neurologic condition. Since subarachnoid hemorrhage causes a profound intrathecal inflammatory response with production of proinflammatory cytokines TNFα, IL-1β, and IL-6, a possible explanation for this association is that brain-derived cytokines may enter the systemic circulation in the presence of postsubarachnoid hemorrhage blood brain barrier disruption to systemically activate inflammatory cascades and thereby contribute to the development of postsubarachnoid hemorrhage systemic inflammatory response syndrome and extracerebral organ system failures. In 44 patients with aneurysmal subarachnoid hemorrhage admitted within 3 days of the initial bleed, extracerebral organ system functions were assessed individually and in aggregate using the modified Multiple Organ Dysfunction Score. Serum and cerebrospinal fluid concentrations of soluble tumor necrosis factor-α receptor-I, interleukin-1β receptor antagonist, and IL-6 were determined during the first 2 weeks after subarachnoid hemorrhage and tested for correlation with (1) admission Hunt-Hess grade, (2) development of systemic inflammatory response syndrome and extracerebral organ system failures, and (3) neurologic outcome. The development of postsubarachnoid hemorrhage systemic inflammatory response syndrome and extracerebral organ system failures was paralleled by a significant increase in serum but not in cerebrospinal fluid levels of soluble tumor necrosis factor-α receptor-I and IL-1ra, that is, patients with and without extracerebral organ system failures did not differ in pattern and time course of cerebrospinal fluid cytokine concentrations. In contrast, increasing soluble tumor necrosis factor-α receptor-I and interleukin-1β receptor antagonist serum levels correlated with a higher Multiple Organ Dysfunction score and with individual organ system dysfunctions. Postsubarachnoid hemorrhage, systemic inflammatory response syndrome and extracerebral organ system failures could therefore not be linked to changes in cerebrospinal fluid cytokine concentration profiles.","author":[{"dropping-particle":"","family":"Gruber","given":"Andreas","non-dropping-particle":"","parse-names":false,"suffix":""},{"dropping-particle":"","family":"Rössler","given":"Karl","non-dropping-particle":"","parse-names":false,"suffix":""},{"dropping-particle":"","family":"Graninger","given":"Wolfgang","non-dropping-particle":"","parse-names":false,"suffix":""},{"dropping-particle":"","family":"Donner","given":"Andrew","non-dropping-particle":"","parse-names":false,"suffix":""},{"dropping-particle":"","family":"Illievich","given":"Udo M.","non-dropping-particle":"","parse-names":false,"suffix":""},{"dropping-particle":"","family":"Czech","given":"Thomas","non-dropping-particle":"","parse-names":false,"suffix":""}],"container-title":"Journal of neurosurgical anesthesiology","id":"ITEM-2","issue":"4","issued":{"date-parts":[["2000"]]},"page":"297-306","publisher":"J Neurosurg Anesthesiol","title":"Ventricular cerebrospinal fluid and serum concentrations of sTNFR-I, IL-1ra, and IL-6 after aneurysmal subarachnoid hemorrhage","type":"article-journal","volume":"12"},"uris":["http://www.mendeley.com/documents/?uuid=19135cbb-0cba-353c-9ba1-cde903e47c15"]}],"mendeley":{"formattedCitation":"(8,28)","plainTextFormattedCitation":"(8,28)","previouslyFormattedCitation":"(8,28)"},"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(8,28)</w:t>
      </w:r>
      <w:r w:rsidRPr="00F7228F">
        <w:rPr>
          <w:rFonts w:ascii="Arial" w:hAnsi="Arial" w:cs="Arial"/>
        </w:rPr>
        <w:fldChar w:fldCharType="end"/>
      </w:r>
      <w:r w:rsidRPr="00F7228F">
        <w:rPr>
          <w:rFonts w:ascii="Arial" w:hAnsi="Arial" w:cs="Arial"/>
        </w:rPr>
        <w:t xml:space="preserve">. We now show that not only these, but </w:t>
      </w:r>
      <w:r w:rsidR="00FD0832" w:rsidRPr="00F7228F">
        <w:rPr>
          <w:rFonts w:ascii="Arial" w:hAnsi="Arial" w:cs="Arial"/>
        </w:rPr>
        <w:t>five</w:t>
      </w:r>
      <w:r w:rsidRPr="00F7228F">
        <w:rPr>
          <w:rFonts w:ascii="Arial" w:hAnsi="Arial" w:cs="Arial"/>
        </w:rPr>
        <w:t xml:space="preserve"> other CSF cytokines </w:t>
      </w:r>
      <w:r w:rsidR="00FD0832" w:rsidRPr="00F7228F">
        <w:rPr>
          <w:rFonts w:ascii="Arial" w:hAnsi="Arial" w:cs="Arial"/>
        </w:rPr>
        <w:t xml:space="preserve">correlate </w:t>
      </w:r>
      <w:r w:rsidRPr="00F7228F">
        <w:rPr>
          <w:rFonts w:ascii="Arial" w:hAnsi="Arial" w:cs="Arial"/>
        </w:rPr>
        <w:t>with WFNS</w:t>
      </w:r>
      <w:r w:rsidR="00FD0832" w:rsidRPr="00F7228F">
        <w:rPr>
          <w:rFonts w:ascii="Arial" w:hAnsi="Arial" w:cs="Arial"/>
        </w:rPr>
        <w:t xml:space="preserve">. </w:t>
      </w:r>
      <w:r w:rsidRPr="00F7228F">
        <w:rPr>
          <w:rFonts w:ascii="Arial" w:hAnsi="Arial" w:cs="Arial"/>
        </w:rPr>
        <w:t xml:space="preserve"> </w:t>
      </w:r>
      <w:r w:rsidR="00FD0832" w:rsidRPr="00F7228F">
        <w:rPr>
          <w:rFonts w:ascii="Arial" w:hAnsi="Arial" w:cs="Arial"/>
        </w:rPr>
        <w:t>We</w:t>
      </w:r>
      <w:r w:rsidRPr="00F7228F">
        <w:rPr>
          <w:rFonts w:ascii="Arial" w:hAnsi="Arial" w:cs="Arial"/>
        </w:rPr>
        <w:t xml:space="preserve"> show that </w:t>
      </w:r>
      <w:r w:rsidR="00FD0832" w:rsidRPr="00F7228F">
        <w:rPr>
          <w:rFonts w:ascii="Arial" w:hAnsi="Arial" w:cs="Arial"/>
        </w:rPr>
        <w:t xml:space="preserve">CSF cytokines </w:t>
      </w:r>
      <w:r w:rsidRPr="00F7228F">
        <w:rPr>
          <w:rFonts w:ascii="Arial" w:hAnsi="Arial" w:cs="Arial"/>
        </w:rPr>
        <w:t>are directly related to the volume of the SAH</w:t>
      </w:r>
      <w:r w:rsidR="00FD0832" w:rsidRPr="00F7228F">
        <w:rPr>
          <w:rFonts w:ascii="Arial" w:hAnsi="Arial" w:cs="Arial"/>
        </w:rPr>
        <w:t xml:space="preserve">, but </w:t>
      </w:r>
      <w:r w:rsidRPr="00F7228F">
        <w:rPr>
          <w:rFonts w:ascii="Arial" w:hAnsi="Arial" w:cs="Arial"/>
        </w:rPr>
        <w:t xml:space="preserve">plasma cytokines do not relate to either </w:t>
      </w:r>
      <w:r w:rsidR="00FD0832" w:rsidRPr="00F7228F">
        <w:rPr>
          <w:rFonts w:ascii="Arial" w:hAnsi="Arial" w:cs="Arial"/>
        </w:rPr>
        <w:t>WFNS or SAH volume</w:t>
      </w:r>
      <w:r w:rsidRPr="00F7228F">
        <w:rPr>
          <w:rFonts w:ascii="Arial" w:hAnsi="Arial" w:cs="Arial"/>
        </w:rPr>
        <w:t>.</w:t>
      </w:r>
    </w:p>
    <w:p w14:paraId="6B0B0507" w14:textId="77777777" w:rsidR="002E3FCD" w:rsidRPr="00F7228F" w:rsidRDefault="002E3FCD" w:rsidP="000B242D">
      <w:pPr>
        <w:spacing w:after="0" w:line="276" w:lineRule="auto"/>
        <w:rPr>
          <w:rFonts w:ascii="Arial" w:hAnsi="Arial" w:cs="Arial"/>
        </w:rPr>
      </w:pPr>
    </w:p>
    <w:p w14:paraId="20CCD235" w14:textId="751D2663" w:rsidR="002E3FCD" w:rsidRPr="00F7228F" w:rsidRDefault="00FD0832" w:rsidP="000B242D">
      <w:pPr>
        <w:spacing w:after="0" w:line="276" w:lineRule="auto"/>
        <w:rPr>
          <w:rFonts w:ascii="Arial" w:hAnsi="Arial" w:cs="Arial"/>
        </w:rPr>
      </w:pPr>
      <w:r w:rsidRPr="00F7228F">
        <w:rPr>
          <w:rFonts w:ascii="Arial" w:hAnsi="Arial" w:cs="Arial"/>
        </w:rPr>
        <w:t xml:space="preserve">The relationship between cytokines and clinical </w:t>
      </w:r>
      <w:r w:rsidR="002E3FCD" w:rsidRPr="00F7228F">
        <w:rPr>
          <w:rFonts w:ascii="Arial" w:hAnsi="Arial" w:cs="Arial"/>
        </w:rPr>
        <w:t xml:space="preserve">outcome is </w:t>
      </w:r>
      <w:r w:rsidRPr="00F7228F">
        <w:rPr>
          <w:rFonts w:ascii="Arial" w:hAnsi="Arial" w:cs="Arial"/>
        </w:rPr>
        <w:t xml:space="preserve">difficult to piece together from </w:t>
      </w:r>
      <w:r w:rsidR="002E3FCD" w:rsidRPr="00F7228F">
        <w:rPr>
          <w:rFonts w:ascii="Arial" w:hAnsi="Arial" w:cs="Arial"/>
        </w:rPr>
        <w:t xml:space="preserve">the existing literature, </w:t>
      </w:r>
      <w:r w:rsidRPr="00F7228F">
        <w:rPr>
          <w:rFonts w:ascii="Arial" w:hAnsi="Arial" w:cs="Arial"/>
        </w:rPr>
        <w:t>for various reasons</w:t>
      </w:r>
      <w:r w:rsidR="002E3FCD" w:rsidRPr="00F7228F">
        <w:rPr>
          <w:rFonts w:ascii="Arial" w:hAnsi="Arial" w:cs="Arial"/>
        </w:rPr>
        <w:t xml:space="preserve">. </w:t>
      </w:r>
      <w:r w:rsidRPr="00F7228F">
        <w:rPr>
          <w:rFonts w:ascii="Arial" w:hAnsi="Arial" w:cs="Arial"/>
        </w:rPr>
        <w:t xml:space="preserve">The most robust </w:t>
      </w:r>
      <w:r w:rsidR="002E3FCD" w:rsidRPr="00F7228F">
        <w:rPr>
          <w:rFonts w:ascii="Arial" w:hAnsi="Arial" w:cs="Arial"/>
        </w:rPr>
        <w:t xml:space="preserve">evidence exists for IL-6, but often </w:t>
      </w:r>
      <w:r w:rsidRPr="00F7228F">
        <w:rPr>
          <w:rFonts w:ascii="Arial" w:hAnsi="Arial" w:cs="Arial"/>
        </w:rPr>
        <w:t>studying</w:t>
      </w:r>
      <w:r w:rsidR="002E3FCD" w:rsidRPr="00F7228F">
        <w:rPr>
          <w:rFonts w:ascii="Arial" w:hAnsi="Arial" w:cs="Arial"/>
        </w:rPr>
        <w:t xml:space="preserve"> plasma and CSF</w:t>
      </w:r>
      <w:r w:rsidRPr="00F7228F">
        <w:rPr>
          <w:rFonts w:ascii="Arial" w:hAnsi="Arial" w:cs="Arial"/>
        </w:rPr>
        <w:t xml:space="preserve"> in isolation</w:t>
      </w:r>
      <w:r w:rsidR="002E3FCD" w:rsidRPr="00F7228F">
        <w:rPr>
          <w:rFonts w:ascii="Arial" w:hAnsi="Arial" w:cs="Arial"/>
        </w:rPr>
        <w:t>. Several studies have shown plasma IL-6 is associated with unfavourable functional outcome (</w:t>
      </w:r>
      <w:proofErr w:type="spellStart"/>
      <w:r w:rsidR="002E3FCD" w:rsidRPr="00F7228F">
        <w:rPr>
          <w:rFonts w:ascii="Arial" w:hAnsi="Arial" w:cs="Arial"/>
        </w:rPr>
        <w:t>mRS</w:t>
      </w:r>
      <w:proofErr w:type="spellEnd"/>
      <w:r w:rsidR="002E3FCD" w:rsidRPr="00F7228F">
        <w:rPr>
          <w:rFonts w:ascii="Arial" w:hAnsi="Arial" w:cs="Arial"/>
        </w:rPr>
        <w:t xml:space="preserve"> and Glasgow Outcome Scale) after </w:t>
      </w:r>
      <w:proofErr w:type="spellStart"/>
      <w:r w:rsidR="002E3FCD" w:rsidRPr="00F7228F">
        <w:rPr>
          <w:rFonts w:ascii="Arial" w:hAnsi="Arial" w:cs="Arial"/>
        </w:rPr>
        <w:t>aSAH</w:t>
      </w:r>
      <w:proofErr w:type="spellEnd"/>
      <w:r w:rsidR="002E3FCD" w:rsidRPr="00F7228F">
        <w:rPr>
          <w:rFonts w:ascii="Arial" w:hAnsi="Arial" w:cs="Arial"/>
        </w:rPr>
        <w:t xml:space="preserve"> on both univariable and multivariable analyses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{"citationItems":[{"id":"ITEM-1","itemData":{"DOI":"10.1227/NEU.0B013E31828048CE","ISSN":"1524-4040","PMID":"23208059","abstract":"Background: The role and impact of systemic inflammatory response after aneurysmal subarachnoid hemorrhage remain to be elucidated. Objective: To assess the time course and correlation of systemic inflammatory parameters with outcome and the occurrence of delayed ischemic neurological deficits (DINDs) after subarachnoid hemorrhage. Methods: Besides the baseline characteristics, daily interleukin-6 (IL-6), procalcitonin, C-reactive protein levels, and leukocyte counts were prospectively measured until day 14 after subarachnoid hemorrhage. Occurrence of infectious complications and application of therapeutic hypothermia were assessed as confounding factors. The primary end point was outcome after 3 months, assessed by Glasgow Outcome Scale; the secondary end point was the occurrence of DINDs. Results: During a 3-year period, a total of 138 patients were included. All inflammatory parameters measured were higher in patients with unfavorable outcome (Glasgow Outcome Scale score, 1-3). After adjustment for confounding factors, elevated IL-6 and leukocyte counts remained significant risk factors for unfavorable outcome. The odds ratio for log IL-6 was 4.07 (95% confidence interval, 1.18 to 14.03; P = .03) and for leukocyte counts was 1.24 (95% confidence interval, 1.06-1.46, P = .008). The analysis of the time course established that IL-6 was the only significantly elevated parameter in the early phase in patients with unfavorable outcome. Higher IL-6 levels in the early phase (days 3-7) were associated with the occurrence of DINDs. The adjusted odds ratio for log IL-6 was 4.03 (95% confidence interval, 1.21-13.40; P = .02). Conclusion: Higher IL-6 levels are associated with worse clinical outcome and the occurrence of DINDs. Because IL-6 levels were significantly elevated in the early phase, they might be a useful parameter to monitor. Abbreviations: CRP, C-reactive proteinDIND, delayed ischemic neurological deficitGOS, Glasgow Outcome ScaleSAH, subarachnoid hemorrhageWFNS, World Federation of Neurological Surgeons. Copyright © 2012 by the Congress of Neurological Surgeons.","author":[{"dropping-particle":"","family":"Muroi","given":"Carl","non-dropping-particle":"","parse-names":false,"suffix":""},{"dropping-particle":"","family":"Hugelshofer","given":"Michael","non-dropping-particle":"","parse-names":false,"suffix":""},{"dropping-particle":"","family":"Seule","given":"Martin","non-dropping-particle":"","parse-names":false,"suffix":""},{"dropping-particle":"","family":"Tastan","given":"Ilhan","non-dropping-particle":"","parse-names":false,"suffix":""},{"dropping-particle":"","family":"Fujioka","given":"Masayuki","non-dropping-particle":"","parse-names":false,"suffix":""},{"dropping-particle":"","family":"Mishima","given":"Kenichi","non-dropping-particle":"","parse-names":false,"suffix":""},{"dropping-particle":"","family":"Keller","given":"Emanuela","non-dropping-particle":"","parse-names":false,"suffix":""}],"container-title":"Neurosurgery","id":"ITEM-1","issue":"3","issued":{"date-parts":[["2013","3"]]},"page":"367-375","publisher":"Neurosurgery","title":"Correlation among systemic inflammatory parameter, occurrence of delayed neurological deficits, and outcome after aneurysmal subarachnoid hemorrhage","type":"article-journal","volume":"72"},"uris":["http://www.mendeley.com/documents/?uuid=02dfab51-b96b-3e39-814d-d7a15e67e6e0"]},{"id":"ITEM-2","itemData":{"DOI":"10.1038/S41598-020-79586-3","PMID":"33420113","abstract":"Interleukin 6 (IL-6) is a prominent proinflammatory cytokine and has been discussed as a potential biomarker for delayed cerebral ischemia (DCI) following aneurysmal subarachnoid hemorrhage. In the present study we have analyzed the time course of serum and cerebrospinal fluid (CSF) IL-6 levels in 82 patients with severe aneurysmal subarachnoid hemorrhage (SAH) requiring external ventricular drains in correlation to angiographic vasospasm, delayed cerebral ischemia, secondary infarctions and other clinical parameters. We observed much higher daily mean IL-6 levels (but also large interindividual variations) in the CSF than the serum of the patients with a peak between days 4 and 14 including a maximum on day 5 after SAH. Individual CSF peak levels correlated significantly with DCI (mean day 4–14 peak, DCI: 26,291 ± 24,159 pg/ml vs. no DCI: 16,184 ± 13,163 pg/ml; P = 0.023). Importantly, CSF IL-6 levels differed significantly between cases with DCI and infarctions and patients with DCI and no infarction (mean day 4–14 peak, DCI with infarction: 37,209 ± 26,951 pg/ml vs. DCI, no infarction: 15,123 ± 11,239 pg/ml; P = 0.003), while findings in the latter patient group were similar to cases with no vasospasm (mean day 4–14 peak, DCI, no infarction: 15,123 ± 11,239 vs. no DCI: 15,840 ± 12,979; P = 0.873). Together, these data support a potential role for elevated CSF IL-6 levels as a biomarker for DCI with infarction rather than for DCI in general. This fits well with a growing body of evidence linking neuroinflammation to ischemia and infarction, but (together with the large interindividual variations observed) limits the diagnostic usefulness of CSF IL-6 levels in SAH patients.","author":[{"dropping-particle":"","family":"Ridwan","given":"Sami","non-dropping-particle":"","parse-names":false,"suffix":""},{"dropping-particle":"","family":"Grote","given":"Alexander","non-dropping-particle":"","parse-names":false,"suffix":""},{"dropping-particle":"","family":"Simon","given":"Matthias","non-dropping-particle":"","parse-names":false,"suffix":""}],"container-title":"Scientific Reports","id":"ITEM-2","issue":"1","issued":{"date-parts":[["2021","12","1"]]},"page":"12","title":"Interleukin 6 in cerebrospinal fluid is a biomarker for delayed cerebral ischemia (DCI) related infarctions after aneurysmal subarachnoid hemorrhage","type":"article-journal","volume":"11"},"uris":["http://www.mendeley.com/documents/?uuid=954238a1-eb7b-4cc3-8d80-8685af7fd07d"]},{"id":"ITEM-3","itemData":{"DOI":"10.1016/J.CLINEURO.2015.08.030","PMID":"26355810","abstract":"Objective Early brain injury after aneurysmal subarachnoid hemorrhage (aSAH) comprises a pronounced neuroinflammatory reaction. Nevertheless, its relevance for functional outcome and its role as outcome predictor remains uncertain. We evaluated the relationship of various early inflammatory parameters regarding functional outcome according to the modified Rankin Scale score (mRS) at discharge (primary objective) and six months after aSAH. Patients A total of 81 patients (63% female) with a mean age of 53.8 ± 13.2 years were included. Methods At admission clinical data and various inflammatory parameters in serum and - wherever applicable - cerebrospinal fluid (CSF) of patients after aSAH were assessed. Outcome was evaluated according to dichotomized mRS at discharge and six months after aSAH (unfavorable outcome: mRS 3-6). Univariate and thereafter multivariate logistic regression analyses were performed using SAS 9.2. Results Elevated levels of interleukin 6 (IL-6) and leukemia inhibitory factor (LIF) in serum and CSF were related to unfavorable outcome at discharge (p &lt; 0.05; univariate analyses). IL-6 remains the only parameter relevant for outcome applying a multivariate model including the relevant baseline characteristics. Six months after aSAH no significant correlation was found regarding the outcome, most likely due to the high drop-out rate (27%). A pronounced rise of LIF serum and CSF levels after aSAH was observed. Conclusion Higher early IL-6 serum levels after aSAH are associated with poor outcome at discharge. In addition, involvement of LIF in the early inflammatory reaction after aSAH has been demonstrated.","author":[{"dropping-particle":"","family":"Höllig","given":"Anke","non-dropping-particle":"","parse-names":false,"suffix":""},{"dropping-particle":"","family":"Remmel","given":"Daniel","non-dropping-particle":"","parse-names":false,"suffix":""},{"dropping-particle":"","family":"Stoffel-Wagner","given":"Birgit","non-dropping-particle":"","parse-names":false,"suffix":""},{"dropping-particle":"","family":"Schubert","given":"Gerrit A.","non-dropping-particle":"","parse-names":false,"suffix":""},{"dropping-particle":"","family":"Coburn","given":"Mark","non-dropping-particle":"","parse-names":false,"suffix":""},{"dropping-particle":"","family":"Clusmann","given":"Hans","non-dropping-particle":"","parse-names":false,"suffix":""}],"container-title":"Clinical Neurology and Neurosurgery","id":"ITEM-3","issued":{"date-parts":[["2015","11"]]},"page":"177-183","title":"Association of early inflammatory parameters after subarachnoid hemorrhage with functional outcome: A prospective cohort study","type":"article-journal","volume":"138"},"uris":["http://www.mendeley.com/documents/?uuid=af1447cc-c945-49d9-b783-3a76478f8a2b"]},{"id":"ITEM-4","itemData":{"DOI":"10.1016/J.CYTO.2019.154778","ISSN":"1096-0023","PMID":"31323526","abstract":"Introduction: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-4","issued":{"date-parts":[["2019","11","1"]]},"publisher":"Cytokine","title":"Compartmentalisation of the inflammatory response following aneurysmal subarachnoid haemorrhage","type":"article-journal","volume":"123"},"uris":["http://www.mendeley.com/documents/?uuid=3ea37f2c-2423-40f3-aa94-54cc1f8c4b7d"]},{"id":"ITEM-5","itemData":{"DOI":"10.1055/S-0037-1604084","ISSN":"2193-6323","PMID":"28869993","abstract":"Background Subarachnoid hemorrhage (SAH) is a severe condition associated with high mortality. Early brain injury (EBI) plays an important role in the pathophysiology of SAH, and inflammation is a major contributor to EBI. Inflammation is a widely studied topic in both experimental and clinical conditions; however, just a few clinical studies have focused primarily on the early inflammatory response after SAH, and detailed information about the association between the dynamics of early inflammatory response with main clinical characteristics is lacking. This study analyzes the early dynamics of inflammatory response after SAH and evaluates the possible associations between the markers of early inflammatory response and main clinical characteristics. Patients and Methods A total of 47 patients with a diagnosis of aneurysmal SAH within the last 24 hours were enrolled in the study. All treatments, including treatment of aneurysm (surgery/coiling) and implantation of a drainage system (external ventricular drainage/lumbar catheter), were conducted in the same way as in other patients with this diagnosis. Blood and cerebrospinal fluid (CSF) samples were collected three times a day for 4 days. The dynamics of proinflammatory cytokines were assessed, and associations between levels of the proinflammatory cytokines interleukin (IL)-6, IL-1β, or tumor necrosis factor (TNF)α and main clinical characteristics were evaluated using linear mixed-effect models. Results The CSF levels of IL-6 were massively increased initially after SAH (up to 72 hours) with an additional increase in later phases (after 72 hours), but there was high variability in IL-6 levels. A significant association was noted between the Glasgow Outcome Scale score and both overall levels of IL-6 (p = 0.0095) and their dynamics (p = 0.0208); the effect of the Hunt and Hess scale was borderline (p = 0.0887). No association was found between IL-6 levels and Fisher grade, modality of treatment (surgery, coiling, no treatment), and later development of cerebral vasospasm. Plasmatic levels of IL-6 increased slightly, but no significant association was found. The levels of IL-1β and TNFα were within the physiologic range in both CSF and plasma. Conclusions Early dynamics of IL-6 in CSF are associated with a patient's outcome. But it is difficult to use IL-6 alone for outcome prediction due to its high variability. The question is whether the dynamics of IL-6 could be used in combination with other early m…","author":[{"dropping-particle":"","family":"Ďuriš","given":"Kamil","non-dropping-particle":"","parse-names":false,"suffix":""},{"dropping-particle":"","family":"Neuman","given":"Eduard","non-dropping-particle":"","parse-names":false,"suffix":""},{"dropping-particle":"","family":"Vybíhal","given":"Václav","non-dropping-particle":"","parse-names":false,"suffix":""},{"dropping-particle":"","family":"Juráå","given":"Vilém","non-dropping-particle":"","parse-names":false,"suffix":""},{"dropping-particle":"","family":"Gottwaldová","given":"Jana","non-dropping-particle":"","parse-names":false,"suffix":""},{"dropping-particle":"","family":"Kýr","given":"Michal","non-dropping-particle":"","parse-names":false,"suffix":""},{"dropping-particle":"","family":"Vašků","given":"Anna","non-dropping-particle":"","parse-names":false,"suffix":""},{"dropping-particle":"","family":"Smrčka","given":"Martin","non-dropping-particle":"","parse-names":false,"suffix":""}],"container-title":"Journal of neurological surgery. Part A, Central European neurosurgery","id":"ITEM-5","issue":"2","issued":{"date-parts":[["2018","3","1"]]},"page":"145-151","publisher":"J Neurol Surg A Cent Eur Neurosurg","title":"Early Dynamics of Interleukin-6 in Cerebrospinal Fluid after Aneurysmal Subarachnoid Hemorrhage","type":"article-journal","volume":"79"},"uris":["http://www.mendeley.com/documents/?uuid=210ae3b6-3b7b-3e68-83b6-24187e50ae43"]},{"id":"ITEM-6","itemData":{"DOI":"10.1186/S13054-015-0954-1","ISSN":"1466609X","PMID":"25993987","abstract":"Introduction: The established neuroprotective property of the sex steroid precursor dehydroepiandrosterone-sulfate (DHEAS) has not yet been investigated in the context of aneurysmal subarachnoid hemorrhage (aSAH). The influence of DHEAS on inflammatory response resulting in modulation of interleukin 6 (IL-6) synthesis has been shown. Here, we evaluate DHEAS serum levels after aSAH (day 0-14) and levels of IL-6 related to functional outcome at discharge and at six months. Methods: A complete data set (DHEAS and IL-6 serum levels for days 0, 1, 4, 7, 10 and 14 after aSAH) and outcome assessment at discharge according to modified Rankin Scale score (mRS) was available for 53 patients of the initially screened cohort (n = 109). Outcome assessment six months after aSAH was obtained from 41 patients. Logarithmized levels of DHEAS and IL-6 were related to dichotomized functional outcome either assessed at discharge or at six months. A mixed between-within subjects ANOVA was applied for statistical analysis (SPSS 21.0). Results: DHEAS and IL-6 levels across time were related to functional outcome. Regarding outcome assessment at discharge and at six months after aSAH, DHEAS levels (transformed to square root for statistical purposes) were considerably higher in patients with favorable outcome (mRS 0-2) (p = .001; p = .020). Inversely, in patients with favorable outcome either at discharge or six months after aSAH, lower IL-6 levels (logarithmized for statistical purposes) were observed across time (both p &lt; .001). Conclusion: We provide new evidence that DHEAS is associated with protective properties resulting in improvement of functional outcome after aSAH, possibly by influencing the inflammatory response after aSAH shown in the decreasing IL-6 serum levels. But the results for outcome six months after SAH are limited due to a high drop-out rate.","author":[{"dropping-particle":"","family":"Höllig","given":"Anke","non-dropping-particle":"","parse-names":false,"suffix":""},{"dropping-particle":"","family":"Thiel","given":"Miriam","non-dropping-particle":"","parse-names":false,"suffix":""},{"dropping-particle":"","family":"Stoffel-Wagner","given":"Birgit","non-dropping-particle":"","parse-names":false,"suffix":""},{"dropping-particle":"","family":"Coburn","given":"Mark","non-dropping-particle":"","parse-names":false,"suffix":""},{"dropping-particle":"","family":"Clusmann","given":"Hans","non-dropping-particle":"","parse-names":false,"suffix":""}],"container-title":"Critical Care","id":"ITEM-6","issue":"1","issued":{"date-parts":[["2015","12","14"]]},"publisher":"BMC","title":"Neuroprotective properties of dehydroepiandrosterone-sulfate and its relationship to interleukin 6 after aneurysmal subarachnoid hemorrhage: a prospective cohort study","type":"article-journal","volume":"19"},"uris":["http://www.mendeley.com/documents/?uuid=08bbe9ba-5aab-35ce-a63f-1f2564649254"]},{"id":"ITEM-7","itemData":{"ISSN":"1940-5901","PMID":"25785135","abstract":"The aim of this study was to investigate the role of Von Willebrand Factor/thrombospondin type I repeats-13 (VWF/ADAMTS13) balance in aSAH. Fifty eight patients with aSAH at the First Affiliated hospital of Soochow University, Suzhou, China, between January 2012 and January 2014 were eligible for the study. They were divided into delayed cerebral ischemia group (DCI group) and non-delayed cerebral ischemia group (no DCI group), or cerebral vasospasm group (CVS group) and no spasm group (no CVS group), or good outcome group and poor outcome group. The control group consisted of twenty healthy people. All patients underwent CT, DSA, or (and) CTA diagnosed with intracranial subarachnoid hemorrhage which is caused by aneurysm rupture. Venous blood was drawn in tubes at 3 time points: 1 day after SAH (T1), (4±1) days after SAH (T2), and (9±1) days after SAH (T3) to determine plasma concentrations of ADAMTS13, VWF, P-selectin and IL-6 via enzyme-linked immunosorbent assay (ELISA). Transcranial doppler sonography (TCD) was used to measure mean blood flow velocity of the middle cerebral artery (VMCA). Glasgow Outcome Scale (GOS) was measured before discharge. Among 58 patients, 12 (20.7%) had DCI, 40 (68.9%) had TCD evidence of CVS, and 20 (34.5%) had poor outcome. The concentrations of VWF, P-selectin and IL-6 on T1, T2 and T3 after SAH were significantly higher in DCI, CVS and poor outcome groups compared with those of the control group (P &lt; 0.05). The concentrations of VWF, P-selectin and IL-6 were significantly higher in DCI, CVS and poor outcome groups compared with those of the no DCI, no CVS and good outcome groups. The activity of ADAMTS13 was lower in DCI and poor outcome groups compared with those of the no DCI and good outcome groups (P &lt; 0.05). The activity of ADAMTS13 showed no difference in CVS group and no CVS group (P &gt; 0.05). The results of our study suggest that the increased VWF and decreased ADAMTS13 activity were associated with DCI and poor outcome. The balance of VWF/ADAMTS13 could be used to predict the clinical outcome. The deficiency of ADAMTS13 can not only induce DCI but also accelerate inflammatory reaction. Our results reported in this paper may provide new insights into the possible use of ADAMTS13 as a therapeutic agent in aneurysmal subarachnoid hemorrhage.","author":[{"dropping-particle":"","family":"Tang","given":"Qi-Feng","non-dropping-particle":"","parse-names":false,"suffix":""},{"dropping-particle":"","family":"Lu","given":"Shi-Qi","non-dropping-particle":"","parse-names":false,"suffix":""},{"dropping-particle":"","family":"Zhao","given":"Yi-Ming","non-dropping-particle":"","parse-names":false,"suffix":""},{"dropping-particle":"","family":"Qian","given":"Jin-Xian","non-dropping-particle":"","parse-names":false,"suffix":""}],"container-title":"International Journal of Clinical and Experimental Medicine","id":"ITEM-7","issue":"1","issued":{"date-parts":[["2015"]]},"page":"1342","publisher":"e-Century Publishing Corporation","title":"The changes of von willebrand factor/a disintegrin-like and metalloprotease with thrombospondin type I repeats-13 balance in aneurysmal subarachnoid hemorrhage","type":"article-journal","volume":"8"},"uris":["http://www.mendeley.com/documents/?uuid=08c9e24d-f282-36f7-9ae0-c7c36f5430f8"]},{"id":"ITEM-8","itemData":{"DOI":"10.5137/1019-5149.JTN.16193-15.1","PMID":"27593784","abstract":"Aim: To assess the association between inflammatory response and early brain injury (EBI), and the association between inflammatory response and the following pneumonia after aneurysmal subarachnoid hemorrhage (SAH). Material and Methods: Eighty-nine patients with spontaneous SAH and 12 patients with unruptured aneurysm were included in this prospective study. The systemic inflammatory biomarkers such as C-reactive protein (CRP), IL-1ß, IL-2,IL-6,IL-8, IL10 and T leukocyte subsets were measured within 24 hours after admission. Their clinical features and laboratory findings were clearly reviewed and univariate analysis was used to find the main predictors. Results: The levels of serum inflammatory cytokines especially IL-6 (p=0.004) and CRP (p=0.014) would significantly increase after aneurysm SAH. Higher Fisher grades on admission result in higher levels of IL-6 and IL-10 (pIL-6=0.003. pIL-10=0.002), and higher levels of IL-6, IL-10 and CRP were significantly associated with severe EBI, and increased the susceptibility to pneumonia (p &lt; 0.05). The counts of CD3+ T Cells would decrease after aneurysm rupture (p=0.001), especially in patients with a poor initial clinical grade. A reversed correlation between IL-6 level and CD3 T cells count was revealed in this study (p=0.014,r=-0.249); a lower CD4 T-Cells counts might lead to subsequent pneumonia after SAH (p=0.041). The levels of serum inflammatory cytokines were not different between aneurysmal and non-aneurysmal SAH. ConclusIon: Systemic inflammatory response would be activated after aneurysm rupture; a similar systemic inflammatory response would be noticed in non-aneurysmal SAH. The degree of inflammatory response could reflect the severity of EBI, and excessive inflammatory response could also aggravate EBI, induce immunodepression and increase the susceptibility to infections. Inflammatory cytokines such as IL-6, IL-10 and CRP are important predictors.","author":[{"dropping-particle":"","family":"Zhong","given":"Weiying","non-dropping-particle":"","parse-names":false,"suffix":""},{"dropping-particle":"","family":"Zhang","given":"Zhiyong","non-dropping-particle":"","parse-names":false,"suffix":""},{"dropping-particle":"","family":"Zhao","given":"Peng","non-dropping-particle":"","parse-names":false,"suffix":""},{"dropping-particle":"","family":"Shen","given":"Jie","non-dropping-particle":"","parse-names":false,"suffix":""},{"dropping-particle":"","family":"Li","given":"Xueen","non-dropping-particle":"","parse-names":false,"suffix":""},{"dropping-particle":"","family":"Wang","given":"Donghai","non-dropping-particle":"","parse-names":false,"suffix":""},{"dropping-particle":"","family":"Li","given":"Gang","non-dropping-particle":"","parse-names":false,"suffix":""},{"dropping-particle":"","family":"Su","given":"Wandong","non-dropping-particle":"","parse-names":false,"suffix":""}],"container-title":"Turkish neurosurgery","id":"ITEM-8","issue":"3","issued":{"date-parts":[["2017"]]},"page":"346-352","publisher":"Turk Neurosurg","title":"The Impact of Initial Systemic Inflammatory Response After Aneurysmal Subarachnoid Hemorrhage","type":"article-journal","volume":"27"},"uris":["http://www.mendeley.com/documents/?uuid=0677ac34-33fe-48f2-8590-0b30a6b0bf85"]},{"id":"ITEM-9","itemData":{"DOI":"10.1186/S12974-019-1578-1","ISSN":"1742-2094","PMID":"31711504","abstract":"Background: Inflammatory mechanism has been implicated in delayed cerebral ischemia (DCI) and poor functional outcomes after subarachnoid hemorrhage (SAH). Identification of cytokine patterns associated with inflammation in acute SAH will provide insights into underlying biological processes of DCI and poor outcomes that may be amenable to interventions. Methods: Serum samples were collected from a prospective cohort of 60 patients with acute non-traumatic SAH at four time periods (&lt; 24 h, 24-48 h, 3-5 days, and 6-8 days after SAH) and concentration levels of 41 cytokines were measured by multiplex immunoassay. Logistic regression analysis was used to identify cytokines associated with DCI and poor functional outcomes. Correlation networks were constructed to identify cytokine clusters. Results: Of the 60 patients enrolled in the study, 14 (23.3%) developed DCI and 16 (26.7%) had poor functional outcomes at 3 months. DCI was associated with increased levels of PDGF-ABBB and CCL5 and decreased levels of IP-10 and MIP-1α. Poor functional outcome was associated with increased levels of IL-6 and MCP-1α. Network analysis identified distinct cytokine clusters associated with DCI and functional outcomes. Conclusions: Serum cytokine patterns in early SAH are associated with poor functional outcomes and DCI. The significant cytokines primarily modulate the inflammatory response. This supports earlier SAH studies linking inflammation and poor outcomes. In particular, this study identifies novel cytokine patterns over time that may indicate impending DCI.","author":[{"dropping-particle":"","family":"Ahn","given":"Sung Ho","non-dropping-particle":"","parse-names":false,"suffix":""},{"dropping-particle":"","family":"Savarraj","given":"Jude P.J.","non-dropping-particle":"","parse-names":false,"suffix":""},{"dropping-particle":"","family":"Parsha","given":"Kaushik","non-dropping-particle":"","parse-names":false,"suffix":""},{"dropping-particle":"","family":"Hergenroeder","given":"Georgene W.","non-dropping-particle":"","parse-names":false,"suffix":""},{"dropping-particle":"","family":"Chang","given":"Tiffany R.","non-dropping-particle":"","parse-names":false,"suffix":""},{"dropping-particle":"","family":"Kim","given":"Dong H.","non-dropping-particle":"","parse-names":false,"suffix":""},{"dropping-particle":"","family":"Kitagawa","given":"Ryan S.","non-dropping-particle":"","parse-names":false,"suffix":""},{"dropping-particle":"","family":"Blackburn","given":"Spiros L.","non-dropping-particle":"","parse-names":false,"suffix":""},{"dropping-particle":"","family":"Choi","given":"H. Alex","non-dropping-particle":"","parse-names":false,"suffix":""}],"container-title":"Journal of neuroinflammation","id":"ITEM-9","issue":"1","issued":{"date-parts":[["2019","11","11"]]},"publisher":"J Neuroinflammation","title":"Inflammation in delayed ischemia and functional outcomes after subarachnoid hemorrhage","type":"article-journal","volume":"16"},"uris":["http://www.mendeley.com/documents/?uuid=7cf550af-98b9-48dd-8d6b-5b914593bb27"]},{"id":"ITEM-10","itemData":{"DOI":"10.1371/JOURNAL.PONE.0132115","ISSN":"1932-6203","PMID":"26176774","abstract":"Background: Interleukin-6 (IL-6), a proinflammatory cytokine, was found to surge in the cerebral spinal fluid after aneurysmal subarachnoid hemorrhage (SAH). We hypothesized that the plasma level of IL-6 could be an independent biomarker in predicting clinical outcome of patients with ruptured intracranial aneurysm. Methods: We prospectively included 53 consecutive patients treated with platinum coil embolization of the ruptured intracranial aneurysm. Plasma IL-6 levels were measured in the blood samples at the orifices of the aneurysms and from peripheral veins. The outcome measure was the modified Rankin Scale one month after SAH. Multiple logistic regression analyses were used to evaluate the associations between the plasma IL-6 levels and the neurological outcome. Results: Significant risk factors for the poor outcome were old age, low Glasgow Coma Scale (GCS) on day 0, high Fisher grades, and high aneurysmal and venous IL-6 levels in univariate analyses. Aneurysmal IL-6 levels showed modest to moderate correlations with GCS on day 0, vasospasm grade and Fisher grade. A strong correlation was found between the aneurysmal and the corresponding venous IL-6 levels (ρ = 0.721; P&lt;0.001). In the multiple logistic regression models, the poor 30-day mRS was significantly associated with high aneurysmal IL-6 level (OR, 17.97; 95% CI, 1.51-214.33; P = 0.022) and marginally associated with high venous IL-6 level (OR, 12.71; 95% CI, 0.90-180.35; P = 0.022) after adjusting for dichotomized age, GCS on day 0, and vasospasm and Fisher grades. Conclusions: The plasma level of IL-6 is an independent prognostic biomarker that could be used to aid in the identification of patients at high-risk of poor neurological outcome after rupture of the intracranial aneurysm.","author":[{"dropping-particle":"","family":"Kao","given":"Hung Wen","non-dropping-particle":"","parse-names":false,"suffix":""},{"dropping-particle":"","family":"Lee","given":"Kwo Whei","non-dropping-particle":"","parse-names":false,"suffix":""},{"dropping-particle":"","family":"Kuo","given":"Chen Ling","non-dropping-particle":"","parse-names":false,"suffix":""},{"dropping-particle":"","family":"Huang","given":"Ching Shan","non-dropping-particle":"","parse-names":false,"suffix":""},{"dropping-particle":"","family":"Tseng","given":"Wan Min","non-dropping-particle":"","parse-names":false,"suffix":""},{"dropping-particle":"","family":"Liu","given":"Chin San","non-dropping-particle":"","parse-names":false,"suffix":""},{"dropping-particle":"","family":"Lin","given":"Ching Po","non-dropping-particle":"","parse-names":false,"suffix":""}],"container-title":"PloS one","id":"ITEM-10","issue":"7","issued":{"date-parts":[["2015","7","15"]]},"publisher":"PLoS One","title":"Interleukin-6 as a Prognostic Biomarker in Ruptured Intracranial Aneurysms","type":"article-journal","volume":"10"},"uris":["http://www.mendeley.com/documents/?uuid=d268cf8b-3759-4ed1-8229-d55593751970"]},{"id":"ITEM-11","itemData":{"DOI":"10.3390/IJMS18122580","ISSN":"1422-0067","PMID":"29194369","abstract":"Background: Aneurysmal subarachnoid hemorrhage (aSAH) is still a fatal and morbid disease, although bleeding aneurysms can be secured in almost all cases. Occurrence of post-SAH complications including cerebral vasospasm, delayed cerebral ischemia, hydrocephalus, epilepsy, and infections are the main determinants of clinical outcome. Hence, it is important to search for early predictors for specific post-SAH complications to treat these complications properly. Both cellular and molecular (cytokines) inflammation play a key role after aSAH during the phase of occurrence of post-SAH complications. Interleukin-6 (IL-6) is a well-known cytokine that has been extensively analyzed in cerebrospinal fluid (CSF) of patients after aSAH, but detailed studies exploring the role of systemic IL-6 in aSAH associated complications and its impact on early clinical outcome prediction are lacking. The current study aims to analyze the systemic IL-6 levels over two weeks after bleeding and its role in post-SAH complications. Methods: We recruited 80 aSAH patients prospectively who underwent peripheral venous blood withdrawal in serum gel tubes. The blood was centrifuged to harvest the serum, which was immediately frozen at –80 °C until analysis. Serum IL-6 levels were quantified using Immulite immunoassay system. Patient records including age, gender, post-SAH complications, aneurysm treatment, and clinical outcome (modified Rankin scale and Glasgow outcome scale) were retrieved to allow different subgroup analysis. Results: Serum IL-6 levels were significantly raised after aSAH compared to healthy controls over the first two weeks after hemorrhage. Serum IL-6 levels were found to be significantly elevated in aSAH patients presenting with higher Hunt and Hess grades, increasing age, and both intraventricular and intracerebral hemorrhage. Interestingly, serum IL-6 was also significantly raised in aSAH patients who developed seizures, cerebral vasospasm (CVS), and chronic hydrocephalus. IL-6 levels were sensitive to the development of infections and showed an increase in patients who developed pneumoniae. Intriguingly, we found a delayed increase in serum IL-6 in patients developing cerebral infarction. Finally, IL-6 levels were significantly higher in patients presenting with poor clinical outcome in comparison to good clinical outcome at discharge from hospital. Conclusion: Serum IL-6 levels were elevated early after aSAH and remained high over the two weeks after initial …","author":[{"dropping-particle":"","family":"Chaudhry","given":"Shafqat Rasul","non-dropping-particle":"","parse-names":false,"suffix":""},{"dropping-particle":"","family":"Stoffel-Wagner","given":"Birgit","non-dropping-particle":"","parse-names":false,"suffix":""},{"dropping-particle":"","family":"Kinfe","given":"Thomas Mehari","non-dropping-particle":"","parse-names":false,"suffix":""},{"dropping-particle":"","family":"Güresir","given":"Erdem","non-dropping-particle":"","parse-names":false,"suffix":""},{"dropping-particle":"","family":"Vatter","given":"Hartmut","non-dropping-particle":"","parse-names":false,"suffix":""},{"dropping-particle":"","family":"Dietrich","given":"Dirk","non-dropping-particle":"","parse-names":false,"suffix":""},{"dropping-particle":"","family":"Lamprecht","given":"Alf","non-dropping-particle":"","parse-names":false,"suffix":""},{"dropping-particle":"","family":"Muhammad","given":"Sajjad","non-dropping-particle":"","parse-names":false,"suffix":""}],"container-title":"International Journal of Molecular Sciences","id":"ITEM-11","issue":"12","issued":{"date-parts":[["2017","12","1"]]},"page":"2580","publisher":"Int J Mol Sci","title":"Elevated Systemic IL-6 Levels in Patients with Aneurysmal Subarachnoid Hemorrhage Is an Unspecific Marker for Post-SAH Complications","type":"article-journal","volume":"18"},"uris":["http://www.mendeley.com/documents/?uuid=2c454c56-61d4-4c59-b101-df26858a5641"]},{"id":"ITEM-12","itemData":{"DOI":"10.1111/ANE.13353","ISSN":"1600-0404","PMID":"32990943","abstract":"Objectives: Recent reports suggest an association between the inflammatory response after aneurysmal subarachnoid haemorrhage (aSAH) and patients' outcome. The primary aim of this study was to identify a potential association between the inflammatory response after aSAH and 1-year outcome. The secondary aim was to investigate whether the inflammatory response after aSAH could predict the development of delayed cerebral ischaemia (DCI). Materials and methods: This prospective observational pilot study included patients with an aSAH admitted to Sahlgrenska University Hospital, Gothenburg, Sweden, between May 2015 and October 2016. The patients were stratified according to the extended Glasgow Outcome Scale (GOSE) as having an unfavourable (score: 1–4) or favourable outcome (score: 5–8). Furthermore, patients were stratified depending on development of DCI or not. Patient data and blood samples were collected and analysed at admission and after 10 days. Results: Elevated serum concentrations of inflammatory markers such as tumour necrosis factor-α and interleukin (IL)-6, IL-1Ra, C-reactive protein and intercellular adhesion molecule-1 were detected in patients with unfavourable outcome. When adjustments for Glasgow coma scale were made, only IL-1Ra remained significantly associated with poor outcome (p = 0.012). The inflammatory response after aSAH was not predictive of the development of DCI. Conclusion: Elevated serum concentrations of inflammatory markers were associated with poor neurological outcome 1-year after aSAH. However, inflammatory markers are affected by many clinical events, and when adjustments were made, only IL-1Ra remained significantly associated with poor outcome. The robustness of these results needs to be tested in a larger trial.","author":[{"dropping-particle":"","family":"Bjerkne Wenneberg","given":"Sandra","non-dropping-particle":"","parse-names":false,"suffix":""},{"dropping-particle":"","family":"Odenstedt Hergès","given":"Helena","non-dropping-particle":"","parse-names":false,"suffix":""},{"dropping-particle":"","family":"Svedin","given":"Pernilla","non-dropping-particle":"","parse-names":false,"suffix":""},{"dropping-particle":"","family":"Mallard","given":"Carina","non-dropping-particle":"","parse-names":false,"suffix":""},{"dropping-particle":"","family":"Karlsson","given":"Thomas","non-dropping-particle":"","parse-names":false,"suffix":""},{"dropping-particle":"","family":"Adiels","given":"Martin","non-dropping-particle":"","parse-names":false,"suffix":""},{"dropping-particle":"","family":"Naredi","given":"Silvana","non-dropping-particle":"","parse-names":false,"suffix":""},{"dropping-particle":"","family":"Block","given":"Linda","non-dropping-particle":"","parse-names":false,"suffix":""}],"container-title":"Acta neurologica Scandinavica","id":"ITEM-12","issue":"2","issued":{"date-parts":[["2021","2","1"]]},"page":"195-205","publisher":"Acta Neurol Scand","title":"Association between inflammatory response and outcome after subarachnoid haemorrhage","type":"article-journal","volume":"143"},"uris":["http://www.mendeley.com/documents/?uuid=685948da-3dec-4bce-813e-3546fc200eff"]}],"mendeley":{"formattedCitation":"(20,22,57,58,23,24,26,31,38,39,46,47)","plainTextFormattedCitation":"(20,22,57,58,23,24,26,31,38,39,46,47)","previouslyFormattedCitation":"(20,22–24,26,31,38,39,46,47,57,58)"},"properties":{"noteIndex":0},"schema":"https://github.com/citation-style-language/schema/raw/master/csl-citation.json"}</w:instrText>
      </w:r>
      <w:r w:rsidR="002E3FCD" w:rsidRPr="00F7228F">
        <w:rPr>
          <w:rFonts w:ascii="Arial" w:hAnsi="Arial" w:cs="Arial"/>
        </w:rPr>
        <w:fldChar w:fldCharType="separate"/>
      </w:r>
      <w:r w:rsidR="008507E1" w:rsidRPr="00F7228F">
        <w:rPr>
          <w:rFonts w:ascii="Arial" w:hAnsi="Arial" w:cs="Arial"/>
          <w:noProof/>
        </w:rPr>
        <w:t>(20,22,57,58,23,24,26,31,38,39,46,47)</w:t>
      </w:r>
      <w:r w:rsidR="002E3FCD" w:rsidRPr="00F7228F">
        <w:rPr>
          <w:rFonts w:ascii="Arial" w:hAnsi="Arial" w:cs="Arial"/>
        </w:rPr>
        <w:fldChar w:fldCharType="end"/>
      </w:r>
      <w:r w:rsidR="002E3FCD" w:rsidRPr="00F7228F">
        <w:rPr>
          <w:rFonts w:ascii="Arial" w:hAnsi="Arial" w:cs="Arial"/>
        </w:rPr>
        <w:t xml:space="preserve">. Of these studies, four have additionally reported on the association between CSF IL-6 and functional outcomes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{"citationItems":[{"id":"ITEM-1","itemData":{"DOI":"10.1016/J.CLINEURO.2015.08.030","PMID":"26355810","abstract":"Objective Early brain injury after aneurysmal subarachnoid hemorrhage (aSAH) comprises a pronounced neuroinflammatory reaction. Nevertheless, its relevance for functional outcome and its role as outcome predictor remains uncertain. We evaluated the relationship of various early inflammatory parameters regarding functional outcome according to the modified Rankin Scale score (mRS) at discharge (primary objective) and six months after aSAH. Patients A total of 81 patients (63% female) with a mean age of 53.8 ± 13.2 years were included. Methods At admission clinical data and various inflammatory parameters in serum and - wherever applicable - cerebrospinal fluid (CSF) of patients after aSAH were assessed. Outcome was evaluated according to dichotomized mRS at discharge and six months after aSAH (unfavorable outcome: mRS 3-6). Univariate and thereafter multivariate logistic regression analyses were performed using SAS 9.2. Results Elevated levels of interleukin 6 (IL-6) and leukemia inhibitory factor (LIF) in serum and CSF were related to unfavorable outcome at discharge (p &lt; 0.05; univariate analyses). IL-6 remains the only parameter relevant for outcome applying a multivariate model including the relevant baseline characteristics. Six months after aSAH no significant correlation was found regarding the outcome, most likely due to the high drop-out rate (27%). A pronounced rise of LIF serum and CSF levels after aSAH was observed. Conclusion Higher early IL-6 serum levels after aSAH are associated with poor outcome at discharge. In addition, involvement of LIF in the early inflammatory reaction after aSAH has been demonstrated.","author":[{"dropping-particle":"","family":"Höllig","given":"Anke","non-dropping-particle":"","parse-names":false,"suffix":""},{"dropping-particle":"","family":"Remmel","given":"Daniel","non-dropping-particle":"","parse-names":false,"suffix":""},{"dropping-particle":"","family":"Stoffel-Wagner","given":"Birgit","non-dropping-particle":"","parse-names":false,"suffix":""},{"dropping-particle":"","family":"Schubert","given":"Gerrit A.","non-dropping-particle":"","parse-names":false,"suffix":""},{"dropping-particle":"","family":"Coburn","given":"Mark","non-dropping-particle":"","parse-names":false,"suffix":""},{"dropping-particle":"","family":"Clusmann","given":"Hans","non-dropping-particle":"","parse-names":false,"suffix":""}],"container-title":"Clinical Neurology and Neurosurgery","id":"ITEM-1","issued":{"date-parts":[["2015","11"]]},"page":"177-183","title":"Association of early inflammatory parameters after subarachnoid hemorrhage with functional outcome: A prospective cohort study","type":"article-journal","volume":"138"},"uris":["http://www.mendeley.com/documents/?uuid=af1447cc-c945-49d9-b783-3a76478f8a2b"]},{"id":"ITEM-2","itemData":{"DOI":"10.1016/J.CYTO.2019.154778","ISSN":"1096-0023","PMID":"31323526","abstract":"Introduction: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-2","issued":{"date-parts":[["2019","11","1"]]},"publisher":"Cytokine","title":"Compartmentalisation of the inflammatory response following aneurysmal subarachnoid haemorrhage","type":"article-journal","volume":"123"},"uris":["http://www.mendeley.com/documents/?uuid=3ea37f2c-2423-40f3-aa94-54cc1f8c4b7d"]},{"id":"ITEM-3","itemData":{"DOI":"10.1038/S41598-020-79586-3","PMID":"33420113","abstract":"Interleukin 6 (IL-6) is a prominent proinflammatory cytokine and has been discussed as a potential biomarker for delayed cerebral ischemia (DCI) following aneurysmal subarachnoid hemorrhage. In the present study we have analyzed the time course of serum and cerebrospinal fluid (CSF) IL-6 levels in 82 patients with severe aneurysmal subarachnoid hemorrhage (SAH) requiring external ventricular drains in correlation to angiographic vasospasm, delayed cerebral ischemia, secondary infarctions and other clinical parameters. We observed much higher daily mean IL-6 levels (but also large interindividual variations) in the CSF than the serum of the patients with a peak between days 4 and 14 including a maximum on day 5 after SAH. Individual CSF peak levels correlated significantly with DCI (mean day 4–14 peak, DCI: 26,291 ± 24,159 pg/ml vs. no DCI: 16,184 ± 13,163 pg/ml; P = 0.023). Importantly, CSF IL-6 levels differed significantly between cases with DCI and infarctions and patients with DCI and no infarction (mean day 4–14 peak, DCI with infarction: 37,209 ± 26,951 pg/ml vs. DCI, no infarction: 15,123 ± 11,239 pg/ml; P = 0.003), while findings in the latter patient group were similar to cases with no vasospasm (mean day 4–14 peak, DCI, no infarction: 15,123 ± 11,239 vs. no DCI: 15,840 ± 12,979; P = 0.873). Together, these data support a potential role for elevated CSF IL-6 levels as a biomarker for DCI with infarction rather than for DCI in general. This fits well with a growing body of evidence linking neuroinflammation to ischemia and infarction, but (together with the large interindividual variations observed) limits the diagnostic usefulness of CSF IL-6 levels in SAH patients.","author":[{"dropping-particle":"","family":"Ridwan","given":"Sami","non-dropping-particle":"","parse-names":false,"suffix":""},{"dropping-particle":"","family":"Grote","given":"Alexander","non-dropping-particle":"","parse-names":false,"suffix":""},{"dropping-particle":"","family":"Simon","given":"Matthias","non-dropping-particle":"","parse-names":false,"suffix":""}],"container-title":"Scientific Reports","id":"ITEM-3","issue":"1","issued":{"date-parts":[["2021","12","1"]]},"page":"12","title":"Interleukin 6 in cerebrospinal fluid is a biomarker for delayed cerebral ischemia (DCI) related infarctions after aneurysmal subarachnoid hemorrhage","type":"article-journal","volume":"11"},"uris":["http://www.mendeley.com/documents/?uuid=954238a1-eb7b-4cc3-8d80-8685af7fd07d"]},{"id":"ITEM-4","itemData":{"DOI":"10.1055/S-0037-1604084","ISSN":"2193-6323","PMID":"28869993","abstract":"Background Subarachnoid hemorrhage (SAH) is a severe condition associated with high mortality. Early brain injury (EBI) plays an important role in the pathophysiology of SAH, and inflammation is a major contributor to EBI. Inflammation is a widely studied topic in both experimental and clinical conditions; however, just a few clinical studies have focused primarily on the early inflammatory response after SAH, and detailed information about the association between the dynamics of early inflammatory response with main clinical characteristics is lacking. This study analyzes the early dynamics of inflammatory response after SAH and evaluates the possible associations between the markers of early inflammatory response and main clinical characteristics. Patients and Methods A total of 47 patients with a diagnosis of aneurysmal SAH within the last 24 hours were enrolled in the study. All treatments, including treatment of aneurysm (surgery/coiling) and implantation of a drainage system (external ventricular drainage/lumbar catheter), were conducted in the same way as in other patients with this diagnosis. Blood and cerebrospinal fluid (CSF) samples were collected three times a day for 4 days. The dynamics of proinflammatory cytokines were assessed, and associations between levels of the proinflammatory cytokines interleukin (IL)-6, IL-1β, or tumor necrosis factor (TNF)α and main clinical characteristics were evaluated using linear mixed-effect models. Results The CSF levels of IL-6 were massively increased initially after SAH (up to 72 hours) with an additional increase in later phases (after 72 hours), but there was high variability in IL-6 levels. A significant association was noted between the Glasgow Outcome Scale score and both overall levels of IL-6 (p = 0.0095) and their dynamics (p = 0.0208); the effect of the Hunt and Hess scale was borderline (p = 0.0887). No association was found between IL-6 levels and Fisher grade, modality of treatment (surgery, coiling, no treatment), and later development of cerebral vasospasm. Plasmatic levels of IL-6 increased slightly, but no significant association was found. The levels of IL-1β and TNFα were within the physiologic range in both CSF and plasma. Conclusions Early dynamics of IL-6 in CSF are associated with a patient's outcome. But it is difficult to use IL-6 alone for outcome prediction due to its high variability. The question is whether the dynamics of IL-6 could be used in combination with other early m…","author":[{"dropping-particle":"","family":"Ďuriš","given":"Kamil","non-dropping-particle":"","parse-names":false,"suffix":""},{"dropping-particle":"","family":"Neuman","given":"Eduard","non-dropping-particle":"","parse-names":false,"suffix":""},{"dropping-particle":"","family":"Vybíhal","given":"Václav","non-dropping-particle":"","parse-names":false,"suffix":""},{"dropping-particle":"","family":"Juráå","given":"Vilém","non-dropping-particle":"","parse-names":false,"suffix":""},{"dropping-particle":"","family":"Gottwaldová","given":"Jana","non-dropping-particle":"","parse-names":false,"suffix":""},{"dropping-particle":"","family":"Kýr","given":"Michal","non-dropping-particle":"","parse-names":false,"suffix":""},{"dropping-particle":"","family":"Vašků","given":"Anna","non-dropping-particle":"","parse-names":false,"suffix":""},{"dropping-particle":"","family":"Smrčka","given":"Martin","non-dropping-particle":"","parse-names":false,"suffix":""}],"container-title":"Journal of neurological surgery. Part A, Central European neurosurgery","id":"ITEM-4","issue":"2","issued":{"date-parts":[["2018","3","1"]]},"page":"145-151","publisher":"J Neurol Surg A Cent Eur Neurosurg","title":"Early Dynamics of Interleukin-6 in Cerebrospinal Fluid after Aneurysmal Subarachnoid Hemorrhage","type":"article-journal","volume":"79"},"uris":["http://www.mendeley.com/documents/?uuid=210ae3b6-3b7b-3e68-83b6-24187e50ae43"]}],"mendeley":{"formattedCitation":"(22,39,47,58)","plainTextFormattedCitation":"(22,39,47,58)","previouslyFormattedCitation":"(22,39,47,58)"},"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(22,39,47,58)</w:t>
      </w:r>
      <w:r w:rsidR="002E3FCD" w:rsidRPr="00F7228F">
        <w:rPr>
          <w:rFonts w:ascii="Arial" w:hAnsi="Arial" w:cs="Arial"/>
        </w:rPr>
        <w:fldChar w:fldCharType="end"/>
      </w:r>
      <w:r w:rsidR="002E3FCD" w:rsidRPr="00F7228F">
        <w:rPr>
          <w:rFonts w:ascii="Arial" w:hAnsi="Arial" w:cs="Arial"/>
        </w:rPr>
        <w:t xml:space="preserve">, and of those only two report on </w:t>
      </w:r>
      <w:r w:rsidR="00D057D6" w:rsidRPr="00F7228F">
        <w:rPr>
          <w:rFonts w:ascii="Arial" w:hAnsi="Arial" w:cs="Arial"/>
        </w:rPr>
        <w:t xml:space="preserve">both </w:t>
      </w:r>
      <w:r w:rsidR="002E3FCD" w:rsidRPr="00F7228F">
        <w:rPr>
          <w:rFonts w:ascii="Arial" w:hAnsi="Arial" w:cs="Arial"/>
        </w:rPr>
        <w:t xml:space="preserve">plasma and CSF IL-6 associations with late outcomes at 6 months or later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{"citationItems":[{"id":"ITEM-1","itemData":{"DOI":"10.1016/J.CLINEURO.2015.08.030","PMID":"26355810","abstract":"Objective Early brain injury after aneurysmal subarachnoid hemorrhage (aSAH) comprises a pronounced neuroinflammatory reaction. Nevertheless, its relevance for functional outcome and its role as outcome predictor remains uncertain. We evaluated the relationship of various early inflammatory parameters regarding functional outcome according to the modified Rankin Scale score (mRS) at discharge (primary objective) and six months after aSAH. Patients A total of 81 patients (63% female) with a mean age of 53.8 ± 13.2 years were included. Methods At admission clinical data and various inflammatory parameters in serum and - wherever applicable - cerebrospinal fluid (CSF) of patients after aSAH were assessed. Outcome was evaluated according to dichotomized mRS at discharge and six months after aSAH (unfavorable outcome: mRS 3-6). Univariate and thereafter multivariate logistic regression analyses were performed using SAS 9.2. Results Elevated levels of interleukin 6 (IL-6) and leukemia inhibitory factor (LIF) in serum and CSF were related to unfavorable outcome at discharge (p &lt; 0.05; univariate analyses). IL-6 remains the only parameter relevant for outcome applying a multivariate model including the relevant baseline characteristics. Six months after aSAH no significant correlation was found regarding the outcome, most likely due to the high drop-out rate (27%). A pronounced rise of LIF serum and CSF levels after aSAH was observed. Conclusion Higher early IL-6 serum levels after aSAH are associated with poor outcome at discharge. In addition, involvement of LIF in the early inflammatory reaction after aSAH has been demonstrated.","author":[{"dropping-particle":"","family":"Höllig","given":"Anke","non-dropping-particle":"","parse-names":false,"suffix":""},{"dropping-particle":"","family":"Remmel","given":"Daniel","non-dropping-particle":"","parse-names":false,"suffix":""},{"dropping-particle":"","family":"Stoffel-Wagner","given":"Birgit","non-dropping-particle":"","parse-names":false,"suffix":""},{"dropping-particle":"","family":"Schubert","given":"Gerrit A.","non-dropping-particle":"","parse-names":false,"suffix":""},{"dropping-particle":"","family":"Coburn","given":"Mark","non-dropping-particle":"","parse-names":false,"suffix":""},{"dropping-particle":"","family":"Clusmann","given":"Hans","non-dropping-particle":"","parse-names":false,"suffix":""}],"container-title":"Clinical Neurology and Neurosurgery","id":"ITEM-1","issued":{"date-parts":[["2015","11"]]},"page":"177-183","title":"Association of early inflammatory parameters after subarachnoid hemorrhage with functional outcome: A prospective cohort study","type":"article-journal","volume":"138"},"uris":["http://www.mendeley.com/documents/?uuid=af1447cc-c945-49d9-b783-3a76478f8a2b"]},{"id":"ITEM-2","itemData":{"DOI":"10.1016/J.CYTO.2019.154778","ISSN":"1096-0023","PMID":"31323526","abstract":"Introduction: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-2","issued":{"date-parts":[["2019","11","1"]]},"publisher":"Cytokine","title":"Compartmentalisation of the inflammatory response following aneurysmal subarachnoid haemorrhage","type":"article-journal","volume":"123"},"uris":["http://www.mendeley.com/documents/?uuid=3ea37f2c-2423-40f3-aa94-54cc1f8c4b7d"]}],"mendeley":{"formattedCitation":"(22,47)","plainTextFormattedCitation":"(22,47)","previouslyFormattedCitation":"(22,47)"},"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(22,47)</w:t>
      </w:r>
      <w:r w:rsidR="002E3FCD" w:rsidRPr="00F7228F">
        <w:rPr>
          <w:rFonts w:ascii="Arial" w:hAnsi="Arial" w:cs="Arial"/>
        </w:rPr>
        <w:fldChar w:fldCharType="end"/>
      </w:r>
      <w:r w:rsidR="002E3FCD" w:rsidRPr="00F7228F">
        <w:rPr>
          <w:rFonts w:ascii="Arial" w:hAnsi="Arial" w:cs="Arial"/>
        </w:rPr>
        <w:t>. Of these two studies, one found no association between CSF IL-6 levels and outcomes</w:t>
      </w:r>
      <w:r w:rsidR="008C09BB" w:rsidRPr="00F7228F">
        <w:rPr>
          <w:rFonts w:ascii="Arial" w:hAnsi="Arial" w:cs="Arial"/>
        </w:rPr>
        <w:t xml:space="preserve"> at 6 months</w:t>
      </w:r>
      <w:r w:rsidR="002E3FCD" w:rsidRPr="00F7228F">
        <w:rPr>
          <w:rFonts w:ascii="Arial" w:hAnsi="Arial" w:cs="Arial"/>
        </w:rPr>
        <w:t xml:space="preserve">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{"citationItems":[{"id":"ITEM-1","itemData":{"DOI":"10.1016/J.CLINEURO.2015.08.030","PMID":"26355810","abstract":"Objective Early brain injury after aneurysmal subarachnoid hemorrhage (aSAH) comprises a pronounced neuroinflammatory reaction. Nevertheless, its relevance for functional outcome and its role as outcome predictor remains uncertain. We evaluated the relationship of various early inflammatory parameters regarding functional outcome according to the modified Rankin Scale score (mRS) at discharge (primary objective) and six months after aSAH. Patients A total of 81 patients (63% female) with a mean age of 53.8 ± 13.2 years were included. Methods At admission clinical data and various inflammatory parameters in serum and - wherever applicable - cerebrospinal fluid (CSF) of patients after aSAH were assessed. Outcome was evaluated according to dichotomized mRS at discharge and six months after aSAH (unfavorable outcome: mRS 3-6). Univariate and thereafter multivariate logistic regression analyses were performed using SAS 9.2. Results Elevated levels of interleukin 6 (IL-6) and leukemia inhibitory factor (LIF) in serum and CSF were related to unfavorable outcome at discharge (p &lt; 0.05; univariate analyses). IL-6 remains the only parameter relevant for outcome applying a multivariate model including the relevant baseline characteristics. Six months after aSAH no significant correlation was found regarding the outcome, most likely due to the high drop-out rate (27%). A pronounced rise of LIF serum and CSF levels after aSAH was observed. Conclusion Higher early IL-6 serum levels after aSAH are associated with poor outcome at discharge. In addition, involvement of LIF in the early inflammatory reaction after aSAH has been demonstrated.","author":[{"dropping-particle":"","family":"Höllig","given":"Anke","non-dropping-particle":"","parse-names":false,"suffix":""},{"dropping-particle":"","family":"Remmel","given":"Daniel","non-dropping-particle":"","parse-names":false,"suffix":""},{"dropping-particle":"","family":"Stoffel-Wagner","given":"Birgit","non-dropping-particle":"","parse-names":false,"suffix":""},{"dropping-particle":"","family":"Schubert","given":"Gerrit A.","non-dropping-particle":"","parse-names":false,"suffix":""},{"dropping-particle":"","family":"Coburn","given":"Mark","non-dropping-particle":"","parse-names":false,"suffix":""},{"dropping-particle":"","family":"Clusmann","given":"Hans","non-dropping-particle":"","parse-names":false,"suffix":""}],"container-title":"Clinical Neurology and Neurosurgery","id":"ITEM-1","issued":{"date-parts":[["2015","11"]]},"page":"177-183","title":"Association of early inflammatory parameters after subarachnoid hemorrhage with functional outcome: A prospective cohort study","type":"article-journal","volume":"138"},"uris":["http://www.mendeley.com/documents/?uuid=af1447cc-c945-49d9-b783-3a76478f8a2b"]}],"mendeley":{"formattedCitation":"(22)","plainTextFormattedCitation":"(22)","previouslyFormattedCitation":"(22)"},"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(22)</w:t>
      </w:r>
      <w:r w:rsidR="002E3FCD" w:rsidRPr="00F7228F">
        <w:rPr>
          <w:rFonts w:ascii="Arial" w:hAnsi="Arial" w:cs="Arial"/>
        </w:rPr>
        <w:fldChar w:fldCharType="end"/>
      </w:r>
      <w:r w:rsidR="002E3FCD" w:rsidRPr="00F7228F">
        <w:rPr>
          <w:rFonts w:ascii="Arial" w:hAnsi="Arial" w:cs="Arial"/>
        </w:rPr>
        <w:t xml:space="preserve">. The other study found that day 3 plasma IL-6 levels were associated with worse </w:t>
      </w:r>
      <w:proofErr w:type="spellStart"/>
      <w:r w:rsidR="002E3FCD" w:rsidRPr="00F7228F">
        <w:rPr>
          <w:rFonts w:ascii="Arial" w:hAnsi="Arial" w:cs="Arial"/>
        </w:rPr>
        <w:t>mRS</w:t>
      </w:r>
      <w:proofErr w:type="spellEnd"/>
      <w:r w:rsidR="002E3FCD" w:rsidRPr="00F7228F">
        <w:rPr>
          <w:rFonts w:ascii="Arial" w:hAnsi="Arial" w:cs="Arial"/>
        </w:rPr>
        <w:t xml:space="preserve"> outcomes at 6 months, but this association was lost after adjusting for Fisher grade, WFNS grade, and age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-1","issued":{"date-parts":[["2019","11","1"]]},"publisher":"Cytokine","title":"Compartmentalisation of the inflammatory response following aneurysmal subarachnoid haemorrhage","type":"article-journal","volume":"123"},"uris":["http://www.mendeley.com/documents/?uuid=3ea37f2c-2423-40f3-aa94-54cc1f8c4b7d"]}],"mendeley":{"formattedCitation":"(47)","plainTextFormattedCitation":"(47)","previouslyFormattedCitation":"(47)"},"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(47)</w:t>
      </w:r>
      <w:r w:rsidR="002E3FCD" w:rsidRPr="00F7228F">
        <w:rPr>
          <w:rFonts w:ascii="Arial" w:hAnsi="Arial" w:cs="Arial"/>
        </w:rPr>
        <w:fldChar w:fldCharType="end"/>
      </w:r>
      <w:r w:rsidR="002E3FCD" w:rsidRPr="00F7228F">
        <w:rPr>
          <w:rFonts w:ascii="Arial" w:hAnsi="Arial" w:cs="Arial"/>
        </w:rPr>
        <w:t xml:space="preserve">. Additionally, several studies have reported only on the association between CSF IL-6 and outcomes </w:t>
      </w:r>
      <w:r w:rsidR="008C09BB" w:rsidRPr="00F7228F">
        <w:rPr>
          <w:rFonts w:ascii="Arial" w:hAnsi="Arial" w:cs="Arial"/>
        </w:rPr>
        <w:fldChar w:fldCharType="begin" w:fldLock="1"/>
      </w:r>
      <w:r w:rsidR="008507E1" w:rsidRPr="00F7228F">
        <w:rPr>
          <w:rFonts w:ascii="Arial" w:hAnsi="Arial" w:cs="Arial"/>
        </w:rPr>
        <w:instrText>ADDIN CSL_CITATION {"citationItems":[{"id":"ITEM-1","itemData":{"DOI":"10.1371/JOURNAL.PONE.0282424","ISSN":"1932-6203","PMID":"36893189","abstract":"Background Chemokines are small cytokines that exert chemotactic actions on immune cells and are involved in many inflammatory processes. The present study aims to provide insight in the role of this relatively unexplored family of proteins in the inflammatory pathophysiology of subarachnoid hemorrhage (SAH). Materials and methods Cerebrospinal fluid of 29 patients (17 female; mean age 57 years) was collected at days 1, 4 and 10 after SAH, centrifuged and frozen at -70C. Analysis of 92 inflammation-related proteins was performed using Target 96 Inflammation ® assay (Olink Proteomics, Uppsala, Sweden) based on Proximity Extension Assay technology. The panel included 20 chemokines (CCL2 (or MCP-1), CCL3, CCL4, CCL7 (or MCP-3), CCL8 (or MCP-2), CCL11 (or Eotaxin), CCL13 (or MCP-4), CCL19, CCL20, CCL23, CCL25, CCL28, CXCL1, CXCL5, CXCL6, CXCL8 (or IL-8), CXCL9, CXCL10, CXCL11 and CX3CL1 (or Fractalkine)) that were analyzed for their temporal patterns of expression and compared in dichotomized clinical groups based on World Federation of Neurosurgical Societies (WFNS) admission score and amount of blood on admission CT based on Fisher scale; presence of delayed cerebral ischemia(DCI)/delayed ischemic neurological deficit (DIND); and clinical outcome based on Glasgow Outcome Scale. Protein expression levels were provided in output unit Normalized Protein Expression (NPX). ANOVA models were used for statistical analyses. Results Four temporal patterns of expression were observed (i.e., early, middle, late peak and no peak). Significantly higher day 10 mean NPX values were observed in patients with poor outcome (GOS 1–3) for chemokines CCL2, CCL4, CCL7, CCL11, CCL13, CCL19, CCL20, CXCL1, CXCL5, CXCL6 and CXCL8. In the WFNS 4–5 group, CCL11 showed significantly higher day 4 and day 10 mean NPX values and CCL25 significantly higher day 4 values. In patients with SAH Fisher 4, CCL11 showed significantly higher mean NPX values on days 1, 4 and 10. Finally, patients with DCI/DIND had significantly higher day 4 mean NPX values of CXCL5. Conclusion Higher levels of multiple chemokines at the late stage of SAH seemed to correlate with worse clinical outcome. A few chemokines correlated with WFNS score, Fisher score and occurrence of DCI/DIND. Chemokines may be useful as biomarkers for describing the pathophysiology and prognosis of SAH. Further studies are needed to better understand their exact mechanism of action in the inflammatory cascade.","author":[{"dropping-particle":"","family":"Vlachogiannis","given":"Pavlos","non-dropping-particle":"","parse-names":false,"suffix":""},{"dropping-particle":"","family":"Hillered","given":"Lars","non-dropping-particle":"","parse-names":false,"suffix":""},{"dropping-particle":"","family":"Enblad","given":"Per","non-dropping-particle":"","parse-names":false,"suffix":""},{"dropping-particle":"","family":"Ronne-Engström","given":"Elisabeth","non-dropping-particle":"","parse-names":false,"suffix":""}],"container-title":"PloS one","id":"ITEM-1","issue":"3","issued":{"date-parts":[["2023","3","1"]]},"publisher":"PLoS One","title":"Elevated levels of several chemokines in the cerebrospinal fluid of patients with subarachnoid hemorrhage are associated with worse clinical outcome","type":"article-journal","volume":"18"},"uris":["http://www.mendeley.com/documents/?uuid=d05c5091-b798-38d6-93d9-75f9b2a2e7bb"]},{"id":"ITEM-2","itemData":{"DOI":"10.3171/JNS.1997.87.2.0215","ISSN":"0022-3085","PMID":"9254084","abstract":"Subarachnoid hemorrhage (SAH) causes an inflammatory reaction and may lead to ischemic brain damage. Experimental ischemia has been shown to be connected with the alarm-reaction cytokines interleukin-1 receptor antagonist (IL-1Ra) and tumor necrosis factor-α (TNFα). Increased levels of these cytokines, however, have not been detected thus far in patients following an SAH event. For this reason daily cerebrospinal fluid (CSF) samples were collected from 22 consecutively enrolled patients with SAH and from 10 non- SAH patients (controls). The CSF samples were studied using immunoassays for IL-1Ra and TNFα to investigate whether an SAH caused increased cytokine levels. The mean IL-1Ra levels were significantly higher in patients with SAH who were in poor clinical condition on admission than in those who were in good condition (318 pg/ml vs. 82 pg/ml, p &lt; 0.02). The IL-1Ra levels increased during delayed ischemic episodes and after surgery in patients who were in poor clinical condition. Significant increases in IL-1Ra and TNFα were detected during Days 4 through 10 in patients suffering from SAH who eventually had a poor outcome (p &lt; 0.05). Patients with good outcomes and control patients had low levels of these cytokines. The levels of IL-1Ra increased after surgery in patients with Hunt and Hess Grades III through V, but not in those with Grade I or II. This finding indicates that patients in poor clinical condition have a labile biochemical state in the brain that is reflected in increased cytokine levels following the surgical trauma. Both IL-1Ra and TNFα are known to induce fever, malaise, leukocytosis, and nitric oxide synthesis and to mediate ischemic and traumatic brain injuries. The present study shows that levels of these cytokines increase after SAH occurs and that high cytokine levels correlate with brain damage. It is therefore likely that fever, leukocytosis, and nitric oxide synthesis are also mediated by IL-1 in patients suffering from SAH and it is probable that the inflammatory mediators contribute to brain damage.","author":[{"dropping-particle":"","family":"Mathieson","given":"Tiit","non-dropping-particle":"","parse-names":false,"suffix":""},{"dropping-particle":"","family":"Edner","given":"Göran","non-dropping-particle":"","parse-names":false,"suffix":""},{"dropping-particle":"","family":"Ulfarsson","given":"Elfar","non-dropping-particle":"","parse-names":false,"suffix":""},{"dropping-particle":"","family":"Andersson","given":"Birger","non-dropping-particle":"","parse-names":false,"suffix":""}],"container-title":"Journal of neurosurgery","id":"ITEM-2","issue":"2","issued":{"date-parts":[["1997","8","1"]]},"page":"215-220","publisher":"J Neurosurg","title":"Cerebrospinal fluid interleukin-1 receptor antagonist and tumor necrosis factor-alpha following subarachnoid hemorrhage","type":"article-journal","volume":"87"},"uris":["http://www.mendeley.com/documents/?uuid=716e1828-5dc9-432a-82c8-ec1b72176436"]},{"id":"ITEM-3","itemData":{"DOI":"10.1007/S12028-019-00871-9","ISSN":"1556-0961","PMID":"31768758","abstract":"Background: How inflammatory cells are recruited into the central nervous system is a topic of interest in a number of neurological injuries. In aneurysmal subarachnoid hemorrhage (SAH), neutrophil accumulation in the central nervous system 3 days after the hemorrhage is a critical step in the development of delayed cerebral injury (DCI). The mechanism by which neutrophils enter the central nervous system is still unclear. Methods and Results: To identify human effectors of neutrophil recruitment, cerebrospinal fluid (CSF) samples were taken from a small, selected sample of SAH patients with external ventricular drainage devices (10 patients). Among a battery of CSF cytokines tested 3 days after SAH, five cytokines were associated with poor 90-day outcome (modified Rankin Score 3–6). A parallel study in a mouse model of mild SAH showed elevation in three cytokines in the CNS compared to sham. IL-17 and IL-2 were increased in both patients and the mouse model. IL-17 was investigated further because of its known role in neutrophil recruitment. Inhibition of RAR-Related Orphan Receptor Gamma T, the master transcription factor of IL-17, with the inverse agonist GSK805 suppressed neutrophils entry into the CNS after SAH compared to control. Using an IL-17 reporter mouse, we investigated the source of IL-17 and found that myeloid cells were a common IL-17-producing cell type in the meninges after SAH, suggesting an autocrine role for neutrophil recruitment. Conclusions: Taken together, IL-17 appears to be in important factor in the recruitment of neutrophils into the meninges after SAH and could be an important target for therapies to ameliorate DCI.","author":[{"dropping-particle":"","family":"Coulibaly","given":"A. P.","non-dropping-particle":"","parse-names":false,"suffix":""},{"dropping-particle":"","family":"Gartman","given":"W. T.","non-dropping-particle":"","parse-names":false,"suffix":""},{"dropping-particle":"","family":"Swank","given":"V.","non-dropping-particle":"","parse-names":false,"suffix":""},{"dropping-particle":"","family":"Gomes","given":"J. A.","non-dropping-particle":"","parse-names":false,"suffix":""},{"dropping-particle":"","family":"Ruozhuo","given":"L.","non-dropping-particle":"","parse-names":false,"suffix":""},{"dropping-particle":"","family":"DeBacker","given":"J.","non-dropping-particle":"","parse-names":false,"suffix":""},{"dropping-particle":"","family":"Provencio","given":"J. J.","non-dropping-particle":"","parse-names":false,"suffix":""}],"container-title":"Neurocritical care","id":"ITEM-3","issue":"1","issued":{"date-parts":[["2020","8","1"]]},"page":"140-151","publisher":"Neurocrit Care","title":"RAR-Related Orphan Receptor Gamma T (RoRγt)-Related Cytokines Play a Role in Neutrophil Infiltration of the Central Nervous System After Subarachnoid Hemorrhage","type":"article-journal","volume":"33"},"uris":["http://www.mendeley.com/documents/?uuid=98d395fc-2ef3-4638-811e-e1ea004c6a60"]},{"id":"ITEM-4","itemData":{"DOI":"10.1016/J.WNEU.2017.12.076","ISSN":"1878-8769","PMID":"29277532","abstract":"Background: Aneurysmal subarachnoid hemorrhage (aSAH) is a severe cerebrovascular accident with high morbidity and mortality. The aim of this study is to investigate the relationship between level of inflammatory cytokines in cerebrospinal fluid (CSF) of aSAH patients, the severity of aSAH, and the outcome of aSAH patients. Methods: aSAH patients were prospectively included and followed-up for 6 months. CSF samples were collected at 1–3, 4–6, and 7–9 days after aSAH onset. Levels of interleukin (IL)-1β, IL-18, and tumor necrosis factor-α (TNF-α) in the CSF of aSAH patients were measured by enzyme-linked immunosorbent assay. Results: Eighty-one aSAH patients were enrolled. The levels of IL-1β, IL-18 and TNF-α in the CSF were especially higher in the group of aSAH patients with cerebral edema, cerebral vasospasm, and a high grade on Hunt-Hess scale, the high World Federation of Neurological Surgeons grades, and Fisher grade (P &lt; 0.01). Higher levels of plasma C-reactive protein in the blood were correlated with poor outcome. The areas under the receiver operating characteristic curves for the levels of inflammatory cytokines in CSF were 0.85, 0.84, and 0.95, respectively. Clinical features (age, Hunt-Hess grade, etc.) were positively correlated with poor outcomes (P &lt; 0.05). Conclusions: The levels of IL-1β, IL-18, and TNF-α in CSF were elevated in aSAH patients and were positively associated with cerebral edema and acute hydrocephalus. Our findings suggest that CSF inflammatory cytokines might be biomarkers to assess severity and predict outcomes.","author":[{"dropping-particle":"","family":"Lv","given":"Sheng yin","non-dropping-particle":"","parse-names":false,"suffix":""},{"dropping-particle":"","family":"Wu","given":"Qi","non-dropping-particle":"","parse-names":false,"suffix":""},{"dropping-particle":"","family":"Liu","given":"Jing peng","non-dropping-particle":"","parse-names":false,"suffix":""},{"dropping-particle":"","family":"Shao","given":"Jiang","non-dropping-particle":"","parse-names":false,"suffix":""},{"dropping-particle":"","family":"Wen","given":"Li li","non-dropping-particle":"","parse-names":false,"suffix":""},{"dropping-particle":"","family":"Xue","given":"Jin","non-dropping-particle":"","parse-names":false,"suffix":""},{"dropping-particle":"","family":"Zhang","given":"Xin Xiang sheng","non-dropping-particle":"","parse-names":false,"suffix":""},{"dropping-particle":"","family":"Zhang","given":"Qing rong","non-dropping-particle":"","parse-names":false,"suffix":""},{"dropping-particle":"","family":"Zhang","given":"Xin Xiang sheng","non-dropping-particle":"","parse-names":false,"suffix":""}],"container-title":"World neurosurgery","id":"ITEM-4","issued":{"date-parts":[["2018","3","1"]]},"page":"e362-e373","publisher":"World Neurosurg","title":"Levels of Interleukin-1β, Interleukin-18, and Tumor Necrosis Factor-α in Cerebrospinal Fluid of Aneurysmal Subarachnoid Hemorrhage Patients May Be Predictors of Early Brain Injury and Clinical Prognosis","type":"article-journal","volume":"111"},"uris":["http://www.mendeley.com/documents/?uuid=7a216f68-11de-4bee-9b2f-34047817358b"]},{"id":"ITEM-5","itemData":{"DOI":"10.3346/JKMS.2001.16.6.774","ISBN":"726.35±707.18","ISSN":"10118934","PMID":"11748361","abstract":"Subarachnoid hemorrhage (SAH) induces an inflammatory reaction and may lead to ischemic brain damage. The pathogenesis of brain dysfunction and delayed ischemic symptoms remain difficult to understand despite extensive surveys of such reactions. Cytokine production in the central nervous system following SAH and its relation with clinical outcome have hardly been studied. This study was aimed to determine whether the levels of IL-1β, IL-6 and TNF-α in the initial cerebrospinal fluid would increase following aneurysmal SAH, and be related with development of delayed ischemic deficit and clinical outcome. Nineteen patients suffering from aneurysmal SAH and 12 control volunteers were the subjects in this study. Cerebrospinal fluid samples were obtained on admission and the levels of each cytokine were determined with enzyme-linked immunosorbent assay. Patients with aneurysmal subarachnoid hemorrhage showed elevated levels of IL-1β and TNF-α on admission. The patients with poor neurological status showed high levels of IL-1β, and IL-6. The patients who developed delayed ischemic deficit had high level of IL-6. We suggest that elevated level of IL-6 in cerebrospinal fluid of patients with aneurysmal SAH on admission can predict the high risk of delayed ischemic deficit. Copyright © The Korean Academy of Medical Sciences.","author":[{"dropping-particle":"","family":"Kwon","given":"Ki Young","non-dropping-particle":"","parse-names":false,"suffix":""},{"dropping-particle":"","family":"Jeon","given":"Byung Chan","non-dropping-particle":"","parse-names":false,"suffix":""}],"container-title":"Journal of Korean Medical Science","id":"ITEM-5","issue":"6","issued":{"date-parts":[["2001"]]},"page":"774","publisher":"Korean Academy of Medical Sciences","title":"Cytokine levels in cerebrospinal fluid and delayed ischemic deficits in patients with aneurysmal subarachnoid hemorrhage.","type":"article-journal","volume":"16"},"uris":["http://www.mendeley.com/documents/?uuid=5550b6f6-d3d0-4320-9f22-721461720346"]},{"id":"ITEM-6","itemData":{"DOI":"10.1186/S12974-015-0415-4","ISSN":"1742-2094","PMID":"26527034","abstract":"Background: Subarachnoid hemorrhage (SAH) is a devastating neurological injury with high morbidity and mortality that is mainly caused by early brain injury (EBI). Progranulin (PGRN) is known to be involved in various biological functions, such as anti-inflammation and tissue repair. This study aimed to investigate the change of PGRN in the brain after SAH and its role on EBI. Methods: The levels of PGRN, myeloperoxidase (MPO), interleukin1β (IL-1β), and tumor necrosis factor-α (TNF-α) were detected in the cerebrospinal fluid (CSF) from SAH patients by enzyme-linked immunosorbent assay (ELISA). In addition, PGRN levels were also detected in the cerebral cortex after experimental SAH in rats by western blotting and immunohistochemistry (IHC). Recombinant human PGRN (r-PGRN) or an equal volume of phosphate-buffered saline (PBS) was administrated at 30 min after SAH. All rats were subsequently sacrificed at 24 h after SAH. Neurological score and brain water content were assessed. For mechanistic studies, the changes of MPO, matrix metalloproteinase-9 (MMP-9), zonula occludens 1 (ZO-1), Bcl-2, and cleaved caspase-3 were examined by western blotting and the levels of pro-inflammatory cytokines (IL-1β and TNF-α) were determined by ELISA. In addition, neuronal apoptosis and blood brain barrier (BBB) permeability were examined. Results: The levels of PGRN significantly decreased, and the levels of MPO, IL-1β, and TNF-α were markedly elevated in the CSF from SAH patients. In rats, PGRN levels in the brain also decreased after SAH. Administration of r-PGRN decreased brain water content and improved neurological scores at 24 h after SAH. These changes were associated with marked reductions in MPO, MMP-9, and proinflammation cytokine levels, as well as increased levels of Bcl-2 and ZO-1. In addition, neuronal apoptosis and BBB permeability were alleviated by r-PGRN. Conclusions: These results indicate that the levels of PGRN decreased after SAH and that r-PGRN alleviates EBI after SAH possibly via inhibition of neutrophil recruitment, providing a new target for the treatment of SAH.","author":[{"dropping-particle":"","family":"Zhou","given":"Chenhui","non-dropping-particle":"","parse-names":false,"suffix":""},{"dropping-particle":"","family":"Xie","given":"Guangbin","non-dropping-particle":"","parse-names":false,"suffix":""},{"dropping-particle":"","family":"Wang","given":"Chunxi","non-dropping-particle":"","parse-names":false,"suffix":""},{"dropping-particle":"","family":"Zhang","given":"Zihuan","non-dropping-particle":"","parse-names":false,"suffix":""},{"dropping-particle":"","family":"Chen","given":"Qiang","non-dropping-particle":"","parse-names":false,"suffix":""},{"dropping-particle":"","family":"Zhang","given":"Li","non-dropping-particle":"","parse-names":false,"suffix":""},{"dropping-particle":"","family":"Wu","given":"Lingyun","non-dropping-particle":"","parse-names":false,"suffix":""},{"dropping-particle":"","family":"Wei","given":"Yongxiang","non-dropping-particle":"","parse-names":false,"suffix":""},{"dropping-particle":"","family":"Ding","given":"Hui","non-dropping-particle":"","parse-names":false,"suffix":""},{"dropping-particle":"","family":"Hang","given":"Chunhua","non-dropping-particle":"","parse-names":false,"suffix":""},{"dropping-particle":"","family":"Zhou","given":"Mengliang","non-dropping-particle":"","parse-names":false,"suffix":""},{"dropping-particle":"","family":"Shi","given":"Jixin","non-dropping-particle":"","parse-names":false,"suffix":""}],"container-title":"Journal of neuroinflammation","id":"ITEM-6","issue":"1","issued":{"date-parts":[["2015","11","2"]]},"publisher":"J Neuroinflammation","title":"Decreased progranulin levels in patients and rats with subarachnoid hemorrhage: a potential role in inhibiting inflammation by suppressing neutrophil recruitment","type":"article-journal","volume":"12"},"uris":["http://www.mendeley.com/documents/?uuid=ee3afc66-02bb-4f54-8a3b-7e6bfe839113"]},{"id":"ITEM-7","itemData":{"DOI":"10.1161/STR.44.SUPPL_1.ATP426","ISSN":"0039-2499","abstract":"Introduction: Growing evidence suggest inflammation plays a key role in the pathogenesis of vasospasm (VSP) and secondary ischemic injury following subarachnoid hemorrhage (SAH). While elevations o...","author":[{"dropping-particle":"","family":"Chou","given":"Sherry H","non-dropping-particle":"","parse-names":false,"suffix":""},{"dropping-particle":"","family":"Elyaman","given":"Wassim","non-dropping-particle":"","parse-names":false,"suffix":""},{"dropping-particle":"","family":"Bradshaw","given":"Elizabeth M","non-dropping-particle":"","parse-names":false,"suffix":""},{"dropping-particle":"","family":"Secor","given":"Elizabeth A","non-dropping-particle":"","parse-names":false,"suffix":""},{"dropping-particle":"","family":"Suh","given":"Sarah","non-dropping-particle":"","parse-names":false,"suffix":""},{"dropping-particle":"","family":"Orent","given":"William","non-dropping-particle":"","parse-names":false,"suffix":""},{"dropping-particle":"De","family":"Jager","given":"Philip L","non-dropping-particle":"","parse-names":false,"suffix":""},{"dropping-particle":"","family":"Du","given":"Rose","non-dropping-particle":"","parse-names":false,"suffix":""},{"dropping-particle":"","family":"Feske","given":"Steven K","non-dropping-particle":"","parse-names":false,"suffix":""},{"dropping-particle":"","family":"Lo","given":"Eng H","non-dropping-particle":"","parse-names":false,"suffix":""},{"dropping-particle":"","family":"Ning","given":"MingMing","non-dropping-particle":"","parse-names":false,"suffix":""}],"container-title":"Stroke","id":"ITEM-7","issue":"suppl_1","issued":{"date-parts":[["2013","2"]]},"publisher":"Lippincott Williams &amp; Wilkins","title":"Abstract TP426: Candidate CSF Cytokine and Chemokine Biomarkers for Vasospasm and Poor Outcome in Human Subarachnoid Hemorrhage","type":"article-journal","volume":"44"},"uris":["http://www.mendeley.com/documents/?uuid=462cfc53-2f9e-3dc5-895e-0d1f2ee73ff4"]},{"id":"ITEM-8","itemData":{"DOI":"10.1227/01.NEU.0000255440.21495.80","ISSN":"1524-4040","PMID":"17460517","abstract":"OBJECTIVE: Inflammatory response seems to be one of the relevant pathophysiological aspects for developing vasospasm in subarachnoid hemorrhage. The probable diagnostic value of intrathecal proinflammatory markers is still unclear and is assessed in this study. METHODS: We analyzed daily clinical data and laboratory tests of the cerebrospinal fluid (CSF) of 64 patients with mostly poor-grade subarachnoid hemorrhage during a period of 14 days. Special attention was given to the relationship between the development of vasospasm and the time course of the intrathecal interleukin (IL)-6 concentrations in CSF (IL-6CSF). The potential power of IL-6CSF for predicting vasospasm was studied. RESULTS: Vasospasm developed in 28.1% of the patients, with a mean onset of 6.4 days after bleeding, and was detected by conventional methods. Patients with vasospasm demonstrated statistically significant higher median values of IL-6CSF on Days 4 and 5 (P &lt; 0.05). Most importantly, the increase of IL-6CSF preceded the conventional signs of vasospasm. A cut-off value of IL-6CSF of at least 2000 pg/ml on Day 4 yielded an 11.72-fold higher relative risk (95% confidence interval, 2.93-46.60) of developing vasospasm, predicting vasospasm with a sensitivity of 88.9% and a specificity of 78.3%. We found a statistically significant correlation between IL-6CSF and delayed cerebral ischemia for Day 7 (P = 0.03). However, there was no correlation with IL-6CSF on any other day and outcome. CONCLUSION: IL-6CSF seems to be a reliable early marker for predicting vasospasm after subarachnoid hemorrhage on Days 4 and 5 before clinical onset. Copyright © by the Congress of Neurological Surgeons.","author":[{"dropping-particle":"","family":"Schoch","given":"Beate","non-dropping-particle":"","parse-names":false,"suffix":""},{"dropping-particle":"","family":"Regel","given":"Jens P.","non-dropping-particle":"","parse-names":false,"suffix":""},{"dropping-particle":"","family":"Wichert","given":"Marc","non-dropping-particle":"","parse-names":false,"suffix":""},{"dropping-particle":"","family":"Gasser","given":"Thomas","non-dropping-particle":"","parse-names":false,"suffix":""},{"dropping-particle":"","family":"Volbracht","given":"Lothar","non-dropping-particle":"","parse-names":false,"suffix":""},{"dropping-particle":"","family":"Stolke","given":"Dietmar","non-dropping-particle":"","parse-names":false,"suffix":""}],"container-title":"Neurosurgery","id":"ITEM-8","issue":"5","issued":{"date-parts":[["2007","5"]]},"page":"828-835","publisher":"Neurosurgery","title":"Analysis of intrathecal interleukin-6 as a potential predictive factor for vasospasm in subarachnoid hemorrhage","type":"article-journal","volume":"60"},"uris":["http://www.mendeley.com/documents/?uuid=8f07d749-453e-468d-9f3d-255c1fdad963"]},{"id":"ITEM-9","itemData":{"PMID":"19777384","abstract":"Background: High-mobility group box 1 protein (HMGB1) is a nuclear factor that is a potent proinflammatory mediator, and may trigger increases in other inflammatory cytokines. The inflammatory cytokines in the cerebrospinal fluid (CSF) of patients with subarachnoid hemorrhage (SAH) have been reported previously, but HMGB1 has not. In this study, we measured HMGB1 and the inflammatory cytokines in the CSF of patients with SAH. Methods: CSF samples were collected on days 3, 7, and 14 from the drainage tubes of the postaneurysm clips of 39 patients with SAH. HMGB1, interleukin-6 (IL-6), IL-8, and tumor necrosis factor alpha (TNF-α) were measured in the CSF, and compared between the patients with favorable (good recovery and moderate disability) and unfavorable outcomes (severe disability, vegetative state, and death) at 3 months. Results: In the unfavorable outcome group, HMGB1 (P = 0.017), IL-6 (P = 0.003), IL-8 (P = 0.041), and TNF-α (P = 0.002) were significantly increased. HMGB1 correlated significantly with IL-6, IL-8, and TNF-α (R = 0.672, 0.421, and 0.697, respectively). Conclusions: HMGB1 was increased in the CSF of SAH patients with an unfavorable outcome, as were the other cytokines. These results suggest that HMGB1 and cytokines are related to the brain damage observed after SAH. HMGB1 might play a key role in the inflammatory response in the CNS of SAH patients. © 2009 Humana Press Inc.","author":[{"dropping-particle":"","family":"Nakahara","given":"Takashi","non-dropping-particle":"","parse-names":false,"suffix":""},{"dropping-particle":"","family":"Tsuruta","given":"Ryosuke","non-dropping-particle":"","parse-names":false,"suffix":""},{"dropping-particle":"","family":"Kaneko","given":"Tadashi","non-dropping-particle":"","parse-names":false,"suffix":""},{"dropping-particle":"","family":"Yamashita","given":"Susumu","non-dropping-particle":"","parse-names":false,"suffix":""},{"dropping-particle":"","family":"Fujita","given":"Motoki","non-dropping-particle":"","parse-names":false,"suffix":""},{"dropping-particle":"","family":"Kasaoka","given":"Shunji","non-dropping-particle":"","parse-names":false,"suffix":""},{"dropping-particle":"","family":"Hashiguchi","given":"Teruto","non-dropping-particle":"","parse-names":false,"suffix":""},{"dropping-particle":"","family":"Suzuki","given":"Michiyasu","non-dropping-particle":"","parse-names":false,"suffix":""},{"dropping-particle":"","family":"Maruyama","given":"Ikuro","non-dropping-particle":"","parse-names":false,"suffix":""},{"dropping-particle":"","family":"Maekawa","given":"Tsuyoshi","non-dropping-particle":"","parse-names":false,"suffix":""}],"container-title":"Neurocritical Care","id":"ITEM-9","issue":"3","issued":{"date-parts":[["2009","1","24"]]},"page":"362-368","title":"High-mobility group box 1 protein in CSF of patients with subarachnoid hemorrhage","type":"article-journal","volume":"11"},"uris":["http://www.mendeley.com/documents/?uuid=cc1eea56-bfbd-4b66-8fa2-523391c1f865"]},{"id":"ITEM-10","itemData":{"DOI":"10.1186/S12974-016-0675-7","ISSN":"1742-2094","PMID":"27576738","abstract":"Background: Interleukin-6 (IL-6), an inflammatory cytokine, plays important roles in cerebrospinal fluid (CSF) after subarachnoid hemorrhage (SAH). Chemokines are chemoattractant cytokines that regulate trafficking of monocytes/macrophages and lymphocytes to sites of inflammation. However, no studies have been reported regarding the temporal expression of these cytokines in CSF after SAH. Findings: The concentrations of IL-6, monocyte chemoattractant protein-1 (MCP-1), interferon-γ-inducible protein-10 (IP-10), and monokine induced by interferon-γ (MIG) in the CSF of ten patients with SAH were measured using ELISA kits over a period of 14 days. All aneurysms were located in the anterior circulation. CSF samples from patients with unruptured aneurysms were used as controls. The concentration of IL-6 significantly increased during the acute stage of the disease. The concentration of MCP-1 increased from days 1 to 5, peaking on day 3, and decreased thereafter. The concentrations of IP-10 and MIG progressively increased, peaked on day 5, and then gradually decreased. There were strong correlations between the maximum levels of IL-6 and MCP-1 and IP-10 and MIG on day 5. The maximum level of IL-6 was much higher in poor outcome patients than in good outcome patients. Conclusions: The present investigation demonstrated that increases in IL-6 levels may induce the expression of MCP-1 in CSF after SAH, followed by increases in the expression of IP-10 and MIG. Dynamic changes in the levels of these cytokines may induce inflammation and may be closely associated with the development of delayed ischemic neurological deficits after SAH.","author":[{"dropping-particle":"","family":"Niwa","given":"Aichi","non-dropping-particle":"","parse-names":false,"suffix":""},{"dropping-particle":"","family":"Osuka","given":"Koji","non-dropping-particle":"","parse-names":false,"suffix":""},{"dropping-particle":"","family":"Nakura","given":"Takahiro","non-dropping-particle":"","parse-names":false,"suffix":""},{"dropping-particle":"","family":"Matsuo","given":"Naoki","non-dropping-particle":"","parse-names":false,"suffix":""},{"dropping-particle":"","family":"Watabe","given":"Takeya","non-dropping-particle":"","parse-names":false,"suffix":""},{"dropping-particle":"","family":"Takayasu","given":"Masakazu","non-dropping-particle":"","parse-names":false,"suffix":""}],"container-title":"Journal of neuroinflammation","id":"ITEM-10","issue":"1","issued":{"date-parts":[["2016","8","30"]]},"publisher":"J Neuroinflammation","title":"Interleukin-6, MCP-1, IP-10, and MIG are sequentially expressed in cerebrospinal fluid after subarachnoid hemorrhage","type":"article-journal","volume":"13"},"uris":["http://www.mendeley.com/documents/?uuid=b58bee50-afd5-37da-a6a0-57ca3e22e913"]}],"mendeley":{"formattedCitation":"(4,10–12,18,27,29,41,53,63)","plainTextFormattedCitation":"(4,10–12,18,27,29,41,53,63)","previouslyFormattedCitation":"(4,10–12,18,27,29,41,53,63)"},"properties":{"noteIndex":0},"schema":"https://github.com/citation-style-language/schema/raw/master/csl-citation.json"}</w:instrText>
      </w:r>
      <w:r w:rsidR="008C09BB" w:rsidRPr="00F7228F">
        <w:rPr>
          <w:rFonts w:ascii="Arial" w:hAnsi="Arial" w:cs="Arial"/>
        </w:rPr>
        <w:fldChar w:fldCharType="separate"/>
      </w:r>
      <w:r w:rsidR="008C09BB" w:rsidRPr="00F7228F">
        <w:rPr>
          <w:rFonts w:ascii="Arial" w:hAnsi="Arial" w:cs="Arial"/>
          <w:noProof/>
        </w:rPr>
        <w:t>(4,10–12,18,27,29,41,53,63)</w:t>
      </w:r>
      <w:r w:rsidR="008C09BB" w:rsidRPr="00F7228F">
        <w:rPr>
          <w:rFonts w:ascii="Arial" w:hAnsi="Arial" w:cs="Arial"/>
        </w:rPr>
        <w:fldChar w:fldCharType="end"/>
      </w:r>
      <w:r w:rsidR="002E3FCD" w:rsidRPr="00F7228F">
        <w:rPr>
          <w:rFonts w:ascii="Arial" w:hAnsi="Arial" w:cs="Arial"/>
        </w:rPr>
        <w:t xml:space="preserve">. These studies reported conflicting results. The discrepancies may arise from the timing of CSF sampling or </w:t>
      </w:r>
      <w:r w:rsidR="00D057D6" w:rsidRPr="00F7228F">
        <w:rPr>
          <w:rFonts w:ascii="Arial" w:hAnsi="Arial" w:cs="Arial"/>
        </w:rPr>
        <w:t xml:space="preserve">timing of </w:t>
      </w:r>
      <w:r w:rsidR="002E3FCD" w:rsidRPr="00F7228F">
        <w:rPr>
          <w:rFonts w:ascii="Arial" w:hAnsi="Arial" w:cs="Arial"/>
        </w:rPr>
        <w:t>outcome measure</w:t>
      </w:r>
      <w:r w:rsidR="00D057D6" w:rsidRPr="00F7228F">
        <w:rPr>
          <w:rFonts w:ascii="Arial" w:hAnsi="Arial" w:cs="Arial"/>
        </w:rPr>
        <w:t>ment</w:t>
      </w:r>
      <w:r w:rsidR="002E3FCD" w:rsidRPr="00F7228F">
        <w:rPr>
          <w:rFonts w:ascii="Arial" w:hAnsi="Arial" w:cs="Arial"/>
        </w:rPr>
        <w:t xml:space="preserve">. As seen in our study, CSF cytokines may be associated with outcome in the short-term, but not in the long-term. Furthermore, the studies that found an association between CSF IL-6 levels and unfavourable outcomes in the long-term only did so on univariable analysis </w:t>
      </w:r>
      <w:r w:rsidR="002E3FCD" w:rsidRPr="00F7228F">
        <w:rPr>
          <w:rFonts w:ascii="Arial" w:hAnsi="Arial" w:cs="Arial"/>
        </w:rPr>
        <w:fldChar w:fldCharType="begin" w:fldLock="1"/>
      </w:r>
      <w:r w:rsidR="008507E1" w:rsidRPr="00F7228F">
        <w:rPr>
          <w:rFonts w:ascii="Arial" w:hAnsi="Arial" w:cs="Arial"/>
        </w:rPr>
        <w:instrText>ADDIN CSL_CITATION {"citationItems":[{"id":"ITEM-1","itemData":{"PMID":"19777384","abstract":"Background: High-mobility group box 1 protein (HMGB1) is a nuclear factor that is a potent proinflammatory mediator, and may trigger increases in other inflammatory cytokines. The inflammatory cytokines in the cerebrospinal fluid (CSF) of patients with subarachnoid hemorrhage (SAH) have been reported previously, but HMGB1 has not. In this study, we measured HMGB1 and the inflammatory cytokines in the CSF of patients with SAH. Methods: CSF samples were collected on days 3, 7, and 14 from the drainage tubes of the postaneurysm clips of 39 patients with SAH. HMGB1, interleukin-6 (IL-6), IL-8, and tumor necrosis factor alpha (TNF-α) were measured in the CSF, and compared between the patients with favorable (good recovery and moderate disability) and unfavorable outcomes (severe disability, vegetative state, and death) at 3 months. Results: In the unfavorable outcome group, HMGB1 (P = 0.017), IL-6 (P = 0.003), IL-8 (P = 0.041), and TNF-α (P = 0.002) were significantly increased. HMGB1 correlated significantly with IL-6, IL-8, and TNF-α (R = 0.672, 0.421, and 0.697, respectively). Conclusions: HMGB1 was increased in the CSF of SAH patients with an unfavorable outcome, as were the other cytokines. These results suggest that HMGB1 and cytokines are related to the brain damage observed after SAH. HMGB1 might play a key role in the inflammatory response in the CNS of SAH patients. © 2009 Humana Press Inc.","author":[{"dropping-particle":"","family":"Nakahara","given":"Takashi","non-dropping-particle":"","parse-names":false,"suffix":""},{"dropping-particle":"","family":"Tsuruta","given":"Ryosuke","non-dropping-particle":"","parse-names":false,"suffix":""},{"dropping-particle":"","family":"Kaneko","given":"Tadashi","non-dropping-particle":"","parse-names":false,"suffix":""},{"dropping-particle":"","family":"Yamashita","given":"Susumu","non-dropping-particle":"","parse-names":false,"suffix":""},{"dropping-particle":"","family":"Fujita","given":"Motoki","non-dropping-particle":"","parse-names":false,"suffix":""},{"dropping-particle":"","family":"Kasaoka","given":"Shunji","non-dropping-particle":"","parse-names":false,"suffix":""},{"dropping-particle":"","family":"Hashiguchi","given":"Teruto","non-dropping-particle":"","parse-names":false,"suffix":""},{"dropping-particle":"","family":"Suzuki","given":"Michiyasu","non-dropping-particle":"","parse-names":false,"suffix":""},{"dropping-particle":"","family":"Maruyama","given":"Ikuro","non-dropping-particle":"","parse-names":false,"suffix":""},{"dropping-particle":"","family":"Maekawa","given":"Tsuyoshi","non-dropping-particle":"","parse-names":false,"suffix":""}],"container-title":"Neurocritical Care","id":"ITEM-1","issue":"3","issued":{"date-parts":[["2009","1","24"]]},"page":"362-368","title":"High-mobility group box 1 protein in CSF of patients with subarachnoid hemorrhage","type":"article-journal","volume":"11"},"uris":["http://www.mendeley.com/documents/?uuid=cc1eea56-bfbd-4b66-8fa2-523391c1f865"]},{"id":"ITEM-2","itemData":{"DOI":"10.1097/00008506-200010000-00001","ISSN":"0898-4921","PMID":"11147377","abstract":"Postsubarachnoid hemorrhage, systemic inflammatory response syndrome and associated organ system failure are more frequently found in patients in poor neurologic condition. Since subarachnoid hemorrhage causes a profound intrathecal inflammatory response with production of proinflammatory cytokines TNFα, IL-1β, and IL-6, a possible explanation for this association is that brain-derived cytokines may enter the systemic circulation in the presence of postsubarachnoid hemorrhage blood brain barrier disruption to systemically activate inflammatory cascades and thereby contribute to the development of postsubarachnoid hemorrhage systemic inflammatory response syndrome and extracerebral organ system failures. In 44 patients with aneurysmal subarachnoid hemorrhage admitted within 3 days of the initial bleed, extracerebral organ system functions were assessed individually and in aggregate using the modified Multiple Organ Dysfunction Score. Serum and cerebrospinal fluid concentrations of soluble tumor necrosis factor-α receptor-I, interleukin-1β receptor antagonist, and IL-6 were determined during the first 2 weeks after subarachnoid hemorrhage and tested for correlation with (1) admission Hunt-Hess grade, (2) development of systemic inflammatory response syndrome and extracerebral organ system failures, and (3) neurologic outcome. The development of postsubarachnoid hemorrhage systemic inflammatory response syndrome and extracerebral organ system failures was paralleled by a significant increase in serum but not in cerebrospinal fluid levels of soluble tumor necrosis factor-α receptor-I and IL-1ra, that is, patients with and without extracerebral organ system failures did not differ in pattern and time course of cerebrospinal fluid cytokine concentrations. In contrast, increasing soluble tumor necrosis factor-α receptor-I and interleukin-1β receptor antagonist serum levels correlated with a higher Multiple Organ Dysfunction score and with individual organ system dysfunctions. Postsubarachnoid hemorrhage, systemic inflammatory response syndrome and extracerebral organ system failures could therefore not be linked to changes in cerebrospinal fluid cytokine concentration profiles.","author":[{"dropping-particle":"","family":"Gruber","given":"Andreas","non-dropping-particle":"","parse-names":false,"suffix":""},{"dropping-particle":"","family":"Rössler","given":"Karl","non-dropping-particle":"","parse-names":false,"suffix":""},{"dropping-particle":"","family":"Graninger","given":"Wolfgang","non-dropping-particle":"","parse-names":false,"suffix":""},{"dropping-particle":"","family":"Donner","given":"Andrew","non-dropping-particle":"","parse-names":false,"suffix":""},{"dropping-particle":"","family":"Illievich","given":"Udo M.","non-dropping-particle":"","parse-names":false,"suffix":""},{"dropping-particle":"","family":"Czech","given":"Thomas","non-dropping-particle":"","parse-names":false,"suffix":""}],"container-title":"Journal of neurosurgical anesthesiology","id":"ITEM-2","issue":"4","issued":{"date-parts":[["2000"]]},"page":"297-306","publisher":"J Neurosurg Anesthesiol","title":"Ventricular cerebrospinal fluid and serum concentrations of sTNFR-I, IL-1ra, and IL-6 after aneurysmal subarachnoid hemorrhage","type":"article-journal","volume":"12"},"uris":["http://www.mendeley.com/documents/?uuid=19135cbb-0cba-353c-9ba1-cde903e47c15"]},{"id":"ITEM-3","itemData":{"DOI":"10.1038/S41598-020-79586-3","PMID":"33420113","abstract":"Interleukin 6 (IL-6) is a prominent proinflammatory cytokine and has been discussed as a potential biomarker for delayed cerebral ischemia (DCI) following aneurysmal subarachnoid hemorrhage. In the present study we have analyzed the time course of serum and cerebrospinal fluid (CSF) IL-6 levels in 82 patients with severe aneurysmal subarachnoid hemorrhage (SAH) requiring external ventricular drains in correlation to angiographic vasospasm, delayed cerebral ischemia, secondary infarctions and other clinical parameters. We observed much higher daily mean IL-6 levels (but also large interindividual variations) in the CSF than the serum of the patients with a peak between days 4 and 14 including a maximum on day 5 after SAH. Individual CSF peak levels correlated significantly with DCI (mean day 4–14 peak, DCI: 26,291 ± 24,159 pg/ml vs. no DCI: 16,184 ± 13,163 pg/ml; P = 0.023). Importantly, CSF IL-6 levels differed significantly between cases with DCI and infarctions and patients with DCI and no infarction (mean day 4–14 peak, DCI with infarction: 37,209 ± 26,951 pg/ml vs. DCI, no infarction: 15,123 ± 11,239 pg/ml; P = 0.003), while findings in the latter patient group were similar to cases with no vasospasm (mean day 4–14 peak, DCI, no infarction: 15,123 ± 11,239 vs. no DCI: 15,840 ± 12,979; P = 0.873). Together, these data support a potential role for elevated CSF IL-6 levels as a biomarker for DCI with infarction rather than for DCI in general. This fits well with a growing body of evidence linking neuroinflammation to ischemia and infarction, but (together with the large interindividual variations observed) limits the diagnostic usefulness of CSF IL-6 levels in SAH patients.","author":[{"dropping-particle":"","family":"Ridwan","given":"Sami","non-dropping-particle":"","parse-names":false,"suffix":""},{"dropping-particle":"","family":"Grote","given":"Alexander","non-dropping-particle":"","parse-names":false,"suffix":""},{"dropping-particle":"","family":"Simon","given":"Matthias","non-dropping-particle":"","parse-names":false,"suffix":""}],"container-title":"Scientific Reports","id":"ITEM-3","issue":"1","issued":{"date-parts":[["2021","12","1"]]},"page":"12","title":"Interleukin 6 in cerebrospinal fluid is a biomarker for delayed cerebral ischemia (DCI) related infarctions after aneurysmal subarachnoid hemorrhage","type":"article-journal","volume":"11"},"uris":["http://www.mendeley.com/documents/?uuid=954238a1-eb7b-4cc3-8d80-8685af7fd07d"]},{"id":"ITEM-4","itemData":{"DOI":"10.1055/S-0037-1604084","ISSN":"2193-6323","PMID":"28869993","abstract":"Background Subarachnoid hemorrhage (SAH) is a severe condition associated with high mortality. Early brain injury (EBI) plays an important role in the pathophysiology of SAH, and inflammation is a major contributor to EBI. Inflammation is a widely studied topic in both experimental and clinical conditions; however, just a few clinical studies have focused primarily on the early inflammatory response after SAH, and detailed information about the association between the dynamics of early inflammatory response with main clinical characteristics is lacking. This study analyzes the early dynamics of inflammatory response after SAH and evaluates the possible associations between the markers of early inflammatory response and main clinical characteristics. Patients and Methods A total of 47 patients with a diagnosis of aneurysmal SAH within the last 24 hours were enrolled in the study. All treatments, including treatment of aneurysm (surgery/coiling) and implantation of a drainage system (external ventricular drainage/lumbar catheter), were conducted in the same way as in other patients with this diagnosis. Blood and cerebrospinal fluid (CSF) samples were collected three times a day for 4 days. The dynamics of proinflammatory cytokines were assessed, and associations between levels of the proinflammatory cytokines interleukin (IL)-6, IL-1β, or tumor necrosis factor (TNF)α and main clinical characteristics were evaluated using linear mixed-effect models. Results The CSF levels of IL-6 were massively increased initially after SAH (up to 72 hours) with an additional increase in later phases (after 72 hours), but there was high variability in IL-6 levels. A significant association was noted between the Glasgow Outcome Scale score and both overall levels of IL-6 (p = 0.0095) and their dynamics (p = 0.0208); the effect of the Hunt and Hess scale was borderline (p = 0.0887). No association was found between IL-6 levels and Fisher grade, modality of treatment (surgery, coiling, no treatment), and later development of cerebral vasospasm. Plasmatic levels of IL-6 increased slightly, but no significant association was found. The levels of IL-1β and TNFα were within the physiologic range in both CSF and plasma. Conclusions Early dynamics of IL-6 in CSF are associated with a patient's outcome. But it is difficult to use IL-6 alone for outcome prediction due to its high variability. The question is whether the dynamics of IL-6 could be used in combination with other early m…","author":[{"dropping-particle":"","family":"Ďuriš","given":"Kamil","non-dropping-particle":"","parse-names":false,"suffix":""},{"dropping-particle":"","family":"Neuman","given":"Eduard","non-dropping-particle":"","parse-names":false,"suffix":""},{"dropping-particle":"","family":"Vybíhal","given":"Václav","non-dropping-particle":"","parse-names":false,"suffix":""},{"dropping-particle":"","family":"Juráå","given":"Vilém","non-dropping-particle":"","parse-names":false,"suffix":""},{"dropping-particle":"","family":"Gottwaldová","given":"Jana","non-dropping-particle":"","parse-names":false,"suffix":""},{"dropping-particle":"","family":"Kýr","given":"Michal","non-dropping-particle":"","parse-names":false,"suffix":""},{"dropping-particle":"","family":"Vašků","given":"Anna","non-dropping-particle":"","parse-names":false,"suffix":""},{"dropping-particle":"","family":"Smrčka","given":"Martin","non-dropping-particle":"","parse-names":false,"suffix":""}],"container-title":"Journal of neurological surgery. Part A, Central European neurosurgery","id":"ITEM-4","issue":"2","issued":{"date-parts":[["2018","3","1"]]},"page":"145-151","publisher":"J Neurol Surg A Cent Eur Neurosurg","title":"Early Dynamics of Interleukin-6 in Cerebrospinal Fluid after Aneurysmal Subarachnoid Hemorrhage","type":"article-journal","volume":"79"},"uris":["http://www.mendeley.com/documents/?uuid=210ae3b6-3b7b-3e68-83b6-24187e50ae43"]},{"id":"ITEM-5","itemData":{"DOI":"10.1016/J.CYTO.2019.154778","ISSN":"1096-0023","PMID":"31323526","abstract":"Introduction: There is some evidence to suggest that a systemic and central nervous system (CNS) inflammatory response occurs following aneurysmal subarachnoid haemorrhage (aSAH) which may be related to the pathophysiology of early brain injury and delayed ischaemic neurological deficit (DIND). The aim of this study was to measure inflammatory mediator levels in plasma and cerebrospinal fluid (CSF) in the days following aSAH and to determine their association with aSAH, DIND and clinical outcome. Material and methods: Plasma and CSF samples were obtained prospectively from patients with aSAH on days 1–3, 5, 7 and 9 and profiled for interleukin (IL)-1α, IL-1β, IL-4, IL-6, IL-8, IL-10, IL-15, IL-17, IL-18, macrophage chemotactic protein (MCP)-1, vascular endothelial growth factor (VEGF) and tumour necrosis factor (TNF)-α. Plasma and CSF samples from non-aSAH patients undergoing spinal anaesthesia were used as controls. Results: The CSF levels of all cytokines investigated except for IL-1α were significantly higher in aSAH compared to controls in the first seven days of ictus. CSF levels of IL-1α (p = 0.014), IL-18 (p = 0.016), IL-6 (p = 0.0006) and IL-8 (p = 0.006) showed significant increases in the days following aSAH. Conversely IL-17 demonstrated a decrease. In particular, IL-4 was higher in the CSF of patients who had DIND at all time-points (p = 0.032). Plasma IL-6 and IL-8 levels were higher, and IL-1α levels lower, than controls at most time-points. All mediators demonstrated persistent elevation in the CSF compared to plasma apart from IL-1α and IL-18 which followed the opposite trend. Day 3 plasma IL-6 levels predicted poor outcome at six months (Exp(B) 1.12 1.03-1.22, P = 0.012), although this association was lost in the second analysis incorporating Fisher grade, WFNS grade and age. Conclusion: The post aSAH inflammatory response peaks on days 5–7 post ictus and remains largely compartmentalised within the CNS. IL-4 may have a particular association with DIND although its precise role in the pathophysiology of the disorder remains unclear. IL-6 predicted poor outcome but not independently of clinical grade, suggesting that it may be a surrogate marker of early brain injury.","author":[{"dropping-particle":"","family":"Al-Tamimi","given":"Yahia Z.","non-dropping-particle":"","parse-names":false,"suffix":""},{"dropping-particle":"","family":"Bhargava","given":"Deepti","non-dropping-particle":"","parse-names":false,"suffix":""},{"dropping-particle":"","family":"Orsi","given":"Nicolas M.","non-dropping-particle":"","parse-names":false,"suffix":""},{"dropping-particle":"","family":"Teraifi","given":"Anmar","non-dropping-particle":"","parse-names":false,"suffix":""},{"dropping-particle":"","family":"Cummings","given":"Michele","non-dropping-particle":"","parse-names":false,"suffix":""},{"dropping-particle":"V.","family":"Ekbote","given":"Uma","non-dropping-particle":"","parse-names":false,"suffix":""},{"dropping-particle":"","family":"Quinn","given":"Audrey C.","non-dropping-particle":"","parse-names":false,"suffix":""},{"dropping-particle":"","family":"Homer-Vanniasinkam","given":"Shervanthi","non-dropping-particle":"","parse-names":false,"suffix":""},{"dropping-particle":"","family":"Ross","given":"Stuart","non-dropping-particle":"","parse-names":false,"suffix":""}],"container-title":"Cytokine","id":"ITEM-5","issued":{"date-parts":[["2019","11","1"]]},"publisher":"Cytokine","title":"Compartmentalisation of the inflammatory response following aneurysmal subarachnoid haemorrhage","type":"article-journal","volume":"123"},"uris":["http://www.mendeley.com/documents/?uuid=3ea37f2c-2423-40f3-aa94-54cc1f8c4b7d"]}],"mendeley":{"formattedCitation":"(8,12,39,47,58)","plainTextFormattedCitation":"(8,12,39,47,58)","previouslyFormattedCitation":"(8,12,39,47,58)"},"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(8,12,39,47,58)</w:t>
      </w:r>
      <w:r w:rsidR="002E3FCD" w:rsidRPr="00F7228F">
        <w:rPr>
          <w:rFonts w:ascii="Arial" w:hAnsi="Arial" w:cs="Arial"/>
        </w:rPr>
        <w:fldChar w:fldCharType="end"/>
      </w:r>
      <w:r w:rsidR="002E3FCD" w:rsidRPr="00F7228F">
        <w:rPr>
          <w:rFonts w:ascii="Arial" w:hAnsi="Arial" w:cs="Arial"/>
        </w:rPr>
        <w:t xml:space="preserve">. </w:t>
      </w:r>
      <w:r w:rsidR="008C09BB" w:rsidRPr="00F7228F">
        <w:rPr>
          <w:rFonts w:ascii="Arial" w:hAnsi="Arial" w:cs="Arial"/>
        </w:rPr>
        <w:t>G</w:t>
      </w:r>
      <w:r w:rsidR="002E3FCD" w:rsidRPr="00F7228F">
        <w:rPr>
          <w:rFonts w:ascii="Arial" w:hAnsi="Arial" w:cs="Arial"/>
        </w:rPr>
        <w:t xml:space="preserve">iven CSF cytokines are strongly associated with blood volume and WFNS grade, </w:t>
      </w:r>
      <w:r w:rsidR="00D057D6" w:rsidRPr="00F7228F">
        <w:rPr>
          <w:rFonts w:ascii="Arial" w:hAnsi="Arial" w:cs="Arial"/>
        </w:rPr>
        <w:t xml:space="preserve">it is important to </w:t>
      </w:r>
      <w:r w:rsidR="002E3FCD" w:rsidRPr="00F7228F">
        <w:rPr>
          <w:rFonts w:ascii="Arial" w:hAnsi="Arial" w:cs="Arial"/>
        </w:rPr>
        <w:t>correct for these baseline variables.</w:t>
      </w:r>
    </w:p>
    <w:p w14:paraId="6CA90E0C" w14:textId="77777777" w:rsidR="002E3FCD" w:rsidRPr="00F7228F" w:rsidRDefault="002E3FCD" w:rsidP="000B242D">
      <w:pPr>
        <w:spacing w:after="0" w:line="276" w:lineRule="auto"/>
        <w:rPr>
          <w:rFonts w:ascii="Arial" w:hAnsi="Arial" w:cs="Arial"/>
        </w:rPr>
      </w:pPr>
    </w:p>
    <w:p w14:paraId="2C8CD78C" w14:textId="208259F5" w:rsidR="002E3FCD" w:rsidRPr="00F7228F" w:rsidRDefault="002E3FCD" w:rsidP="000B242D">
      <w:pPr>
        <w:spacing w:after="0" w:line="276" w:lineRule="auto"/>
        <w:rPr>
          <w:rFonts w:ascii="Arial" w:hAnsi="Arial" w:cs="Arial"/>
        </w:rPr>
      </w:pPr>
      <w:r w:rsidRPr="00F7228F">
        <w:rPr>
          <w:rFonts w:ascii="Arial" w:hAnsi="Arial" w:cs="Arial"/>
        </w:rPr>
        <w:t>Even less data is available for other cytokines.</w:t>
      </w:r>
      <w:r w:rsidRPr="00F7228F">
        <w:rPr>
          <w:rFonts w:ascii="Arial" w:hAnsi="Arial" w:cs="Arial"/>
          <w:bCs/>
        </w:rPr>
        <w:t xml:space="preserve"> </w:t>
      </w:r>
      <w:r w:rsidRPr="00F7228F">
        <w:rPr>
          <w:rFonts w:ascii="Arial" w:hAnsi="Arial" w:cs="Arial"/>
        </w:rPr>
        <w:t xml:space="preserve">CSF TNF-α levels were reported to be higher in patients with poorer outcomes in a series of 22 patients </w:t>
      </w:r>
      <w:r w:rsidRPr="00F7228F">
        <w:rPr>
          <w:rFonts w:ascii="Arial" w:hAnsi="Arial" w:cs="Arial"/>
        </w:rPr>
        <w:fldChar w:fldCharType="begin" w:fldLock="1"/>
      </w:r>
      <w:r w:rsidR="008507E1" w:rsidRPr="00F7228F">
        <w:rPr>
          <w:rFonts w:ascii="Arial" w:hAnsi="Arial" w:cs="Arial"/>
        </w:rPr>
        <w:instrText>ADDIN CSL_CITATION {"citationItems":[{"id":"ITEM-1","itemData":{"DOI":"10.3171/JNS.1997.87.2.0215","ISSN":"0022-3085","PMID":"9254084","abstract":"Subarachnoid hemorrhage (SAH) causes an inflammatory reaction and may lead to ischemic brain damage. Experimental ischemia has been shown to be connected with the alarm-reaction cytokines interleukin-1 receptor antagonist (IL-1Ra) and tumor necrosis factor-α (TNFα). Increased levels of these cytokines, however, have not been detected thus far in patients following an SAH event. For this reason daily cerebrospinal fluid (CSF) samples were collected from 22 consecutively enrolled patients with SAH and from 10 non- SAH patients (controls). The CSF samples were studied using immunoassays for IL-1Ra and TNFα to investigate whether an SAH caused increased cytokine levels. The mean IL-1Ra levels were significantly higher in patients with SAH who were in poor clinical condition on admission than in those who were in good condition (318 pg/ml vs. 82 pg/ml, p &lt; 0.02). The IL-1Ra levels increased during delayed ischemic episodes and after surgery in patients who were in poor clinical condition. Significant increases in IL-1Ra and TNFα were detected during Days 4 through 10 in patients suffering from SAH who eventually had a poor outcome (p &lt; 0.05). Patients with good outcomes and control patients had low levels of these cytokines. The levels of IL-1Ra increased after surgery in patients with Hunt and Hess Grades III through V, but not in those with Grade I or II. This finding indicates that patients in poor clinical condition have a labile biochemical state in the brain that is reflected in increased cytokine levels following the surgical trauma. Both IL-1Ra and TNFα are known to induce fever, malaise, leukocytosis, and nitric oxide synthesis and to mediate ischemic and traumatic brain injuries. The present study shows that levels of these cytokines increase after SAH occurs and that high cytokine levels correlate with brain damage. It is therefore likely that fever, leukocytosis, and nitric oxide synthesis are also mediated by IL-1 in patients suffering from SAH and it is probable that the inflammatory mediators contribute to brain damage.","author":[{"dropping-particle":"","family":"Mathieson","given":"Tiit","non-dropping-particle":"","parse-names":false,"suffix":""},{"dropping-particle":"","family":"Edner","given":"Göran","non-dropping-particle":"","parse-names":false,"suffix":""},{"dropping-particle":"","family":"Ulfarsson","given":"Elfar","non-dropping-particle":"","parse-names":false,"suffix":""},{"dropping-particle":"","family":"Andersson","given":"Birger","non-dropping-particle":"","parse-names":false,"suffix":""}],"container-title":"Journal of neurosurgery","id":"ITEM-1","issue":"2","issued":{"date-parts":[["1997","8","1"]]},"page":"215-220","publisher":"J Neurosurg","title":"Cerebrospinal fluid interleukin-1 receptor antagonist and tumor necrosis factor-alpha following subarachnoid hemorrhage","type":"article-journal","volume":"87"},"uris":["http://www.mendeley.com/documents/?uuid=716e1828-5dc9-432a-82c8-ec1b72176436"]}],"mendeley":{"formattedCitation":"(4)","plainTextFormattedCitation":"(4)","previouslyFormattedCitation":"(4)"},"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(4)</w:t>
      </w:r>
      <w:r w:rsidRPr="00F7228F">
        <w:rPr>
          <w:rFonts w:ascii="Arial" w:hAnsi="Arial" w:cs="Arial"/>
        </w:rPr>
        <w:fldChar w:fldCharType="end"/>
      </w:r>
      <w:r w:rsidR="00D057D6" w:rsidRPr="00F7228F">
        <w:rPr>
          <w:rFonts w:ascii="Arial" w:hAnsi="Arial" w:cs="Arial"/>
        </w:rPr>
        <w:t>, though the timing of outcome assessment is</w:t>
      </w:r>
      <w:r w:rsidRPr="00F7228F">
        <w:rPr>
          <w:rFonts w:ascii="Arial" w:hAnsi="Arial" w:cs="Arial"/>
        </w:rPr>
        <w:t xml:space="preserve"> not </w:t>
      </w:r>
      <w:r w:rsidR="00D057D6" w:rsidRPr="00F7228F">
        <w:rPr>
          <w:rFonts w:ascii="Arial" w:hAnsi="Arial" w:cs="Arial"/>
        </w:rPr>
        <w:t xml:space="preserve">specified, and adjustment was not made </w:t>
      </w:r>
      <w:r w:rsidRPr="00F7228F">
        <w:rPr>
          <w:rFonts w:ascii="Arial" w:hAnsi="Arial" w:cs="Arial"/>
        </w:rPr>
        <w:t>for blood volume</w:t>
      </w:r>
      <w:r w:rsidR="00D057D6" w:rsidRPr="00F7228F">
        <w:rPr>
          <w:rFonts w:ascii="Arial" w:hAnsi="Arial" w:cs="Arial"/>
        </w:rPr>
        <w:t>,</w:t>
      </w:r>
      <w:r w:rsidRPr="00F7228F">
        <w:rPr>
          <w:rFonts w:ascii="Arial" w:hAnsi="Arial" w:cs="Arial"/>
        </w:rPr>
        <w:t xml:space="preserve"> WFNS grade</w:t>
      </w:r>
      <w:r w:rsidR="00D057D6" w:rsidRPr="00F7228F">
        <w:rPr>
          <w:rFonts w:ascii="Arial" w:hAnsi="Arial" w:cs="Arial"/>
        </w:rPr>
        <w:t xml:space="preserve"> or </w:t>
      </w:r>
      <w:r w:rsidRPr="00F7228F">
        <w:rPr>
          <w:rFonts w:ascii="Arial" w:hAnsi="Arial" w:cs="Arial"/>
        </w:rPr>
        <w:t xml:space="preserve">multiple comparisons. </w:t>
      </w:r>
      <w:r w:rsidR="00D057D6" w:rsidRPr="00F7228F">
        <w:rPr>
          <w:rFonts w:ascii="Arial" w:hAnsi="Arial" w:cs="Arial"/>
        </w:rPr>
        <w:t>To highlight the importance of adjusting for multiple comparisons, a</w:t>
      </w:r>
      <w:r w:rsidRPr="00F7228F">
        <w:rPr>
          <w:rFonts w:ascii="Arial" w:hAnsi="Arial" w:cs="Arial"/>
        </w:rPr>
        <w:t xml:space="preserve">n abstract reporting on a series of 29 patients found that out of 42 markers only IL-4 was associated with 6 month outcome </w:t>
      </w:r>
      <w:r w:rsidRPr="00F7228F">
        <w:rPr>
          <w:rFonts w:ascii="Arial" w:hAnsi="Arial" w:cs="Arial"/>
        </w:rPr>
        <w:fldChar w:fldCharType="begin" w:fldLock="1"/>
      </w:r>
      <w:r w:rsidR="008507E1" w:rsidRPr="00F7228F">
        <w:rPr>
          <w:rFonts w:ascii="Arial" w:hAnsi="Arial" w:cs="Arial"/>
        </w:rPr>
        <w:instrText>ADDIN CSL_CITATION {"citationItems":[{"id":"ITEM-1","itemData":{"DOI":"10.1161/STR.44.SUPPL_1.ATP426","ISSN":"0039-2499","abstract":"Introduction: Growing evidence suggest inflammation plays a key role in the pathogenesis of vasospasm (VSP) and secondary ischemic injury following subarachnoid hemorrhage (SAH). While elevations o...","author":[{"dropping-particle":"","family":"Chou","given":"Sherry H","non-dropping-particle":"","parse-names":false,"suffix":""},{"dropping-particle":"","family":"Elyaman","given":"Wassim","non-dropping-particle":"","parse-names":false,"suffix":""},{"dropping-particle":"","family":"Bradshaw","given":"Elizabeth M","non-dropping-particle":"","parse-names":false,"suffix":""},{"dropping-particle":"","family":"Secor","given":"Elizabeth A","non-dropping-particle":"","parse-names":false,"suffix":""},{"dropping-particle":"","family":"Suh","given":"Sarah","non-dropping-particle":"","parse-names":false,"suffix":""},{"dropping-particle":"","family":"Orent","given":"William","non-dropping-particle":"","parse-names":false,"suffix":""},{"dropping-particle":"De","family":"Jager","given":"Philip L","non-dropping-particle":"","parse-names":false,"suffix":""},{"dropping-particle":"","family":"Du","given":"Rose","non-dropping-particle":"","parse-names":false,"suffix":""},{"dropping-particle":"","family":"Feske","given":"Steven K","non-dropping-particle":"","parse-names":false,"suffix":""},{"dropping-particle":"","family":"Lo","given":"Eng H","non-dropping-particle":"","parse-names":false,"suffix":""},{"dropping-particle":"","family":"Ning","given":"MingMing","non-dropping-particle":"","parse-names":false,"suffix":""}],"container-title":"Stroke","id":"ITEM-1","issue":"suppl_1","issued":{"date-parts":[["2013","2"]]},"publisher":"Lippincott Williams &amp; Wilkins","title":"Abstract TP426: Candidate CSF Cytokine and Chemokine Biomarkers for Vasospasm and Poor Outcome in Human Subarachnoid Hemorrhage","type":"article-journal","volume":"44"},"uris":["http://www.mendeley.com/documents/?uuid=462cfc53-2f9e-3dc5-895e-0d1f2ee73ff4"]}],"mendeley":{"formattedCitation":"(18)","plainTextFormattedCitation":"(18)","previouslyFormattedCitation":"(18)"},"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(18)</w:t>
      </w:r>
      <w:r w:rsidRPr="00F7228F">
        <w:rPr>
          <w:rFonts w:ascii="Arial" w:hAnsi="Arial" w:cs="Arial"/>
        </w:rPr>
        <w:fldChar w:fldCharType="end"/>
      </w:r>
      <w:r w:rsidR="00D057D6" w:rsidRPr="00F7228F">
        <w:rPr>
          <w:rFonts w:ascii="Arial" w:hAnsi="Arial" w:cs="Arial"/>
        </w:rPr>
        <w:t xml:space="preserve">, but </w:t>
      </w:r>
      <w:r w:rsidRPr="00F7228F">
        <w:rPr>
          <w:rFonts w:ascii="Arial" w:hAnsi="Arial" w:cs="Arial"/>
        </w:rPr>
        <w:t xml:space="preserve">this </w:t>
      </w:r>
      <w:r w:rsidR="00D057D6" w:rsidRPr="00F7228F">
        <w:rPr>
          <w:rFonts w:ascii="Arial" w:hAnsi="Arial" w:cs="Arial"/>
        </w:rPr>
        <w:t>did not survive</w:t>
      </w:r>
      <w:r w:rsidRPr="00F7228F">
        <w:rPr>
          <w:rFonts w:ascii="Arial" w:hAnsi="Arial" w:cs="Arial"/>
        </w:rPr>
        <w:t xml:space="preserve"> correction </w:t>
      </w:r>
      <w:r w:rsidR="00D057D6" w:rsidRPr="00F7228F">
        <w:rPr>
          <w:rFonts w:ascii="Arial" w:hAnsi="Arial" w:cs="Arial"/>
        </w:rPr>
        <w:t>for</w:t>
      </w:r>
      <w:r w:rsidRPr="00F7228F">
        <w:rPr>
          <w:rFonts w:ascii="Arial" w:hAnsi="Arial" w:cs="Arial"/>
        </w:rPr>
        <w:t xml:space="preserve"> multiple comparisons. Similar </w:t>
      </w:r>
      <w:r w:rsidR="00D057D6" w:rsidRPr="00F7228F">
        <w:rPr>
          <w:rFonts w:ascii="Arial" w:hAnsi="Arial" w:cs="Arial"/>
        </w:rPr>
        <w:t>considerations apply to</w:t>
      </w:r>
      <w:r w:rsidRPr="00F7228F">
        <w:rPr>
          <w:rFonts w:ascii="Arial" w:hAnsi="Arial" w:cs="Arial"/>
        </w:rPr>
        <w:t xml:space="preserve"> </w:t>
      </w:r>
      <w:r w:rsidR="00D057D6" w:rsidRPr="00F7228F">
        <w:rPr>
          <w:rFonts w:ascii="Arial" w:hAnsi="Arial" w:cs="Arial"/>
        </w:rPr>
        <w:t>studies of</w:t>
      </w:r>
      <w:r w:rsidRPr="00F7228F">
        <w:rPr>
          <w:rFonts w:ascii="Arial" w:hAnsi="Arial" w:cs="Arial"/>
        </w:rPr>
        <w:t xml:space="preserve"> other serum/plasma cytokines (e.g., IL-8) that have found an association between that cytokine and poor outcome </w:t>
      </w:r>
      <w:r w:rsidRPr="00F7228F">
        <w:rPr>
          <w:rFonts w:ascii="Arial" w:hAnsi="Arial" w:cs="Arial"/>
        </w:rPr>
        <w:fldChar w:fldCharType="begin" w:fldLock="1"/>
      </w:r>
      <w:r w:rsidR="008507E1" w:rsidRPr="00F7228F">
        <w:rPr>
          <w:rFonts w:ascii="Arial" w:hAnsi="Arial" w:cs="Arial"/>
        </w:rPr>
        <w:instrText>ADDIN CSL_CITATION {"citationItems":[{"id":"ITEM-1","itemData":{"DOI":"10.2147/CIA.S362854","ISSN":"11781998","PMID":"35502188","abstract":"Background: Inflammation is closely associated with prognosis in patients with aneurysmal subarachnoid hemorrhage (aSAH), which is orchestrated by inflammatory cytokines. Therefore, this study aimed to investigate the levels of inflammatory cytokines in the early stage of aSAH and their predictive value for prognosis. Methods: In this retrospective study, 206 patients with aSAH were recruited and assigned to a severe group (WFNS grade ≥ 4) and a mild group (WFNS grade &lt; 4) according to the severity of patients on admission. Flow cytometry was performed to detect the levels of 12 inflammatory cytokines in the serum of patients. Then, patients were grouped into a poor prognosis group (mRS score ≥ 4) and a good prognosis group (mRS score &lt; 4) based on their prognosis after 3 months of discharge to compare the relationship between cytokines and prognosis. Propensity score matching (PSM) was utilized to control confounding factors. The correlation between inflammatory factors and prognosis was determined using Spearman correlation, and the predictive efficacy of inflammatory factors was tested by a receiver operating characteristic curve. Results: Serum IL-1β, IL-5, IL-6, IL-8, IL-10, IFN-γ, and TNF-α levels were significantly higher in the mild group than in the severe group and in the poor prognosis group than in the good prognosis group. After PSM, the differences in IL-1β, IL-5, IFN-α, and IFN-γ levels disappeared between the two groups, whereas IL-2, IL-6, IL-8, IL-10, and TNF-α levels remained higher in the poor prognosis group than in the good prognosis group. Additionally, IL-2, IL-6, IL-8, and IL-10 levels were positively correlated with mRS scores. Moreover, the predictive value was found to be the highest for IL-6 and the lowest for TNF-α. Conclusion: Inflammation degree was related to the severity of aSAH. Inflammatory markers, including IL-6, IL-10, IL-8, IL-2, and TNF-α, might predict the poor prognosis of aSAH.","author":[{"dropping-particle":"","family":"Luo","given":"Cong","non-dropping-particle":"","parse-names":false,"suffix":""},{"dropping-particle":"","family":"Yao","given":"Jiaxin","non-dropping-particle":"","parse-names":false,"suffix":""},{"dropping-particle":"","family":"Bi","given":"Haoran","non-dropping-particle":"","parse-names":false,"suffix":""},{"dropping-particle":"","family":"Li","given":"Zhen","non-dropping-particle":"","parse-names":false,"suffix":""},{"dropping-particle":"","family":"Li","given":"Ju","non-dropping-particle":"","parse-names":false,"suffix":""},{"dropping-particle":"","family":"Xue","given":"Guosong","non-dropping-particle":"","parse-names":false,"suffix":""},{"dropping-particle":"","family":"Li","given":"Ke","non-dropping-particle":"","parse-names":false,"suffix":""},{"dropping-particle":"","family":"Zhang","given":"Shenyang","non-dropping-particle":"","parse-names":false,"suffix":""},{"dropping-particle":"","family":"Zan","given":"Kun","non-dropping-particle":"","parse-names":false,"suffix":""},{"dropping-particle":"","family":"Meng","given":"Wenqing","non-dropping-particle":"","parse-names":false,"suffix":""},{"dropping-particle":"","family":"Zhang","given":"Zunsheng","non-dropping-particle":"","parse-names":false,"suffix":""},{"dropping-particle":"","family":"Chen","given":"Hao","non-dropping-particle":"","parse-names":false,"suffix":""}],"container-title":"Clinical Interventions in Aging","id":"ITEM-1","issued":{"date-parts":[["2022"]]},"page":"615","publisher":"Dove Press","title":"Clinical Value of Inflammatory Cytokines in Patients with Aneurysmal Subarachnoid Hemorrhage","type":"article-journal","volume":"17"},"uris":["http://www.mendeley.com/documents/?uuid=c632e542-633c-415c-8126-2f4d02b6d39e"]},{"id":"ITEM-2","itemData":{"DOI":"10.1371/JOURNAL.PONE.0282424","ISSN":"1932-6203","PMID":"36893189","abstract":"Background Chemokines are small cytokines that exert chemotactic actions on immune cells and are involved in many inflammatory processes. The present study aims to provide insight in the role of this relatively unexplored family of proteins in the inflammatory pathophysiology of subarachnoid hemorrhage (SAH). Materials and methods Cerebrospinal fluid of 29 patients (17 female; mean age 57 years) was collected at days 1, 4 and 10 after SAH, centrifuged and frozen at -70C. Analysis of 92 inflammation-related proteins was performed using Target 96 Inflammation ® assay (Olink Proteomics, Uppsala, Sweden) based on Proximity Extension Assay technology. The panel included 20 chemokines (CCL2 (or MCP-1), CCL3, CCL4, CCL7 (or MCP-3), CCL8 (or MCP-2), CCL11 (or Eotaxin), CCL13 (or MCP-4), CCL19, CCL20, CCL23, CCL25, CCL28, CXCL1, CXCL5, CXCL6, CXCL8 (or IL-8), CXCL9, CXCL10, CXCL11 and CX3CL1 (or Fractalkine)) that were analyzed for their temporal patterns of expression and compared in dichotomized clinical groups based on World Federation of Neurosurgical Societies (WFNS) admission score and amount of blood on admission CT based on Fisher scale; presence of delayed cerebral ischemia(DCI)/delayed ischemic neurological deficit (DIND); and clinical outcome based on Glasgow Outcome Scale. Protein expression levels were provided in output unit Normalized Protein Expression (NPX). ANOVA models were used for statistical analyses. Results Four temporal patterns of expression were observed (i.e., early, middle, late peak and no peak). Significantly higher day 10 mean NPX values were observed in patients with poor outcome (GOS 1–3) for chemokines CCL2, CCL4, CCL7, CCL11, CCL13, CCL19, CCL20, CXCL1, CXCL5, CXCL6 and CXCL8. In the WFNS 4–5 group, CCL11 showed significantly higher day 4 and day 10 mean NPX values and CCL25 significantly higher day 4 values. In patients with SAH Fisher 4, CCL11 showed significantly higher mean NPX values on days 1, 4 and 10. Finally, patients with DCI/DIND had significantly higher day 4 mean NPX values of CXCL5. Conclusion Higher levels of multiple chemokines at the late stage of SAH seemed to correlate with worse clinical outcome. A few chemokines correlated with WFNS score, Fisher score and occurrence of DCI/DIND. Chemokines may be useful as biomarkers for describing the pathophysiology and prognosis of SAH. Further studies are needed to better understand their exact mechanism of action in the inflammatory cascade.","author":[{"dropping-particle":"","family":"Vlachogiannis","given":"Pavlos","non-dropping-particle":"","parse-names":false,"suffix":""},{"dropping-particle":"","family":"Hillered","given":"Lars","non-dropping-particle":"","parse-names":false,"suffix":""},{"dropping-particle":"","family":"Enblad","given":"Per","non-dropping-particle":"","parse-names":false,"suffix":""},{"dropping-particle":"","family":"Ronne-Engström","given":"Elisabeth","non-dropping-particle":"","parse-names":false,"suffix":""}],"container-title":"PloS one","id":"ITEM-2","issue":"3","issued":{"date-parts":[["2023","3","1"]]},"publisher":"PLoS One","title":"Elevated levels of several chemokines in the cerebrospinal fluid of patients with subarachnoid hemorrhage are associated with worse clinical outcome","type":"article-journal","volume":"18"},"uris":["http://www.mendeley.com/documents/?uuid=d05c5091-b798-38d6-93d9-75f9b2a2e7bb"]}],"mendeley":{"formattedCitation":"(59,63)","plainTextFormattedCitation":"(59,63)","previouslyFormattedCitation":"(59,63)"},"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(59,63)</w:t>
      </w:r>
      <w:r w:rsidRPr="00F7228F">
        <w:rPr>
          <w:rFonts w:ascii="Arial" w:hAnsi="Arial" w:cs="Arial"/>
        </w:rPr>
        <w:fldChar w:fldCharType="end"/>
      </w:r>
      <w:r w:rsidRPr="00F7228F">
        <w:rPr>
          <w:rFonts w:ascii="Arial" w:hAnsi="Arial" w:cs="Arial"/>
        </w:rPr>
        <w:t xml:space="preserve">. </w:t>
      </w:r>
    </w:p>
    <w:p w14:paraId="6C54B874" w14:textId="77777777" w:rsidR="008C09BB" w:rsidRPr="00F7228F" w:rsidRDefault="008C09BB" w:rsidP="000B242D">
      <w:pPr>
        <w:spacing w:after="0" w:line="276" w:lineRule="auto"/>
        <w:rPr>
          <w:rFonts w:ascii="Arial" w:hAnsi="Arial" w:cs="Arial"/>
        </w:rPr>
      </w:pPr>
    </w:p>
    <w:p w14:paraId="7A258B04" w14:textId="0119E219" w:rsidR="002E3FCD" w:rsidRPr="00F7228F" w:rsidRDefault="002E3FCD" w:rsidP="000B242D">
      <w:pPr>
        <w:spacing w:after="0" w:line="276" w:lineRule="auto"/>
        <w:rPr>
          <w:rFonts w:ascii="Arial" w:hAnsi="Arial" w:cs="Arial"/>
        </w:rPr>
      </w:pPr>
      <w:r w:rsidRPr="00F7228F">
        <w:rPr>
          <w:rFonts w:ascii="Arial" w:hAnsi="Arial" w:cs="Arial"/>
        </w:rPr>
        <w:t>Far more data exists regarding the relationship of cytokines and vasospasm/DCI than for functional outcome</w:t>
      </w:r>
      <w:r w:rsidR="00D057D6" w:rsidRPr="00F7228F">
        <w:rPr>
          <w:rFonts w:ascii="Arial" w:hAnsi="Arial" w:cs="Arial"/>
        </w:rPr>
        <w:t>, mostly supporting an association, though</w:t>
      </w:r>
      <w:r w:rsidRPr="00F7228F">
        <w:rPr>
          <w:rFonts w:ascii="Arial" w:hAnsi="Arial" w:cs="Arial"/>
        </w:rPr>
        <w:t xml:space="preserve"> some </w:t>
      </w:r>
      <w:r w:rsidR="00D057D6" w:rsidRPr="00F7228F">
        <w:rPr>
          <w:rFonts w:ascii="Arial" w:hAnsi="Arial" w:cs="Arial"/>
        </w:rPr>
        <w:t xml:space="preserve">are </w:t>
      </w:r>
      <w:r w:rsidRPr="00F7228F">
        <w:rPr>
          <w:rFonts w:ascii="Arial" w:hAnsi="Arial" w:cs="Arial"/>
        </w:rPr>
        <w:t>contradictory.</w:t>
      </w:r>
      <w:r w:rsidR="00D057D6" w:rsidRPr="00F7228F">
        <w:rPr>
          <w:rFonts w:ascii="Arial" w:hAnsi="Arial" w:cs="Arial"/>
        </w:rPr>
        <w:t xml:space="preserve"> </w:t>
      </w:r>
      <w:r w:rsidRPr="00F7228F">
        <w:rPr>
          <w:rFonts w:ascii="Arial" w:hAnsi="Arial" w:cs="Arial"/>
        </w:rPr>
        <w:t xml:space="preserve">One study showed that the average levels of CSF IL-6 and TNF- α on day 2 after admission were greater in patients with vasospasm </w:t>
      </w:r>
      <w:r w:rsidRPr="00F7228F">
        <w:rPr>
          <w:rFonts w:ascii="Arial" w:hAnsi="Arial" w:cs="Arial"/>
        </w:rPr>
        <w:fldChar w:fldCharType="begin" w:fldLock="1"/>
      </w:r>
      <w:r w:rsidR="008507E1" w:rsidRPr="00F7228F">
        <w:rPr>
          <w:rFonts w:ascii="Arial" w:hAnsi="Arial" w:cs="Arial"/>
        </w:rPr>
        <w:instrText>ADDIN CSL_CITATION {"citationItems":[{"id":"ITEM-1","itemData":{"PMID":"26063595","abstract":"The present study investigated the correlation between interleukin-6 (IL-6) and tumor necrosis factor alpha (TNF-α) levels in cerebrospinal fluid (CSF) and subarachnoid hemorrhage (SAH) progression. A meta-analysis was further conducted from pooled data to analyze the clinical value of IL-6 and TNF-α in SAH diagnosis. In our case-control study, a total of 57 SAH patients were assigned to two groups, CVS group (n = 27) and non-CVS group (n = 30), based on the presence of cerebral vasospasm (CVS). In addition, 65 healthy subjects were enrolled as controls. IL-6 and TNF-α levels in CSF were measured in all the study subjects by enzyme-linked immunosorbent assay (ELISA). For meta-analysis, an exhaustive literature search was conducted to identify relevant published articles and strict inclusion and exclusion criteria were applied to select studies for the present meta-analysis. Data extracted from these studies was analyzed using STATA 12.0 software. IL-6 and TNF-α levels in CSF of SAH patients were markedly higher than those of healthy controls (all P &lt; 0.001). Further, CVS patients showed elevated IL-6 and TNF-α levels in CSF compared to non-CVS patients (all P &lt; 0.001). The increase in IL-6 and TNF-α levels in CSF correlated with the increasing disease severity, based on Hunt-Hess grade, in SAH patients (all P &lt; 0.05). Our meta-analysis also confirmed that IL-6 and TNF-α CSF levels were markedly higher in SAH patients compared to healthy controls (all P &lt; 0.001). Ethnicity-stratified analysis showed that both IL-6 and TNF-α CSF levels were elevated in Asian SAH patients, compared to their healthy counterparts (all P &lt; 0.05). The TNF-α CSF levels were significantly higher in Caucasian SAH patients (P &lt; 0.001), but the IL-6 CSF levels showed no such differences compared to the healthy controls (P = 0.219). Subgroup analysis based on the presence of CVS showed that both IL-6 and TNF-α CSF levels were markedly higher in CVS patients than those in non-CVS patients (all P &lt; 0.05). Our results provide strong evidence that IL-6 and TNF-α CSF levels are elevated in SAH patients and may participate in SAH development. Thus, these two cytokines could be important biomarkers for early diagnosis and disease monitoring in SAH patients.","author":[{"dropping-particle":"","family":"Wu","given":"Wei","non-dropping-particle":"","parse-names":false,"suffix":""},{"dropping-particle":"","family":"Guan","given":"Yi","non-dropping-particle":"","parse-names":false,"suffix":""},{"dropping-particle":"","family":"Zhao","given":"Gang","non-dropping-particle":"","parse-names":false,"suffix":""},{"dropping-particle":"","family":"Fu","given":"Xi Jia","non-dropping-particle":"","parse-names":false,"suffix":""},{"dropping-particle":"","family":"Guo","given":"Tie Zhu","non-dropping-particle":"","parse-names":false,"suffix":""},{"dropping-particle":"","family":"Liu","given":"Yue Ting","non-dropping-particle":"","parse-names":false,"suffix":""},{"dropping-particle":"","family":"Ren","given":"Xin Liang","non-dropping-particle":"","parse-names":false,"suffix":""},{"dropping-particle":"","family":"Wang","given":"Wei","non-dropping-particle":"","parse-names":false,"suffix":""},{"dropping-particle":"","family":"Liu","given":"Han Rui","non-dropping-particle":"","parse-names":false,"suffix":""},{"dropping-particle":"","family":"Li","given":"Yun Qian","non-dropping-particle":"","parse-names":false,"suffix":""}],"id":"ITEM-1","issue":"5","issued":{"date-parts":[["2016","7","1"]]},"page":"3277-3285","title":"Elevated IL-6 and TNF-α Levels in Cerebrospinal Fluid of Subarachnoid Hemorrhage Patients","type":"article-journal","volume":"53"},"uris":["http://www.mendeley.com/documents/?uuid=2017d7e1-0c6f-48c8-86ad-76071ee19f73"]}],"mendeley":{"formattedCitation":"(28)","plainTextFormattedCitation":"(28)","previouslyFormattedCitation":"(28)"},"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(28)</w:t>
      </w:r>
      <w:r w:rsidRPr="00F7228F">
        <w:rPr>
          <w:rFonts w:ascii="Arial" w:hAnsi="Arial" w:cs="Arial"/>
        </w:rPr>
        <w:fldChar w:fldCharType="end"/>
      </w:r>
      <w:r w:rsidRPr="00F7228F">
        <w:rPr>
          <w:rFonts w:ascii="Arial" w:hAnsi="Arial" w:cs="Arial"/>
        </w:rPr>
        <w:t xml:space="preserve">. Another study found higher levels of CSF IL-6 within 72 hours from ictus was associated with vasospasm </w:t>
      </w:r>
      <w:r w:rsidRPr="00F7228F">
        <w:rPr>
          <w:rFonts w:ascii="Arial" w:hAnsi="Arial" w:cs="Arial"/>
        </w:rPr>
        <w:fldChar w:fldCharType="begin" w:fldLock="1"/>
      </w:r>
      <w:r w:rsidR="008507E1" w:rsidRPr="00F7228F">
        <w:rPr>
          <w:rFonts w:ascii="Arial" w:hAnsi="Arial" w:cs="Arial"/>
        </w:rPr>
        <w:instrText>ADDIN CSL_CITATION {"citationItems":[{"id":"ITEM-1","itemData":{"DOI":"10.1080/01616412.1998.11740528","ISSN":"0161-6412","PMID":"9618698","abstract":"Cytokines are considered as mediators of immune and inflammatory responses. Cisternal CSF levels of interleukin (IL)-6, IL-8, monocyte chemoattractant protein-1 (MCP-1) and of the soluble adhesion molecule E- selectin were evaluated in patients operated on for intracranial aneurysms. Cisternal CSF samples were obtained at surgery in 41 selected patients (31 with diagnosis of subarachnoid hemorrhage (SAH) and 10 control patients operated on for incidental unruptured aneurysms); 14 patients were operated within 72 h after SAH (early surgery) and 17 were operated after day 10 after the hemorrhage (delayed surgery). The CSF levels of cytokines were evaluated using radioimmunoassay and their concentrations were related to the timing of surgery, the amount of cisternal subarachnoid blood clots and the onset of clinical and angiographical evidence of arterial vasospasm. Mean cisternal CSF levels of IL-6, IL-8 and AMCP-1 are significantly higher in samples obtained from patients early operated after SAH, while levels of E-selectin were below the threshold value of the method in all 41 cases. In the early operated group 7 patients presented symptomatic vasospasm: levels of IL-8 and MCP-1 were not significantly different when compared to those of uncomplicated cases; on the other hand, significantly higher levels of IL-6 were shown in the subgroup of patients operated within 72 h after SAH and developing vasospasm. Among the patients undergoing delayed surgery 5 presented symptomatic vasospasm, but no significant difference was shown in cisternal CSF levels of cytokines measured. The results of the present study show that in patients with unruptured aneurysms cytokines are present in cisternal CSF in scarce quantities and that in subarachnoid spaces after SAH there is an impressive increase of IL-6, IL-8 and MCP-1. Moreover, the higher cisternal CSF levels of IL-6 found in the early stage after SAH might have a predictive value regarding the occurrence of symptomatic vasospasm.","author":[{"dropping-particle":"","family":"Gaetani","given":"Paolo","non-dropping-particle":"","parse-names":false,"suffix":""},{"dropping-particle":"","family":"Tartara","given":"Fulvio","non-dropping-particle":"","parse-names":false,"suffix":""},{"dropping-particle":"","family":"Pignatti","given":"Patrizia","non-dropping-particle":"","parse-names":false,"suffix":""},{"dropping-particle":"","family":"Tancioni","given":"Flavio","non-dropping-particle":"","parse-names":false,"suffix":""},{"dropping-particle":"","family":"Rodriguez Y Baena","given":"Riccardo","non-dropping-particle":"","parse-names":false,"suffix":""},{"dropping-particle":"","family":"Benedetti","given":"Fabrizio","non-dropping-particle":"De","parse-names":false,"suffix":""}],"container-title":"Neurological research","id":"ITEM-1","issue":"4","issued":{"date-parts":[["1998"]]},"page":"337-342","publisher":"Neurol Res","title":"Cisternal CSF levels of cytokines after subarachnoid hemorrhage","type":"article-journal","volume":"20"},"uris":["http://www.mendeley.com/documents/?uuid=3ba2ba00-6cae-3927-a7a5-769546d3759b"]}],"mendeley":{"formattedCitation":"(6)","plainTextFormattedCitation":"(6)","previouslyFormattedCitation":"(6)"},"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(6)</w:t>
      </w:r>
      <w:r w:rsidRPr="00F7228F">
        <w:rPr>
          <w:rFonts w:ascii="Arial" w:hAnsi="Arial" w:cs="Arial"/>
        </w:rPr>
        <w:fldChar w:fldCharType="end"/>
      </w:r>
      <w:r w:rsidRPr="00F7228F">
        <w:rPr>
          <w:rFonts w:ascii="Arial" w:hAnsi="Arial" w:cs="Arial"/>
        </w:rPr>
        <w:t xml:space="preserve">. In contrast, we did not find a significant association between CSF IL-6 levels at day 7 and TCDs. Taken together with our study, these findings </w:t>
      </w:r>
      <w:r w:rsidRPr="00F7228F">
        <w:rPr>
          <w:rFonts w:ascii="Arial" w:hAnsi="Arial" w:cs="Arial"/>
        </w:rPr>
        <w:lastRenderedPageBreak/>
        <w:t xml:space="preserve">could be interpreted as demonstrating that CSF IL-6 levels at an earlier stage predict vasospasm, but no longer do so at day 7. This is supported by another study, which found CSF IL-6 on day 6 and 7 was not associated with vasospasm, but CSF from days 2-4 was (day 4 having the strongest association with vasospasm) </w:t>
      </w:r>
      <w:r w:rsidRPr="00F7228F">
        <w:rPr>
          <w:rFonts w:ascii="Arial" w:hAnsi="Arial" w:cs="Arial"/>
        </w:rPr>
        <w:fldChar w:fldCharType="begin" w:fldLock="1"/>
      </w:r>
      <w:r w:rsidR="008507E1" w:rsidRPr="00F7228F">
        <w:rPr>
          <w:rFonts w:ascii="Arial" w:hAnsi="Arial" w:cs="Arial"/>
        </w:rPr>
        <w:instrText>ADDIN CSL_CITATION {"citationItems":[{"id":"ITEM-1","itemData":{"DOI":"10.1227/01.NEU.0000255440.21495.80","ISSN":"1524-4040","PMID":"17460517","abstract":"OBJECTIVE: Inflammatory response seems to be one of the relevant pathophysiological aspects for developing vasospasm in subarachnoid hemorrhage. The probable diagnostic value of intrathecal proinflammatory markers is still unclear and is assessed in this study. METHODS: We analyzed daily clinical data and laboratory tests of the cerebrospinal fluid (CSF) of 64 patients with mostly poor-grade subarachnoid hemorrhage during a period of 14 days. Special attention was given to the relationship between the development of vasospasm and the time course of the intrathecal interleukin (IL)-6 concentrations in CSF (IL-6CSF). The potential power of IL-6CSF for predicting vasospasm was studied. RESULTS: Vasospasm developed in 28.1% of the patients, with a mean onset of 6.4 days after bleeding, and was detected by conventional methods. Patients with vasospasm demonstrated statistically significant higher median values of IL-6CSF on Days 4 and 5 (P &lt; 0.05). Most importantly, the increase of IL-6CSF preceded the conventional signs of vasospasm. A cut-off value of IL-6CSF of at least 2000 pg/ml on Day 4 yielded an 11.72-fold higher relative risk (95% confidence interval, 2.93-46.60) of developing vasospasm, predicting vasospasm with a sensitivity of 88.9% and a specificity of 78.3%. We found a statistically significant correlation between IL-6CSF and delayed cerebral ischemia for Day 7 (P = 0.03). However, there was no correlation with IL-6CSF on any other day and outcome. CONCLUSION: IL-6CSF seems to be a reliable early marker for predicting vasospasm after subarachnoid hemorrhage on Days 4 and 5 before clinical onset. Copyright © by the Congress of Neurological Surgeons.","author":[{"dropping-particle":"","family":"Schoch","given":"Beate","non-dropping-particle":"","parse-names":false,"suffix":""},{"dropping-particle":"","family":"Regel","given":"Jens P.","non-dropping-particle":"","parse-names":false,"suffix":""},{"dropping-particle":"","family":"Wichert","given":"Marc","non-dropping-particle":"","parse-names":false,"suffix":""},{"dropping-particle":"","family":"Gasser","given":"Thomas","non-dropping-particle":"","parse-names":false,"suffix":""},{"dropping-particle":"","family":"Volbracht","given":"Lothar","non-dropping-particle":"","parse-names":false,"suffix":""},{"dropping-particle":"","family":"Stolke","given":"Dietmar","non-dropping-particle":"","parse-names":false,"suffix":""}],"container-title":"Neurosurgery","id":"ITEM-1","issue":"5","issued":{"date-parts":[["2007","5"]]},"page":"828-835","publisher":"Neurosurgery","title":"Analysis of intrathecal interleukin-6 as a potential predictive factor for vasospasm in subarachnoid hemorrhage","type":"article-journal","volume":"60"},"uris":["http://www.mendeley.com/documents/?uuid=8f07d749-453e-468d-9f3d-255c1fdad963"]}],"mendeley":{"formattedCitation":"(11)","plainTextFormattedCitation":"(11)","previouslyFormattedCitation":"(11)"},"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(11)</w:t>
      </w:r>
      <w:r w:rsidRPr="00F7228F">
        <w:rPr>
          <w:rFonts w:ascii="Arial" w:hAnsi="Arial" w:cs="Arial"/>
        </w:rPr>
        <w:fldChar w:fldCharType="end"/>
      </w:r>
      <w:r w:rsidRPr="00F7228F">
        <w:rPr>
          <w:rFonts w:ascii="Arial" w:hAnsi="Arial" w:cs="Arial"/>
        </w:rPr>
        <w:t xml:space="preserve">. It is possible a similar scenario applies for DCI given </w:t>
      </w:r>
      <w:proofErr w:type="spellStart"/>
      <w:r w:rsidRPr="00F7228F">
        <w:rPr>
          <w:rFonts w:ascii="Arial" w:hAnsi="Arial" w:cs="Arial"/>
        </w:rPr>
        <w:t>Sarrafzadeh</w:t>
      </w:r>
      <w:proofErr w:type="spellEnd"/>
      <w:r w:rsidRPr="00F7228F">
        <w:rPr>
          <w:rFonts w:ascii="Arial" w:hAnsi="Arial" w:cs="Arial"/>
        </w:rPr>
        <w:t xml:space="preserve"> et al. reported that CSF IL-6, but not plasma IL-6 levels were indicative of the development of DCI </w:t>
      </w:r>
      <w:r w:rsidRPr="00F7228F">
        <w:rPr>
          <w:rFonts w:ascii="Arial" w:hAnsi="Arial" w:cs="Arial"/>
        </w:rPr>
        <w:fldChar w:fldCharType="begin" w:fldLock="1"/>
      </w:r>
      <w:r w:rsidR="008507E1" w:rsidRPr="00F7228F">
        <w:rPr>
          <w:rFonts w:ascii="Arial" w:hAnsi="Arial" w:cs="Arial"/>
        </w:rPr>
        <w:instrText>ADDIN CSL_CITATION {"citationItems":[{"id":"ITEM-1","itemData":{"DOI":"10.1007/S12028-010-9432-4/FIGURES/2","ISSN":"15416933","PMID":"20725805","abstract":"Background: This study examines the inflammatory response via interleukin-6 (IL-6) in aneurysmal subarachnoid hemorrhage (aSAH) patients and its association with their clinical course (occurrence of acute focal neurological deficits, AFND; and delayed cerebral ischemia, DCI). Methods: A total of 38 consecutive aSAH patients were studied prospectively within 14 days after admission and classified as asymptomatic (n = 9; WFNS grade 1 (1-2), median and quartiles) and symptomatic (n = 29; WFNS grade 4 (2-5)); the latter presenting with AFND (n = 13), DCI (n = 10) or both (n = 6). Levels of pro-inflammatory cytokine IL-6 were determined in cerebral extracellular fluid (ECF, using cerebral microdialysis), cerebrospinal fluid (CSF) and plasma for 10 days after aSAH. Additionally, C-reactive protein (CRP) levels were measured in plasma. Results: High IL-6 levels in CSF, ECF and plasma were found in all patients, reflecting a pronounced local inflammatory response after aSAH, followed only in symptomatic patients by a delayed systemic inflammation (CRP P &lt; 0.025, days 7-9 after aSAH). In all compartments, IL-6 levels appeared to be higher in symptomatic patients, accompanied also by a higher ECF lactate-pyruvate ratio (P = 0.04). Cerebral, but not plasma IL-6, levels were indicative of the development of DCI in symptomatic patients (ECF P = 0.003; CSF P = 0.001). Conclusions: A pronounced initial cerebral inflammatory state was observed in patients of all WFNS grades, suggesting that IL-6 elevations are not necessarily detrimental. Cerebral, but not plasma IL-6, levels were predictive of the development of delayed ischemic deficits in symptomatic patients, suggesting that CSF or ECF are the best sampling media for future studies. © 2010 Springer Science+Business Media, LLC.","author":[{"dropping-particle":"","family":"Sarrafzadeh","given":"Asita","non-dropping-particle":"","parse-names":false,"suffix":""},{"dropping-particle":"","family":"Schlenk","given":"Florian","non-dropping-particle":"","parse-names":false,"suffix":""},{"dropping-particle":"","family":"Gericke","given":"Christine","non-dropping-particle":"","parse-names":false,"suffix":""},{"dropping-particle":"","family":"Vajkoczy","given":"Peter","non-dropping-particle":"","parse-names":false,"suffix":""}],"container-title":"Neurocritical Care","id":"ITEM-1","issue":"3","issued":{"date-parts":[["2010","12","20"]]},"page":"339-346","publisher":"Springer","title":"Relevance of cerebral interleukin-6 after aneurysmal subarachnoid hemorrhage","type":"article-journal","volume":"13"},"uris":["http://www.mendeley.com/documents/?uuid=37cacf00-41ce-4e1c-80bd-7eb871e9118e"]}],"mendeley":{"formattedCitation":"(13)","plainTextFormattedCitation":"(13)","previouslyFormattedCitation":"(13)"},"properties":{"noteIndex":0},"schema":"https://github.com/citation-style-language/schema/raw/master/csl-citation.json"}</w:instrText>
      </w:r>
      <w:r w:rsidRPr="00F7228F">
        <w:rPr>
          <w:rFonts w:ascii="Arial" w:hAnsi="Arial" w:cs="Arial"/>
        </w:rPr>
        <w:fldChar w:fldCharType="separate"/>
      </w:r>
      <w:r w:rsidR="008C09BB" w:rsidRPr="00F7228F">
        <w:rPr>
          <w:rFonts w:ascii="Arial" w:hAnsi="Arial" w:cs="Arial"/>
          <w:noProof/>
        </w:rPr>
        <w:t>(13)</w:t>
      </w:r>
      <w:r w:rsidRPr="00F7228F">
        <w:rPr>
          <w:rFonts w:ascii="Arial" w:hAnsi="Arial" w:cs="Arial"/>
        </w:rPr>
        <w:fldChar w:fldCharType="end"/>
      </w:r>
      <w:r w:rsidRPr="00F7228F">
        <w:rPr>
          <w:rFonts w:ascii="Arial" w:hAnsi="Arial" w:cs="Arial"/>
        </w:rPr>
        <w:t>, although it is not possible to be sure as they did not report which day post-ictus they used for their analysis</w:t>
      </w:r>
      <w:r w:rsidR="00401689" w:rsidRPr="00F7228F">
        <w:rPr>
          <w:rFonts w:ascii="Arial" w:hAnsi="Arial" w:cs="Arial"/>
        </w:rPr>
        <w:t xml:space="preserve"> and they </w:t>
      </w:r>
      <w:r w:rsidRPr="00F7228F">
        <w:rPr>
          <w:rFonts w:ascii="Arial" w:hAnsi="Arial" w:cs="Arial"/>
        </w:rPr>
        <w:t>collect</w:t>
      </w:r>
      <w:r w:rsidR="00401689" w:rsidRPr="00F7228F">
        <w:rPr>
          <w:rFonts w:ascii="Arial" w:hAnsi="Arial" w:cs="Arial"/>
        </w:rPr>
        <w:t>ed</w:t>
      </w:r>
      <w:r w:rsidRPr="00F7228F">
        <w:rPr>
          <w:rFonts w:ascii="Arial" w:hAnsi="Arial" w:cs="Arial"/>
        </w:rPr>
        <w:t xml:space="preserve"> CSF samples from multiple timepoints.</w:t>
      </w:r>
    </w:p>
    <w:p w14:paraId="0D530913" w14:textId="77777777" w:rsidR="002E3FCD" w:rsidRPr="00F7228F" w:rsidRDefault="002E3FCD" w:rsidP="000B242D">
      <w:pPr>
        <w:spacing w:after="0" w:line="276" w:lineRule="auto"/>
        <w:rPr>
          <w:rFonts w:ascii="Arial" w:hAnsi="Arial" w:cs="Arial"/>
        </w:rPr>
      </w:pPr>
    </w:p>
    <w:p w14:paraId="458FD1AE" w14:textId="52BEE198" w:rsidR="002E3FCD" w:rsidRPr="00F7228F" w:rsidRDefault="00D057D6" w:rsidP="000B242D">
      <w:pPr>
        <w:spacing w:after="0" w:line="276" w:lineRule="auto"/>
        <w:rPr>
          <w:rFonts w:ascii="Arial" w:hAnsi="Arial" w:cs="Arial"/>
        </w:rPr>
      </w:pPr>
      <w:r w:rsidRPr="00F7228F">
        <w:rPr>
          <w:rFonts w:ascii="Arial" w:hAnsi="Arial" w:cs="Arial"/>
        </w:rPr>
        <w:t>Since</w:t>
      </w:r>
      <w:r w:rsidR="002E3FCD" w:rsidRPr="00F7228F">
        <w:rPr>
          <w:rFonts w:ascii="Arial" w:hAnsi="Arial" w:cs="Arial"/>
        </w:rPr>
        <w:t xml:space="preserve"> timing of CSF sampling seems an attractive explanation</w:t>
      </w:r>
      <w:r w:rsidRPr="00F7228F">
        <w:rPr>
          <w:rFonts w:ascii="Arial" w:hAnsi="Arial" w:cs="Arial"/>
        </w:rPr>
        <w:t xml:space="preserve"> for divergent observations</w:t>
      </w:r>
      <w:r w:rsidR="002E3FCD" w:rsidRPr="00F7228F">
        <w:rPr>
          <w:rFonts w:ascii="Arial" w:hAnsi="Arial" w:cs="Arial"/>
        </w:rPr>
        <w:t xml:space="preserve">, we performed subgroup analyses using the serial samples obtained from EVDs. This analysis considered a similarly selected severely unwell patient group with EVDs. Despite this there remained no relationships between CSF cytokines and vasospasm and/or DCI. </w:t>
      </w:r>
    </w:p>
    <w:p w14:paraId="396BC765" w14:textId="77777777" w:rsidR="002E3FCD" w:rsidRPr="00F7228F" w:rsidRDefault="002E3FCD" w:rsidP="000B242D">
      <w:pPr>
        <w:spacing w:after="0" w:line="276" w:lineRule="auto"/>
        <w:rPr>
          <w:rFonts w:ascii="Arial" w:hAnsi="Arial" w:cs="Arial"/>
        </w:rPr>
      </w:pPr>
    </w:p>
    <w:p w14:paraId="2095D6B9" w14:textId="502ED013" w:rsidR="008C09BB" w:rsidRPr="00F7228F" w:rsidRDefault="00401689" w:rsidP="00401689">
      <w:pPr>
        <w:spacing w:after="0" w:line="276" w:lineRule="auto"/>
        <w:rPr>
          <w:rFonts w:ascii="Arial" w:hAnsi="Arial" w:cs="Arial"/>
        </w:rPr>
      </w:pPr>
      <w:r w:rsidRPr="00F7228F">
        <w:rPr>
          <w:rFonts w:ascii="Arial" w:hAnsi="Arial" w:cs="Arial"/>
        </w:rPr>
        <w:t>O</w:t>
      </w:r>
      <w:r w:rsidR="002E3FCD" w:rsidRPr="00F7228F">
        <w:rPr>
          <w:rFonts w:ascii="Arial" w:hAnsi="Arial" w:cs="Arial"/>
        </w:rPr>
        <w:t xml:space="preserve">ur finding of an association with plasma IL-6 and DCI is </w:t>
      </w:r>
      <w:r w:rsidR="00D057D6" w:rsidRPr="00F7228F">
        <w:rPr>
          <w:rFonts w:ascii="Arial" w:hAnsi="Arial" w:cs="Arial"/>
        </w:rPr>
        <w:t>in keeping</w:t>
      </w:r>
      <w:r w:rsidR="002E3FCD" w:rsidRPr="00F7228F">
        <w:rPr>
          <w:rFonts w:ascii="Arial" w:hAnsi="Arial" w:cs="Arial"/>
        </w:rPr>
        <w:t xml:space="preserve"> with </w:t>
      </w:r>
      <w:r w:rsidR="00D057D6" w:rsidRPr="00F7228F">
        <w:rPr>
          <w:rFonts w:ascii="Arial" w:hAnsi="Arial" w:cs="Arial"/>
        </w:rPr>
        <w:t>seven</w:t>
      </w:r>
      <w:r w:rsidR="002E3FCD" w:rsidRPr="00F7228F">
        <w:rPr>
          <w:rFonts w:ascii="Arial" w:hAnsi="Arial" w:cs="Arial"/>
        </w:rPr>
        <w:t xml:space="preserve"> other studies </w:t>
      </w:r>
      <w:r w:rsidR="00D057D6" w:rsidRPr="00F7228F">
        <w:rPr>
          <w:rFonts w:ascii="Arial" w:hAnsi="Arial" w:cs="Arial"/>
        </w:rPr>
        <w:t xml:space="preserve">which </w:t>
      </w:r>
      <w:r w:rsidR="002E3FCD" w:rsidRPr="00F7228F">
        <w:rPr>
          <w:rFonts w:ascii="Arial" w:hAnsi="Arial" w:cs="Arial"/>
        </w:rPr>
        <w:t xml:space="preserve">found </w:t>
      </w:r>
      <w:r w:rsidRPr="00F7228F">
        <w:rPr>
          <w:rFonts w:ascii="Arial" w:hAnsi="Arial" w:cs="Arial"/>
        </w:rPr>
        <w:t>no</w:t>
      </w:r>
      <w:r w:rsidR="002E3FCD" w:rsidRPr="00F7228F">
        <w:rPr>
          <w:rFonts w:ascii="Arial" w:hAnsi="Arial" w:cs="Arial"/>
        </w:rPr>
        <w:t xml:space="preserve"> association </w:t>
      </w:r>
      <w:r w:rsidR="00D057D6" w:rsidRPr="00F7228F">
        <w:rPr>
          <w:rFonts w:ascii="Arial" w:hAnsi="Arial" w:cs="Arial"/>
        </w:rPr>
        <w:t xml:space="preserve">between </w:t>
      </w:r>
      <w:r w:rsidR="002E3FCD" w:rsidRPr="00F7228F">
        <w:rPr>
          <w:rFonts w:ascii="Arial" w:hAnsi="Arial" w:cs="Arial"/>
        </w:rPr>
        <w:t xml:space="preserve">this cytokine and </w:t>
      </w:r>
      <w:r w:rsidRPr="00F7228F">
        <w:rPr>
          <w:rFonts w:ascii="Arial" w:hAnsi="Arial" w:cs="Arial"/>
        </w:rPr>
        <w:t xml:space="preserve">DCI </w:t>
      </w:r>
      <w:r w:rsidRPr="00F7228F">
        <w:rPr>
          <w:rFonts w:ascii="Arial" w:hAnsi="Arial" w:cs="Arial"/>
        </w:rPr>
        <w:fldChar w:fldCharType="begin" w:fldLock="1"/>
      </w:r>
      <w:r w:rsidRPr="00F7228F">
        <w:rPr>
          <w:rFonts w:ascii="Arial" w:hAnsi="Arial" w:cs="Arial"/>
        </w:rPr>
        <w:instrText>ADDIN CSL_CITATION {"citationItems":[{"id":"ITEM-1","itemData":{"DOI":"10.1007/S12028-010-9432-4/FIGURES/2","ISSN":"15416933","PMID":"20725805","abstract":"Background: This study examines the inflammatory response via interleukin-6 (IL-6) in aneurysmal subarachnoid hemorrhage (aSAH) patients and its association with their clinical course (occurrence of acute focal neurological deficits, AFND; and delayed cerebral ischemia, DCI). Methods: A total of 38 consecutive aSAH patients were studied prospectively within 14 days after admission and classified as asymptomatic (n = 9; WFNS grade 1 (1-2), median and quartiles) and symptomatic (n = 29; WFNS grade 4 (2-5)); the latter presenting with AFND (n = 13), DCI (n = 10) or both (n = 6). Levels of pro-inflammatory cytokine IL-6 were determined in cerebral extracellular fluid (ECF, using cerebral microdialysis), cerebrospinal fluid (CSF) and plasma for 10 days after aSAH. Additionally, C-reactive protein (CRP) levels were measured in plasma. Results: High IL-6 levels in CSF, ECF and plasma were found in all patients, reflecting a pronounced local inflammatory response after aSAH, followed only in symptomatic patients by a delayed systemic inflammation (CRP P &lt; 0.025, days 7-9 after aSAH). In all compartments, IL-6 levels appeared to be higher in symptomatic patients, accompanied also by a higher ECF lactate-pyruvate ratio (P = 0.04). Cerebral, but not plasma IL-6, levels were indicative of the development of DCI in symptomatic patients (ECF P = 0.003; CSF P = 0.001). Conclusions: A pronounced initial cerebral inflammatory state was observed in patients of all WFNS grades, suggesting that IL-6 elevations are not necessarily detrimental. Cerebral, but not plasma IL-6, levels were predictive of the development of delayed ischemic deficits in symptomatic patients, suggesting that CSF or ECF are the best sampling media for future studies. © 2010 Springer Science+Business Media, LLC.","author":[{"dropping-particle":"","family":"Sarrafzadeh","given":"Asita","non-dropping-particle":"","parse-names":false,"suffix":""},{"dropping-particle":"","family":"Schlenk","given":"Florian","non-dropping-particle":"","parse-names":false,"suffix":""},{"dropping-particle":"","family":"Gericke","given":"Christine","non-dropping-particle":"","parse-names":false,"suffix":""},{"dropping-particle":"","family":"Vajkoczy","given":"Peter","non-dropping-particle":"","parse-names":false,"suffix":""}],"container-title":"Neurocritical Care","id":"ITEM-1","issue":"3","issued":{"date-parts":[["2010","12","20"]]},"page":"339-346","publisher":"Springer","title":"Relevance of cerebral interleukin-6 after aneurysmal subarachnoid hemorrhage","type":"article-journal","volume":"13"},"uris":["http://www.mendeley.com/documents/?uuid=37cacf00-41ce-4e1c-80bd-7eb871e9118e"]},{"id":"ITEM-2","itemData":{"DOI":"10.1038/S41598-020-79586-3","PMID":"33420113","abstract":"Interleukin 6 (IL-6) is a prominent proinflammatory cytokine and has been discussed as a potential biomarker for delayed cerebral ischemia (DCI) following aneurysmal subarachnoid hemorrhage. In the present study we have analyzed the time course of serum and cerebrospinal fluid (CSF) IL-6 levels in 82 patients with severe aneurysmal subarachnoid hemorrhage (SAH) requiring external ventricular drains in correlation to angiographic vasospasm, delayed cerebral ischemia, secondary infarctions and other clinical parameters. We observed much higher daily mean IL-6 levels (but also large interindividual variations) in the CSF than the serum of the patients with a peak between days 4 and 14 including a maximum on day 5 after SAH. Individual CSF peak levels correlated significantly with DCI (mean day 4–14 peak, DCI: 26,291 ± 24,159 pg/ml vs. no DCI: 16,184 ± 13,163 pg/ml; P = 0.023). Importantly, CSF IL-6 levels differed significantly between cases with DCI and infarctions and patients with DCI and no infarction (mean day 4–14 peak, DCI with infarction: 37,209 ± 26,951 pg/ml vs. DCI, no infarction: 15,123 ± 11,239 pg/ml; P = 0.003), while findings in the latter patient group were similar to cases with no vasospasm (mean day 4–14 peak, DCI, no infarction: 15,123 ± 11,239 vs. no DCI: 15,840 ± 12,979; P = 0.873). Together, these data support a potential role for elevated CSF IL-6 levels as a biomarker for DCI with infarction rather than for DCI in general. This fits well with a growing body of evidence linking neuroinflammation to ischemia and infarction, but (together with the large interindividual variations observed) limits the diagnostic usefulness of CSF IL-6 levels in SAH patients.","author":[{"dropping-particle":"","family":"Ridwan","given":"Sami","non-dropping-particle":"","parse-names":false,"suffix":""},{"dropping-particle":"","family":"Grote","given":"Alexander","non-dropping-particle":"","parse-names":false,"suffix":""},{"dropping-particle":"","family":"Simon","given":"Matthias","non-dropping-particle":"","parse-names":false,"suffix":""}],"container-title":"Scientific Reports","id":"ITEM-2","issue":"1","issued":{"date-parts":[["2021","12","1"]]},"page":"12","title":"Interleukin 6 in cerebrospinal fluid is a biomarker for delayed cerebral ischemia (DCI) related infarctions after aneurysmal subarachnoid hemorrhage","type":"article-journal","volume":"11"},"uris":["http://www.mendeley.com/documents/?uuid=954238a1-eb7b-4cc3-8d80-8685af7fd07d"]},{"id":"ITEM-3","itemData":{"DOI":"10.1186/S13054-015-0809-9","ISSN":"1466-609X","PMID":"25887441","abstract":"Introduction: There is a substantial amount of evidence from animal models that early brain injury (EBI) may play an important role for secondary brain injury after aneurysmal subarachnoid hemorrhage (aSAH). Cerebral microdialysis (CMD) allows online measurement of brain metabolites, including the pro-inflammatory cytokine interleukin-6 (IL-6) and matrix metalloproteinase-9 (MMP-9), which is indicative for disruption of the blood-brain barrier. Methods: Twenty-six consecutive poor-grade aSAH patients with multimodal neuromonitoring were analyzed for brain hemodynamic and metabolic changes, including CMD-IL-6 and CMD-MMP-9 levels. Statistical analysis was performed by using a generalized estimating equation with an autoregressive function. Results: The baseline cerebral metabolic profile revealed brain metabolic distress and an excitatory response which improved over the following 5 days (P &lt;0.001). Brain tissue hypoxia (brain tissue oxygen tension of less than 20 mm Hg) was common (more than 60% of patients) in the first 24 hours of neuromonitoring and improved thereafter (P &lt;0.05). Baseline CMD-IL-6 and CMD-MMP-9 levels were elevated in all patients (median = 4,059 pg/mL, interquartile range (IQR) = 1,316 to 12,456 pg/mL and median = 851 pg/mL, IQR = 98 to 25,860 pg/mL) and significantly decreased over days (P &lt;0.05). A higher pro-inflammatory response was associated with the development of delayed cerebral ischemia (P = 0.04), whereas admission disease severity and early brain tissue hypoxia were associated with higher CMD-MMP-9 levels (P &lt;0.03). Brain metabolic distress and increased IL-6 levels were associated with poor functional outcome (modified Rankin Scale of more than 3, P ≤0.01). All models were adjusted for probe location, aneurysm securing procedure, and disease severity as appropriate. Conclusions: Multimodal neuromonitoring techniques allow insight into pathophysiologic changes in the early phase after aSAH. The results may be used as endpoints for future interventions targeting EBI in poor-grade aSAH patients.","author":[{"dropping-particle":"","family":"Helbok","given":"Raimund","non-dropping-particle":"","parse-names":false,"suffix":""},{"dropping-particle":"","family":"Schiefecker","given":"Alois Josef","non-dropping-particle":"","parse-names":false,"suffix":""},{"dropping-particle":"","family":"Beer","given":"Ronny","non-dropping-particle":"","parse-names":false,"suffix":""},{"dropping-particle":"","family":"Dietmann","given":"Anelia","non-dropping-particle":"","parse-names":false,"suffix":""},{"dropping-particle":"","family":"Antunes","given":"Ana Patrícia","non-dropping-particle":"","parse-names":false,"suffix":""},{"dropping-particle":"","family":"Sohm","given":"Florian","non-dropping-particle":"","parse-names":false,"suffix":""},{"dropping-particle":"","family":"Fischer","given":"Marlene","non-dropping-particle":"","parse-names":false,"suffix":""},{"dropping-particle":"","family":"Hackl","given":"Werner Oskar","non-dropping-particle":"","parse-names":false,"suffix":""},{"dropping-particle":"","family":"Rhomberg","given":"Paul","non-dropping-particle":"","parse-names":false,"suffix":""},{"dropping-particle":"","family":"Lackner","given":"Peter","non-dropping-particle":"","parse-names":false,"suffix":""},{"dropping-particle":"","family":"Pfausler","given":"Bettina","non-dropping-particle":"","parse-names":false,"suffix":""},{"dropping-particle":"","family":"Thomé","given":"Claudius","non-dropping-particle":"","parse-names":false,"suffix":""},{"dropping-particle":"","family":"Humpel","given":"Christian","non-dropping-particle":"","parse-names":false,"suffix":""},{"dropping-particle":"","family":"Schmutzhard","given":"Erich","non-dropping-particle":"","parse-names":false,"suffix":""}],"container-title":"Critical Care","id":"ITEM-3","issue":"1","issued":{"date-parts":[["2015","3","9"]]},"page":"1-9","publisher":"Crit Care","title":"Early brain injury after aneurysmal subarachnoid hemorrhage: A multimodal neuromonitoring study","type":"article-journal","volume":"19"},"uris":["http://www.mendeley.com/documents/?uuid=04d76a12-c53f-49c1-bc8b-6d2638f16d97"]},{"id":"ITEM-4","itemData":{"DOI":"10.1016/J.ENSCI.2016.11.010","ISSN":"2405-6502","PMID":"29260012","abstract":"Objective Patients with aneurysmal subarachnoid hemorrhage (aSAH) experience high mortality and morbidity. Neuroinflammation causes brain damage expansion after aSAH. Due to the complexity of the inflammatory response multiple biomarkers are needed to evaluate its’ progression. We studied inflammatory process after aSAH by measuring two inflammatory biomarkers, interleukin-6 (IL-6) and high-mobility group box 1 (HMGB1) at simultaneous time-points after aSAH. Methods In this prospective population-based study, IL-6 and HMGB1 were measured in aSAH patients (n = 47) for up to five days. Plasma concentrations of IL-6 and HMGB1 were measured at 0, 12 and 24 h after hospital admission, and thereafter daily for up to five days or until the patient was transferred from the intensive care unit (ICU). The patients’ neurological outcomes were evaluated with the modified Rankin Scale at six months after aSAH. Results A high IL-6 level during the first day after aSAH was associated with a severe initial clinical presentation (p = 0.002) and infection during follow-up (p = 0.031). The HMGB1 level did not associate with these parameters. There was no correlation between IL-6 and HMGB1 levels at any time point during the follow-up. The concentrations of IL-6 and HMGB1 were not associated with neurological outcome. Conclusions High initial IL-6 values seem to reflect the intensity of the inflammatory response but not the brain damage per se. An early inflammatory response might even be beneficial since although elevated IL-6 levels were observed in patients with a more severe initial clinical presentation, they were not associated with neurological outcome. The lack of correlation between IL-6 and HMGB1 questions the role of macrophages in the process of the secretion of these inflammatory markers after aSAH, instead pointing to the activation of alternative pro-inflammatory pathways.","author":[{"dropping-particle":"","family":"Kiiski","given":"Heikki","non-dropping-particle":"","parse-names":false,"suffix":""},{"dropping-particle":"","family":"Långsjö","given":"Jaakko","non-dropping-particle":"","parse-names":false,"suffix":""},{"dropping-particle":"","family":"Tenhunen","given":"Jyrki","non-dropping-particle":"","parse-names":false,"suffix":""},{"dropping-particle":"","family":"Ala-Peijari","given":"Marika","non-dropping-particle":"","parse-names":false,"suffix":""},{"dropping-particle":"","family":"Huhtala","given":"Heini","non-dropping-particle":"","parse-names":false,"suffix":""},{"dropping-particle":"","family":"Hämäläinen","given":"Mari","non-dropping-particle":"","parse-names":false,"suffix":""},{"dropping-particle":"","family":"Moilanen","given":"Eeva","non-dropping-particle":"","parse-names":false,"suffix":""},{"dropping-particle":"","family":"Öhman","given":"Juha","non-dropping-particle":"","parse-names":false,"suffix":""},{"dropping-particle":"","family":"Peltola","given":"Jukka","non-dropping-particle":"","parse-names":false,"suffix":""}],"container-title":"eNeurologicalSci","id":"ITEM-4","issued":{"date-parts":[["2016","3","1"]]},"page":"55-62","publisher":"eNeurologicalSci","title":"Time-courses of plasma IL-6 and HMGB-1 reflect initial severity of clinical presentation but do not predict poor neurologic outcome following subarachnoid hemorrhage","type":"article-journal","volume":"6"},"uris":["http://www.mendeley.com/documents/?uuid=0d5b476d-b710-3ac8-a1ae-295ba459cb63"]},{"id":"ITEM-5","itemData":{"DOI":"10.1212/WNL.0000000000003842","PMID":"28314864","abstract":"Objective: To investigate inflammatory processes after aneurysmal subarachnoid hemorrhage (aSAH) with network models. Methods: This is a retrospective observational study of serum samples from 45 participants with aSAH analyzed at multiple predetermined time points: &lt;24 hours, 24 to 48 hours, 3 to 5 days, and 6 to 8 days after aSAH. Concentrations of cytokines were measured with a 41-plex human immunoassay kit, and the Pearson correlation coefficients between all possible cytokine pairs were computed. Systematic network models were constructed on the basis of correlations between cytokine pairs for all participants and across injury severity. Trends of individual cytokines and correlations between them were examined simultaneously. Results: Network models revealed that systematic inflammatory activity peaks at 24 to 48 hours after the bleed. Individual cytokine levels changed significantly over time, exhibiting increasing, decreasing, and peaking trends. Platelet-derived growth factor (PDGF)-AA, PDGF-AB/BB, soluble CD40 ligand, and tumor necrosis factor-α (TNF-α) increased over time. Colony-stimulating factor (CSF) 3, interleukin (IL)-13, and FMS-like tyrosine kinase 3 ligand decreased over time. IL-6, IL-5, and IL-15 peaked and decreased. Some cytokines with insignificant trends show high correlations with other cytokines and vice versa. Many correlated cytokine clusters, including a platelet-derived factor cluster and an endothelial growth factor cluster, were observed at all times. Participants with higher clinical severity at admission had elevated levels of several proinflammatory and anti-inflammatory cytokines, including IL-6, CCL2, CCL11, CSF3, IL-8, IL-10, CX3CL1, and TNF-α, compared to those with lower clinical severity. Conclusions: Combining reductionist and systematic techniques may lead to a better understanding of the underlying complexities of the inflammatory reaction after aSAH.","author":[{"dropping-particle":"","family":"Savarraj","given":"Jude P.J.","non-dropping-particle":"","parse-names":false,"suffix":""},{"dropping-particle":"","family":"Parsha","given":"Kaushik","non-dropping-particle":"","parse-names":false,"suffix":""},{"dropping-particle":"","family":"Hergenroeder","given":"Georgene W.","non-dropping-particle":"","parse-names":false,"suffix":""},{"dropping-particle":"","family":"Zhu","given":"Liang","non-dropping-particle":"","parse-names":false,"suffix":""},{"dropping-particle":"","family":"Bajgur","given":"Suhas S.","non-dropping-particle":"","parse-names":false,"suffix":""},{"dropping-particle":"","family":"Ahn","given":"Sungho","non-dropping-particle":"","parse-names":false,"suffix":""},{"dropping-particle":"","family":"Lee","given":"Kiwon","non-dropping-particle":"","parse-names":false,"suffix":""},{"dropping-particle":"","family":"Chang","given":"Tiffany","non-dropping-particle":"","parse-names":false,"suffix":""},{"dropping-particle":"","family":"Kim","given":"Dong H.","non-dropping-particle":"","parse-names":false,"suffix":""},{"dropping-particle":"","family":"Liu","given":"Yin","non-dropping-particle":"","parse-names":false,"suffix":""},{"dropping-particle":"","family":"Choi","given":"H. Alex","non-dropping-particle":"","parse-names":false,"suffix":""}],"container-title":"Neurology","id":"ITEM-5","issue":"16","issued":{"date-parts":[["2017","4"]]},"page":"1535-1545","title":"Systematic model of peripheral inflammation after subarachnoid hemorrhage","type":"article-journal","volume":"88"},"uris":["http://www.mendeley.com/documents/?uuid=386bbf3d-2d3f-474c-a990-4e2436591e0c"]},{"id":"ITEM-6","itemData":{"DOI":"10.1016/J.WNEU.2019.05.102","ISSN":"1878-8769","PMID":"31121365","abstract":"Background: Delayed cerebral ischemia (DCI) is a serious and frequent complication following subarachnoid hemorrhage (SAH). The pathophysiology behind DCI remains poorly understood, but inflammation has been proposed to play a significant role. This study investigated the relationship between plasma levels of some of the most important inflammatory markers and DCI, cerebral vasospasm, and functional outcome in patients with SAH. Methods: In 90 patients with SAH, interleukin-6, intercellular adhesion molecule-1, vascular cell adhesion molecule-1, high sensitivity C-reactive protein (HsCRP), interleukin-8, interleukin-10, interferon gamma, and tumor necrosis factor alpha were measured in peripheral blood day 3 and day 8 after SAH. Any occurrence of DCI or infection was recorded, and computed tomography angiography was performed on day 8. Clinical outcome was assessed after 3 months. Results: HsCRP on day 3 was higher in patients with angiographic vasospasm (P = 0.003), and HsCRP on day 8 was higher in patients with poor outcome (P = 0.014). No association with DCI, vasospasm, or outcome was found for any of the remaining analyzed substances. Conclusions: High plasma levels of HsCRP were significantly associated with angiographic vasospasm and clinical outcome. Plasma levels of interleukin-6, vascular cell adhesion molecule-1, intercellular adhesion molecule-1, interleukin-8, interleukin-10, interferon gamma, and tumor necrosis factor alpha were not associated with DCI, angiographic vasospasm, or clinical outcome at 3 months.","author":[{"dropping-particle":"","family":"Rasmussen","given":"Rune","non-dropping-particle":"","parse-names":false,"suffix":""},{"dropping-particle":"","family":"Bache","given":"Søren","non-dropping-particle":"","parse-names":false,"suffix":""},{"dropping-particle":"","family":"Stavngaard","given":"T.","non-dropping-particle":"","parse-names":false,"suffix":""},{"dropping-particle":"","family":"Møller","given":"Kirsten","non-dropping-particle":"","parse-names":false,"suffix":""}],"container-title":"World neurosurgery","id":"ITEM-6","issued":{"date-parts":[["2019","8","1"]]},"page":"e1131-e1136","publisher":"World Neurosurg","title":"Plasma Levels of IL-6, IL-8, IL-10, ICAM-1, VCAM-1, IFNγ, and TNFα are not Associated with Delayed Cerebral Ischemia, Cerebral Vasospasm, or Clinical Outcome in Patients with Subarachnoid Hemorrhage","type":"article-journal","volume":"128"},"uris":["http://www.mendeley.com/documents/?uuid=1764bbe0-168e-3810-b5d4-0e9ff5ec4db9"]},{"id":"ITEM-7","itemData":{"DOI":"10.1186/S12974-019-1578-1","ISSN":"1742-2094","PMID":"31711504","abstract":"Background: Inflammatory mechanism has been implicated in delayed cerebral ischemia (DCI) and poor functional outcomes after subarachnoid hemorrhage (SAH). Identification of cytokine patterns associated with inflammation in acute SAH will provide insights into underlying biological processes of DCI and poor outcomes that may be amenable to interventions. Methods: Serum samples were collected from a prospective cohort of 60 patients with acute non-traumatic SAH at four time periods (&lt; 24 h, 24-48 h, 3-5 days, and 6-8 days after SAH) and concentration levels of 41 cytokines were measured by multiplex immunoassay. Logistic regression analysis was used to identify cytokines associated with DCI and poor functional outcomes. Correlation networks were constructed to identify cytokine clusters. Results: Of the 60 patients enrolled in the study, 14 (23.3%) developed DCI and 16 (26.7%) had poor functional outcomes at 3 months. DCI was associated with increased levels of PDGF-ABBB and CCL5 and decreased levels of IP-10 and MIP-1α. Poor functional outcome was associated with increased levels of IL-6 and MCP-1α. Network analysis identified distinct cytokine clusters associated with DCI and functional outcomes. Conclusions: Serum cytokine patterns in early SAH are associated with poor functional outcomes and DCI. The significant cytokines primarily modulate the inflammatory response. This supports earlier SAH studies linking inflammation and poor outcomes. In particular, this study identifies novel cytokine patterns over time that may indicate impending DCI.","author":[{"dropping-particle":"","family":"Ahn","given":"Sung Ho","non-dropping-particle":"","parse-names":false,"suffix":""},{"dropping-particle":"","family":"Savarraj","given":"Jude P.J.","non-dropping-particle":"","parse-names":false,"suffix":""},{"dropping-particle":"","family":"Parsha","given":"Kaushik","non-dropping-particle":"","parse-names":false,"suffix":""},{"dropping-particle":"","family":"Hergenroeder","given":"Georgene W.","non-dropping-particle":"","parse-names":false,"suffix":""},{"dropping-particle":"","family":"Chang","given":"Tiffany R.","non-dropping-particle":"","parse-names":false,"suffix":""},{"dropping-particle":"","family":"Kim","given":"Dong H.","non-dropping-particle":"","parse-names":false,"suffix":""},{"dropping-particle":"","family":"Kitagawa","given":"Ryan S.","non-dropping-particle":"","parse-names":false,"suffix":""},{"dropping-particle":"","family":"Blackburn","given":"Spiros L.","non-dropping-particle":"","parse-names":false,"suffix":""},{"dropping-particle":"","family":"Choi","given":"H. Alex","non-dropping-particle":"","parse-names":false,"suffix":""}],"container-title":"Journal of neuroinflammation","id":"ITEM-7","issue":"1","issued":{"date-parts":[["2019","11","11"]]},"publisher":"J Neuroinflammation","title":"Inflammation in delayed ischemia and functional outcomes after subarachnoid hemorrhage","type":"article-journal","volume":"16"},"uris":["http://www.mendeley.com/documents/?uuid=7cf550af-98b9-48dd-8d6b-5b914593bb27"]}],"mendeley":{"formattedCitation":"(13,21,33,35,46,49,58)","plainTextFormattedCitation":"(13,21,33,35,46,49,58)","previouslyFormattedCitation":"(13,21,33,35,46,49,58)"},"properties":{"noteIndex":0},"schema":"https://github.com/citation-style-language/schema/raw/master/csl-citation.json"}</w:instrText>
      </w:r>
      <w:r w:rsidRPr="00F7228F">
        <w:rPr>
          <w:rFonts w:ascii="Arial" w:hAnsi="Arial" w:cs="Arial"/>
        </w:rPr>
        <w:fldChar w:fldCharType="separate"/>
      </w:r>
      <w:r w:rsidRPr="00F7228F">
        <w:rPr>
          <w:rFonts w:ascii="Arial" w:hAnsi="Arial" w:cs="Arial"/>
          <w:noProof/>
        </w:rPr>
        <w:t>(13,21,33,35,46,49,58)</w:t>
      </w:r>
      <w:r w:rsidRPr="00F7228F">
        <w:rPr>
          <w:rFonts w:ascii="Arial" w:hAnsi="Arial" w:cs="Arial"/>
        </w:rPr>
        <w:fldChar w:fldCharType="end"/>
      </w:r>
      <w:r w:rsidR="002E3FCD" w:rsidRPr="00F7228F">
        <w:rPr>
          <w:rFonts w:ascii="Arial" w:hAnsi="Arial" w:cs="Arial"/>
        </w:rPr>
        <w:t xml:space="preserve">. However, some discrepancies still exist. For example, one study found day 0 serum IL-6 was inversely associated with DCI, but that this was not seen </w:t>
      </w:r>
      <w:r w:rsidR="00D057D6" w:rsidRPr="00F7228F">
        <w:rPr>
          <w:rFonts w:ascii="Arial" w:hAnsi="Arial" w:cs="Arial"/>
        </w:rPr>
        <w:t xml:space="preserve">when the analysis was performed with </w:t>
      </w:r>
      <w:r w:rsidR="002E3FCD" w:rsidRPr="00F7228F">
        <w:rPr>
          <w:rFonts w:ascii="Arial" w:hAnsi="Arial" w:cs="Arial"/>
        </w:rPr>
        <w:t>maxim</w:t>
      </w:r>
      <w:r w:rsidR="00D057D6" w:rsidRPr="00F7228F">
        <w:rPr>
          <w:rFonts w:ascii="Arial" w:hAnsi="Arial" w:cs="Arial"/>
        </w:rPr>
        <w:t>um</w:t>
      </w:r>
      <w:r w:rsidR="002E3FCD" w:rsidRPr="00F7228F">
        <w:rPr>
          <w:rFonts w:ascii="Arial" w:hAnsi="Arial" w:cs="Arial"/>
        </w:rPr>
        <w:t xml:space="preserve"> IL-6 levels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{"citationItems":[{"id":"ITEM-1","itemData":{"DOI":"10.1016/J.WNEU.2017.05.021","ISSN":"1878-8750","PMID":"28512045","abstract":"Background Delayed cerebral ischemia (DCI) after subarachnoid hemorrhage (SAH) is one of the main causes of neurologic deterioration. However, it frequently evades timely detection. Early identification and effective reversal may improve the clinical outcome. In this prospective study, we evaluate several serum inflammatory markers after aneurysmal SAH with regard to the occurrence of DCI. Methods On days 1, 4, 7, 10, and 14 after SAH, leucocyte count, C-reactive protein, interleukin 6, E-selectin, matrix metallopeptidase 9, intercellular adhesion molecule 1, and leukemia inhibitory factor were assessed in patients' serum samples. Using a Cox regression model (SPSS 21.0), associations of baseline parameters, maximum and delta (maximum minus baseline) values with occurrence of DCI were evaluated. Results Considering the assessed parameters, leucocyte count (high baseline and delta values) matches most closely with occurrence of DCI. Although baseline levels of C-reactive protein are also associated with occurrence of DCI, neither maximum (only on a borderline level) nor delta levels do so. Conclusions Our data analysis identified leucocyte count as the parameter most likely associated with occurrence of DCI. However, because of its lack of specificity leucocyte count, it cannot be used as a biomarker. As hypothesized earlier, the results indicate a possible involvement of the inflammatory reaction after aneurysmal SAH in the pathomechanism of DCI.","author":[{"dropping-particle":"","family":"Chamling","given":"Bishwas","non-dropping-particle":"","parse-names":false,"suffix":""},{"dropping-particle":"","family":"Gross","given":"Stefan","non-dropping-particle":"","parse-names":false,"suffix":""},{"dropping-particle":"","family":"Stoffel-Wagner","given":"Birgit","non-dropping-particle":"","parse-names":false,"suffix":""},{"dropping-particle":"","family":"Schubert","given":"Gerrit A.","non-dropping-particle":"","parse-names":false,"suffix":""},{"dropping-particle":"","family":"Clusmann","given":"Hans","non-dropping-particle":"","parse-names":false,"suffix":""},{"dropping-particle":"","family":"Coburn","given":"Mark","non-dropping-particle":"","parse-names":false,"suffix":""},{"dropping-particle":"","family":"Höllig","given":"Anke","non-dropping-particle":"","parse-names":false,"suffix":""}],"container-title":"World Neurosurgery","id":"ITEM-1","issued":{"date-parts":[["2017","8","1"]]},"page":"152-157","publisher":"Elsevier","title":"Early Diagnosis of Delayed Cerebral Ischemia: Possible Relevance for Inflammatory Biomarkers in Routine Clinical Practice?","type":"article-journal","volume":"104"},"uris":["http://www.mendeley.com/documents/?uuid=034bb220-7a50-38b0-bd41-e0c292b5f056"]}],"mendeley":{"formattedCitation":"(30)","plainTextFormattedCitation":"(30)","previouslyFormattedCitation":"(30)"},"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(30)</w:t>
      </w:r>
      <w:r w:rsidR="002E3FCD" w:rsidRPr="00F7228F">
        <w:rPr>
          <w:rFonts w:ascii="Arial" w:hAnsi="Arial" w:cs="Arial"/>
        </w:rPr>
        <w:fldChar w:fldCharType="end"/>
      </w:r>
      <w:r w:rsidR="002E3FCD" w:rsidRPr="00F7228F">
        <w:rPr>
          <w:rFonts w:ascii="Arial" w:hAnsi="Arial" w:cs="Arial"/>
        </w:rPr>
        <w:t xml:space="preserve">. This may suggest that plasma IL-6 in the short-term may not be deleterious, but a sustained rise in IL-6 may lead to pathological effects. Consistent with this hypothesis, a study found that it took until day 3 for serum IL-6 levels to be significantly associated with DCI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{"citationItems":[{"id":"ITEM-1","itemData":{"DOI":"10.3390/IJMS18122580","ISSN":"1422-0067","PMID":"29194369","abstract":"Background: Aneurysmal subarachnoid hemorrhage (aSAH) is still a fatal and morbid disease, although bleeding aneurysms can be secured in almost all cases. Occurrence of post-SAH complications including cerebral vasospasm, delayed cerebral ischemia, hydrocephalus, epilepsy, and infections are the main determinants of clinical outcome. Hence, it is important to search for early predictors for specific post-SAH complications to treat these complications properly. Both cellular and molecular (cytokines) inflammation play a key role after aSAH during the phase of occurrence of post-SAH complications. Interleukin-6 (IL-6) is a well-known cytokine that has been extensively analyzed in cerebrospinal fluid (CSF) of patients after aSAH, but detailed studies exploring the role of systemic IL-6 in aSAH associated complications and its impact on early clinical outcome prediction are lacking. The current study aims to analyze the systemic IL-6 levels over two weeks after bleeding and its role in post-SAH complications. Methods: We recruited 80 aSAH patients prospectively who underwent peripheral venous blood withdrawal in serum gel tubes. The blood was centrifuged to harvest the serum, which was immediately frozen at –80 °C until analysis. Serum IL-6 levels were quantified using Immulite immunoassay system. Patient records including age, gender, post-SAH complications, aneurysm treatment, and clinical outcome (modified Rankin scale and Glasgow outcome scale) were retrieved to allow different subgroup analysis. Results: Serum IL-6 levels were significantly raised after aSAH compared to healthy controls over the first two weeks after hemorrhage. Serum IL-6 levels were found to be significantly elevated in aSAH patients presenting with higher Hunt and Hess grades, increasing age, and both intraventricular and intracerebral hemorrhage. Interestingly, serum IL-6 was also significantly raised in aSAH patients who developed seizures, cerebral vasospasm (CVS), and chronic hydrocephalus. IL-6 levels were sensitive to the development of infections and showed an increase in patients who developed pneumoniae. Intriguingly, we found a delayed increase in serum IL-6 in patients developing cerebral infarction. Finally, IL-6 levels were significantly higher in patients presenting with poor clinical outcome in comparison to good clinical outcome at discharge from hospital. Conclusion: Serum IL-6 levels were elevated early after aSAH and remained high over the two weeks after initial …","author":[{"dropping-particle":"","family":"Chaudhry","given":"Shafqat Rasul","non-dropping-particle":"","parse-names":false,"suffix":""},{"dropping-particle":"","family":"Stoffel-Wagner","given":"Birgit","non-dropping-particle":"","parse-names":false,"suffix":""},{"dropping-particle":"","family":"Kinfe","given":"Thomas Mehari","non-dropping-particle":"","parse-names":false,"suffix":""},{"dropping-particle":"","family":"Güresir","given":"Erdem","non-dropping-particle":"","parse-names":false,"suffix":""},{"dropping-particle":"","family":"Vatter","given":"Hartmut","non-dropping-particle":"","parse-names":false,"suffix":""},{"dropping-particle":"","family":"Dietrich","given":"Dirk","non-dropping-particle":"","parse-names":false,"suffix":""},{"dropping-particle":"","family":"Lamprecht","given":"Alf","non-dropping-particle":"","parse-names":false,"suffix":""},{"dropping-particle":"","family":"Muhammad","given":"Sajjad","non-dropping-particle":"","parse-names":false,"suffix":""}],"container-title":"International Journal of Molecular Sciences","id":"ITEM-1","issue":"12","issued":{"date-parts":[["2017","12","1"]]},"page":"2580","publisher":"Int J Mol Sci","title":"Elevated Systemic IL-6 Levels in Patients with Aneurysmal Subarachnoid Hemorrhage Is an Unspecific Marker for Post-SAH Complications","type":"article-journal","volume":"18"},"uris":["http://www.mendeley.com/documents/?uuid=2c454c56-61d4-4c59-b101-df26858a5641"]}],"mendeley":{"formattedCitation":"(31)","plainTextFormattedCitation":"(31)","previouslyFormattedCitation":"(31)"},"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(31)</w:t>
      </w:r>
      <w:r w:rsidR="002E3FCD" w:rsidRPr="00F7228F">
        <w:rPr>
          <w:rFonts w:ascii="Arial" w:hAnsi="Arial" w:cs="Arial"/>
        </w:rPr>
        <w:fldChar w:fldCharType="end"/>
      </w:r>
      <w:r w:rsidR="002E3FCD" w:rsidRPr="00F7228F">
        <w:rPr>
          <w:rFonts w:ascii="Arial" w:hAnsi="Arial" w:cs="Arial"/>
        </w:rPr>
        <w:t xml:space="preserve">, and another study found that it was the rate of decrease of plasma IL-6 that is relevant, with patients going on to have DCI having a smaller decrease </w:t>
      </w:r>
      <w:r w:rsidR="002E3FCD" w:rsidRPr="00F7228F">
        <w:rPr>
          <w:rFonts w:ascii="Arial" w:hAnsi="Arial" w:cs="Arial"/>
        </w:rPr>
        <w:fldChar w:fldCharType="begin" w:fldLock="1"/>
      </w:r>
      <w:r w:rsidR="008507E1" w:rsidRPr="00F7228F">
        <w:rPr>
          <w:rFonts w:ascii="Arial" w:hAnsi="Arial" w:cs="Arial"/>
        </w:rPr>
        <w:instrText>ADDIN CSL_CITATION {"citationItems":[{"id":"ITEM-1","itemData":{"DOI":"10.1136/NEURINTSURG-2012-010386","ISSN":"17598478","PMID":"22952245","abstract":"Background The mechanism of development of delayed cerebral ischemia (DCI) after aneurysmal subarachnoid hemorrhage (SAH) is poorly understood. Inflammatory processes are implicated in the development of ischemic stroke and may also predispose to the development of DCI following SAH. The objective of this study was to test whether concentrations of circulating inflammatory markers (C-reactive protein (CRP), interleukin-6 (IL-6) and interleukin 1 receptor antagonist (IL-1Ra)) were predictive for DCI following SAH. Secondary analyses considered white cell count (WCC) and erythrocyte sedimentation rate (ESR). Methods This was a single-center case-control study nested within a prospective cohort. Plasma inflammatory markers were measured in patients up to 15 days after SAH (initial, peak, average, final and rate of change to final). Cases were defined as those developing DCI. Inflammatory markers were compared between cases and randomly selected matched controls. Results Among the 179 participants there were 46 cases of DCI (26%). In primary analyses the rate of change of IL-6 was associated with DCI (OR 2.3 (95% CI 1.1 to 5.0); p=0.03). The final value and rate of change of WCC were associated with DCI (OR 1.2 (95% CI 1.0 to 1.3) and OR 1.3 (95% CI 1.0 to 1.6), respectively). High values of ESR were associated with DCI (OR 2.4 (95% CI 1.3 to 4.6) initial; OR 2.3 (95% CI 1.3 to 4.2) average; OR 2.1 (95% CI 1.1 to 3.9) peak; and OR 2.0 (95% CI 1.2 to 3.3) final value). Conclusions Leucocytosis and change in IL-6 prior to DCI reflect impending cerebral ischemia. The timeindependent association of ESR with DCI after SAH may identify this as a risk factor. These data suggest that systemic inflammatory mechanisms may increase the susceptibility to the development of DCI after SAH.","author":[{"dropping-particle":"","family":"McMahon","given":"Catherine J.","non-dropping-particle":"","parse-names":false,"suffix":""},{"dropping-particle":"","family":"Hopkins","given":"Stephen","non-dropping-particle":"","parse-names":false,"suffix":""},{"dropping-particle":"","family":"Vail","given":"Andy","non-dropping-particle":"","parse-names":false,"suffix":""},{"dropping-particle":"","family":"King","given":"Andrew T.","non-dropping-particle":"","parse-names":false,"suffix":""},{"dropping-particle":"","family":"Smith","given":"Debi","non-dropping-particle":"","parse-names":false,"suffix":""},{"dropping-particle":"","family":"Illingworth","given":"Karen J.","non-dropping-particle":"","parse-names":false,"suffix":""},{"dropping-particle":"","family":"Clark","given":"Simon","non-dropping-particle":"","parse-names":false,"suffix":""},{"dropping-particle":"","family":"Rothwell","given":"Nancy J.","non-dropping-particle":"","parse-names":false,"suffix":""},{"dropping-particle":"","family":"Tyrrell","given":"Pippa J.","non-dropping-particle":"","parse-names":false,"suffix":""}],"container-title":"Journal of Neurointerventional Surgery","id":"ITEM-1","issue":"6","issued":{"date-parts":[["2013","11"]]},"page":"512","publisher":"BMJ Publishing Group","title":"Original research: Inflammation as a predictor for delayed cerebral ischemia after aneurysmal subarachnoid haemorrhage","type":"article-journal","volume":"5"},"uris":["http://www.mendeley.com/documents/?uuid=b20614f8-936e-38d2-bb6c-e29a7444d44e"]}],"mendeley":{"formattedCitation":"(19)","plainTextFormattedCitation":"(19)","previouslyFormattedCitation":"(19)"},"properties":{"noteIndex":0},"schema":"https://github.com/citation-style-language/schema/raw/master/csl-citation.json"}</w:instrText>
      </w:r>
      <w:r w:rsidR="002E3FCD" w:rsidRPr="00F7228F">
        <w:rPr>
          <w:rFonts w:ascii="Arial" w:hAnsi="Arial" w:cs="Arial"/>
        </w:rPr>
        <w:fldChar w:fldCharType="separate"/>
      </w:r>
      <w:r w:rsidR="008C09BB" w:rsidRPr="00F7228F">
        <w:rPr>
          <w:rFonts w:ascii="Arial" w:hAnsi="Arial" w:cs="Arial"/>
          <w:noProof/>
        </w:rPr>
        <w:t>(19)</w:t>
      </w:r>
      <w:r w:rsidR="002E3FCD" w:rsidRPr="00F7228F">
        <w:rPr>
          <w:rFonts w:ascii="Arial" w:hAnsi="Arial" w:cs="Arial"/>
        </w:rPr>
        <w:fldChar w:fldCharType="end"/>
      </w:r>
      <w:r w:rsidR="002E3FCD" w:rsidRPr="00F7228F">
        <w:rPr>
          <w:rFonts w:ascii="Arial" w:hAnsi="Arial" w:cs="Arial"/>
        </w:rPr>
        <w:t xml:space="preserve">. </w:t>
      </w:r>
    </w:p>
    <w:p w14:paraId="3387DE5F" w14:textId="77777777" w:rsidR="008C09BB" w:rsidRPr="00F7228F" w:rsidRDefault="008C09BB" w:rsidP="000B242D">
      <w:pPr>
        <w:spacing w:after="0"/>
        <w:rPr>
          <w:rFonts w:ascii="Arial" w:hAnsi="Arial" w:cs="Arial"/>
          <w:b/>
          <w:bCs/>
          <w:iCs/>
        </w:rPr>
      </w:pPr>
    </w:p>
    <w:p w14:paraId="716A7C64" w14:textId="4936544E" w:rsidR="00BC6E97" w:rsidRPr="00F7228F" w:rsidRDefault="00BC6E97" w:rsidP="000B242D">
      <w:pPr>
        <w:spacing w:after="0"/>
        <w:rPr>
          <w:rFonts w:ascii="Arial" w:hAnsi="Arial" w:cs="Arial"/>
          <w:b/>
          <w:bCs/>
          <w:iCs/>
        </w:rPr>
      </w:pPr>
      <w:r w:rsidRPr="00F7228F">
        <w:rPr>
          <w:rFonts w:ascii="Arial" w:hAnsi="Arial" w:cs="Arial"/>
          <w:b/>
          <w:bCs/>
          <w:iCs/>
        </w:rPr>
        <w:t>References</w:t>
      </w:r>
    </w:p>
    <w:p w14:paraId="133F3E7A" w14:textId="77777777" w:rsidR="00BC6E97" w:rsidRPr="00F7228F" w:rsidRDefault="00BC6E97" w:rsidP="000B242D">
      <w:pPr>
        <w:spacing w:after="0" w:line="480" w:lineRule="auto"/>
        <w:rPr>
          <w:rFonts w:ascii="Arial" w:hAnsi="Arial" w:cs="Arial"/>
          <w:b/>
          <w:bCs/>
        </w:rPr>
      </w:pPr>
    </w:p>
    <w:p w14:paraId="3631D929" w14:textId="5F73ECD5" w:rsidR="008507E1" w:rsidRPr="00F7228F" w:rsidRDefault="00BC6E97"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b/>
          <w:bCs/>
        </w:rPr>
        <w:fldChar w:fldCharType="begin" w:fldLock="1"/>
      </w:r>
      <w:r w:rsidRPr="00F7228F">
        <w:rPr>
          <w:rFonts w:ascii="Arial" w:hAnsi="Arial" w:cs="Arial"/>
          <w:b/>
          <w:bCs/>
        </w:rPr>
        <w:instrText xml:space="preserve">ADDIN Mendeley Bibliography CSL_BIBLIOGRAPHY </w:instrText>
      </w:r>
      <w:r w:rsidRPr="00F7228F">
        <w:rPr>
          <w:rFonts w:ascii="Arial" w:hAnsi="Arial" w:cs="Arial"/>
          <w:b/>
          <w:bCs/>
        </w:rPr>
        <w:fldChar w:fldCharType="separate"/>
      </w:r>
      <w:r w:rsidR="008507E1" w:rsidRPr="00F7228F">
        <w:rPr>
          <w:rFonts w:ascii="Arial" w:hAnsi="Arial" w:cs="Arial"/>
          <w:noProof/>
        </w:rPr>
        <w:t xml:space="preserve">1. </w:t>
      </w:r>
      <w:r w:rsidR="008507E1" w:rsidRPr="00F7228F">
        <w:rPr>
          <w:rFonts w:ascii="Arial" w:hAnsi="Arial" w:cs="Arial"/>
          <w:noProof/>
        </w:rPr>
        <w:tab/>
        <w:t>Mathiesen T, Andersson B, Loftenius A, Von Holst H. Increased interleukin-6 levels in cerebrospinal fluid following subarachnoid hemorrhage. J Neurosurg [Internet]. 1993 [cited 2023 Nov 5];78(4):562–7. Available from: https://pubmed.ncbi.nlm.nih.gov/8450329/</w:t>
      </w:r>
    </w:p>
    <w:p w14:paraId="3164DD7A"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 </w:t>
      </w:r>
      <w:r w:rsidRPr="00F7228F">
        <w:rPr>
          <w:rFonts w:ascii="Arial" w:hAnsi="Arial" w:cs="Arial"/>
          <w:noProof/>
        </w:rPr>
        <w:tab/>
        <w:t>Kikuchi T, Okuda Y, Kaito N, Abe T. Cytokine production in cerebrospinal fluid after subarachnoid haemorrhage. Neurol Res [Internet]. 1995 [cited 2023 Nov 5];17(2):106–8. Available from: https://pubmed.ncbi.nlm.nih.gov/7609845/</w:t>
      </w:r>
    </w:p>
    <w:p w14:paraId="05915429"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 </w:t>
      </w:r>
      <w:r w:rsidRPr="00F7228F">
        <w:rPr>
          <w:rFonts w:ascii="Arial" w:hAnsi="Arial" w:cs="Arial"/>
          <w:noProof/>
        </w:rPr>
        <w:tab/>
        <w:t>Hirashima Y, Nakamura S, Endo S, Kuwayama N, Naruse Y, Takaku A. Elevation of platelet activating factor, inflammatory cytokines, and coagulation factors in the internal jugular vein of patients with subarachnoid hemorrhage. Neurochem Res [Internet]. 1997 [cited 2023 Nov 5];22(10):1249–55. Available from: https://pubmed.ncbi.nlm.nih.gov/9342729/</w:t>
      </w:r>
    </w:p>
    <w:p w14:paraId="33565D45"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 </w:t>
      </w:r>
      <w:r w:rsidRPr="00F7228F">
        <w:rPr>
          <w:rFonts w:ascii="Arial" w:hAnsi="Arial" w:cs="Arial"/>
          <w:noProof/>
        </w:rPr>
        <w:tab/>
        <w:t>Mathieson T, Edner G, Ulfarsson E, Andersson B. Cerebrospinal fluid interleukin-1 receptor antagonist and tumor necrosis factor-alpha following subarachnoid hemorrhage. J Neurosurg [Internet]. 1997 Aug 1 [cited 2023 Mar 16];87(2):215–20. Available from: https://thejns.org/view/journals/j-neurosurg/87/2/article-p215.xml</w:t>
      </w:r>
    </w:p>
    <w:p w14:paraId="1344F8A2"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 </w:t>
      </w:r>
      <w:r w:rsidRPr="00F7228F">
        <w:rPr>
          <w:rFonts w:ascii="Arial" w:hAnsi="Arial" w:cs="Arial"/>
          <w:noProof/>
        </w:rPr>
        <w:tab/>
        <w:t>Mckeating EG, Andrews PJD, Signorini DF, Mascia L. Transcranial cytokine gradients in patients requiring intensive care after acute brain injury. Br J Anaesth [Internet]. 1997 [cited 2023 Nov 5];78(5):520–3. Available from: https://pubmed.ncbi.nlm.nih.gov/9175965/</w:t>
      </w:r>
    </w:p>
    <w:p w14:paraId="58032D27"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6. </w:t>
      </w:r>
      <w:r w:rsidRPr="00F7228F">
        <w:rPr>
          <w:rFonts w:ascii="Arial" w:hAnsi="Arial" w:cs="Arial"/>
          <w:noProof/>
        </w:rPr>
        <w:tab/>
        <w:t xml:space="preserve">Gaetani P, Tartara F, Pignatti P, Tancioni F, Rodriguez Y Baena R, De Benedetti F. Cisternal CSF levels of cytokines after subarachnoid </w:t>
      </w:r>
      <w:r w:rsidRPr="00F7228F">
        <w:rPr>
          <w:rFonts w:ascii="Arial" w:hAnsi="Arial" w:cs="Arial"/>
          <w:noProof/>
        </w:rPr>
        <w:lastRenderedPageBreak/>
        <w:t>hemorrhage. Neurol Res [Internet]. 1998 [cited 2023 Nov 7];20(4):337–42. Available from: https://pubmed.ncbi.nlm.nih.gov/9618698/</w:t>
      </w:r>
    </w:p>
    <w:p w14:paraId="0CE803E4"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7. </w:t>
      </w:r>
      <w:r w:rsidRPr="00F7228F">
        <w:rPr>
          <w:rFonts w:ascii="Arial" w:hAnsi="Arial" w:cs="Arial"/>
          <w:noProof/>
        </w:rPr>
        <w:tab/>
        <w:t>Osuka K, Suzuki Y, Tanazawa T, Hattori K, Yamamoto N, Takayasu M, et al. Interleukin-6 and development of vasospasm after subarachnoid haemorrhage. Acta Neurochir (Wien) [Internet]. 1998 [cited 2023 Nov 5];140(9):943–51. Available from: https://link.springer.com/article/10.1007/s007010050197</w:t>
      </w:r>
    </w:p>
    <w:p w14:paraId="3BEA09AF"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8. </w:t>
      </w:r>
      <w:r w:rsidRPr="00F7228F">
        <w:rPr>
          <w:rFonts w:ascii="Arial" w:hAnsi="Arial" w:cs="Arial"/>
          <w:noProof/>
        </w:rPr>
        <w:tab/>
        <w:t>Gruber A, Rössler K, Graninger W, Donner A, Illievich UM, Czech T. Ventricular cerebrospinal fluid and serum concentrations of sTNFR-I, IL-1ra, and IL-6 after aneurysmal subarachnoid hemorrhage. J Neurosurg Anesthesiol [Internet]. 2000 [cited 2023 Mar 23];12(4):297–306. Available from: https://pubmed.ncbi.nlm.nih.gov/11147377/</w:t>
      </w:r>
    </w:p>
    <w:p w14:paraId="1C825FD5"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9. </w:t>
      </w:r>
      <w:r w:rsidRPr="00F7228F">
        <w:rPr>
          <w:rFonts w:ascii="Arial" w:hAnsi="Arial" w:cs="Arial"/>
          <w:noProof/>
        </w:rPr>
        <w:tab/>
        <w:t>Fassbender K, Hodapp B, Rossol S, Bertsch T, Schmeck J, Schütt S, et al. Inflammatory cytokines in subarachnoid haemorrhage: association with abnormal blood flow velocities in basal cerebral arteries. J Neurol Neurosurg Psychiatry [Internet]. 2001 Apr 1 [cited 2022 Nov 4];70(4):534–7. Available from: https://pubmed.ncbi.nlm.nih.gov/11254783/</w:t>
      </w:r>
    </w:p>
    <w:p w14:paraId="50A33F60"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10. </w:t>
      </w:r>
      <w:r w:rsidRPr="00F7228F">
        <w:rPr>
          <w:rFonts w:ascii="Arial" w:hAnsi="Arial" w:cs="Arial"/>
          <w:noProof/>
        </w:rPr>
        <w:tab/>
        <w:t>Kwon KY, Jeon BC. Cytokine levels in cerebrospinal fluid and delayed ischemic deficits in patients with aneurysmal subarachnoid hemorrhage. J Korean Med Sci [Internet]. 2001 [cited 2024 Feb 22];16(6):774. Available from: /pmc/articles/PMC3054809/?report=abstract</w:t>
      </w:r>
    </w:p>
    <w:p w14:paraId="21C32D47"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11. </w:t>
      </w:r>
      <w:r w:rsidRPr="00F7228F">
        <w:rPr>
          <w:rFonts w:ascii="Arial" w:hAnsi="Arial" w:cs="Arial"/>
          <w:noProof/>
        </w:rPr>
        <w:tab/>
        <w:t>Schoch B, Regel JP, Wichert M, Gasser T, Volbracht L, Stolke D. Analysis of intrathecal interleukin-6 as a potential predictive factor for vasospasm in subarachnoid hemorrhage. Neurosurgery [Internet]. 2007 May [cited 2023 Apr 18];60(5):828–35. Available from: https://pubmed.ncbi.nlm.nih.gov/17460517/</w:t>
      </w:r>
    </w:p>
    <w:p w14:paraId="57ACC9B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12. </w:t>
      </w:r>
      <w:r w:rsidRPr="00F7228F">
        <w:rPr>
          <w:rFonts w:ascii="Arial" w:hAnsi="Arial" w:cs="Arial"/>
          <w:noProof/>
        </w:rPr>
        <w:tab/>
        <w:t>Nakahara T, Tsuruta R, Kaneko T, Yamashita S, Fujita M, Kasaoka S, et al. High-mobility group box 1 protein in CSF of patients with subarachnoid hemorrhage. Neurocrit Care [Internet]. 2009 Jan 24 [cited 2023 Apr 18];11(3):362–8. Available from: https://link.springer.com/article/10.1007/s12028-009-9276-y</w:t>
      </w:r>
    </w:p>
    <w:p w14:paraId="1AC46CC5"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13. </w:t>
      </w:r>
      <w:r w:rsidRPr="00F7228F">
        <w:rPr>
          <w:rFonts w:ascii="Arial" w:hAnsi="Arial" w:cs="Arial"/>
          <w:noProof/>
        </w:rPr>
        <w:tab/>
        <w:t>Sarrafzadeh A, Schlenk F, Gericke C, Vajkoczy P. Relevance of cerebral interleukin-6 after aneurysmal subarachnoid hemorrhage. Neurocrit Care [Internet]. 2010 Dec 20 [cited 2023 Mar 16];13(3):339–46. Available from: https://link.springer.com/article/10.1007/s12028-010-9432-4</w:t>
      </w:r>
    </w:p>
    <w:p w14:paraId="7C8D86DF"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14. </w:t>
      </w:r>
      <w:r w:rsidRPr="00F7228F">
        <w:rPr>
          <w:rFonts w:ascii="Arial" w:hAnsi="Arial" w:cs="Arial"/>
          <w:noProof/>
        </w:rPr>
        <w:tab/>
        <w:t>Graetz D, Nagel A, Schlenk F, Sakowitz O, Vajkoczy P, Sarrafzadeh A. High ICP as trigger of proinflammatory IL-6 cytokine activation in aneurysmal subarachnoid hemorrhage. Neurol Res [Internet]. 2010 Sep 1 [cited 2023 Nov 6];32(7):728–35. Available from: https://pubmed.ncbi.nlm.nih.gov/19682408/</w:t>
      </w:r>
    </w:p>
    <w:p w14:paraId="5C7C19E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15. </w:t>
      </w:r>
      <w:r w:rsidRPr="00F7228F">
        <w:rPr>
          <w:rFonts w:ascii="Arial" w:hAnsi="Arial" w:cs="Arial"/>
          <w:noProof/>
        </w:rPr>
        <w:tab/>
        <w:t>Muroi C, Bellut D, Coluccia D, Mink S, Fujioka M, Keller E. Systemic interleukin-6 concentrations in patients with perimesencephalic non-aneurysmal subarachnoid hemorrhage. J Clin Neurosci [Internet]. 2011 Dec [cited 2024 Feb 22];18(12):1626–9. Available from: https://pubmed.ncbi.nlm.nih.gov/22019436/</w:t>
      </w:r>
    </w:p>
    <w:p w14:paraId="1FFA037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16. </w:t>
      </w:r>
      <w:r w:rsidRPr="00F7228F">
        <w:rPr>
          <w:rFonts w:ascii="Arial" w:hAnsi="Arial" w:cs="Arial"/>
          <w:noProof/>
        </w:rPr>
        <w:tab/>
        <w:t>Ni W, Gu YX, Song DL, Leng B, Li PL, Mao Y. The relationship between IL-6 in CSF and occurrence of vasospasm after subarachnoid hemorrhage. Acta Neurochir Suppl [Internet]. 2011 [cited 2024 Feb 22];110(Pt 1):203–8. Available from: https://pubmed.ncbi.nlm.nih.gov/21116940/</w:t>
      </w:r>
    </w:p>
    <w:p w14:paraId="5564AD1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17. </w:t>
      </w:r>
      <w:r w:rsidRPr="00F7228F">
        <w:rPr>
          <w:rFonts w:ascii="Arial" w:hAnsi="Arial" w:cs="Arial"/>
          <w:noProof/>
        </w:rPr>
        <w:tab/>
        <w:t>Chou SHY, Feske SK, Atherton J, Konigsberg RG, De Jager PL, Du R, et al. Early elevation of serum tumor necrosis factor-α is associated with poor outcome in subarachnoid hemorrhage. J Investig Med [Internet]. 2012 [cited 2024 Feb 22];60(7):1054–8. Available from: https://pubmed.ncbi.nlm.nih.gov/22918199/</w:t>
      </w:r>
    </w:p>
    <w:p w14:paraId="12508381"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18. </w:t>
      </w:r>
      <w:r w:rsidRPr="00F7228F">
        <w:rPr>
          <w:rFonts w:ascii="Arial" w:hAnsi="Arial" w:cs="Arial"/>
          <w:noProof/>
        </w:rPr>
        <w:tab/>
        <w:t xml:space="preserve">Chou SH, Elyaman W, Bradshaw EM, Secor EA, Suh S, Orent W, et al. Abstract TP426: Candidate CSF Cytokine and Chemokine </w:t>
      </w:r>
      <w:r w:rsidRPr="00F7228F">
        <w:rPr>
          <w:rFonts w:ascii="Arial" w:hAnsi="Arial" w:cs="Arial"/>
          <w:noProof/>
        </w:rPr>
        <w:lastRenderedPageBreak/>
        <w:t>Biomarkers for Vasospasm and Poor Outcome in Human Subarachnoid Hemorrhage. Stroke [Internet]. 2013 Feb [cited 2023 Nov 6];44(suppl_1). Available from: https://www.ahajournals.org/doi/abs/10.1161/str.44.suppl_1.atp426</w:t>
      </w:r>
    </w:p>
    <w:p w14:paraId="35D197EC"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19. </w:t>
      </w:r>
      <w:r w:rsidRPr="00F7228F">
        <w:rPr>
          <w:rFonts w:ascii="Arial" w:hAnsi="Arial" w:cs="Arial"/>
          <w:noProof/>
        </w:rPr>
        <w:tab/>
        <w:t>McMahon CJ, Hopkins S, Vail A, King AT, Smith D, Illingworth KJ, et al. Original research: Inflammation as a predictor for delayed cerebral ischemia after aneurysmal subarachnoid haemorrhage. J Neurointerv Surg [Internet]. 2013 Nov [cited 2023 Nov 7];5(6):512. Available from: /pmc/articles/PMC3812893/</w:t>
      </w:r>
    </w:p>
    <w:p w14:paraId="44BE0B15"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20. </w:t>
      </w:r>
      <w:r w:rsidRPr="00F7228F">
        <w:rPr>
          <w:rFonts w:ascii="Arial" w:hAnsi="Arial" w:cs="Arial"/>
          <w:noProof/>
        </w:rPr>
        <w:tab/>
        <w:t>Muroi C, Hugelshofer M, Seule M, Tastan I, Fujioka M, Mishima K, et al. Correlation among systemic inflammatory parameter, occurrence of delayed neurological deficits, and outcome after aneurysmal subarachnoid hemorrhage. Neurosurgery [Internet]. 2013 Mar [cited 2023 Mar 23];72(3):367–75. Available from: https://pubmed.ncbi.nlm.nih.gov/23208059/</w:t>
      </w:r>
    </w:p>
    <w:p w14:paraId="49BBF002"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21. </w:t>
      </w:r>
      <w:r w:rsidRPr="00F7228F">
        <w:rPr>
          <w:rFonts w:ascii="Arial" w:hAnsi="Arial" w:cs="Arial"/>
          <w:noProof/>
        </w:rPr>
        <w:tab/>
        <w:t>Helbok R, Schiefecker AJ, Beer R, Dietmann A, Antunes AP, Sohm F, et al. Early brain injury after aneurysmal subarachnoid hemorrhage: A multimodal neuromonitoring study. Crit Care [Internet]. 2015 Mar 9 [cited 2023 Jan 15];19(1):1–9. Available from: https://pubmed.ncbi.nlm.nih.gov/25887441/</w:t>
      </w:r>
    </w:p>
    <w:p w14:paraId="49F34C3A"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22. </w:t>
      </w:r>
      <w:r w:rsidRPr="00F7228F">
        <w:rPr>
          <w:rFonts w:ascii="Arial" w:hAnsi="Arial" w:cs="Arial"/>
          <w:noProof/>
        </w:rPr>
        <w:tab/>
        <w:t>Höllig A, Remmel D, Stoffel-Wagner B, Schubert GA, Coburn M, Clusmann H. Association of early inflammatory parameters after subarachnoid hemorrhage with functional outcome: A prospective cohort study. Clin Neurol Neurosurg [Internet]. 2015 Nov [cited 2023 Mar 23];138:177–83. Available from: https://pubmed.ncbi.nlm.nih.gov/26355810/</w:t>
      </w:r>
    </w:p>
    <w:p w14:paraId="15C01C3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23. </w:t>
      </w:r>
      <w:r w:rsidRPr="00F7228F">
        <w:rPr>
          <w:rFonts w:ascii="Arial" w:hAnsi="Arial" w:cs="Arial"/>
          <w:noProof/>
        </w:rPr>
        <w:tab/>
        <w:t>Höllig A, Thiel M, Stoffel-Wagner B, Coburn M, Clusmann H. Neuroprotective properties of dehydroepiandrosterone-sulfate and its relationship to interleukin 6 after aneurysmal subarachnoid hemorrhage: a prospective cohort study. Crit Care [Internet]. 2015 Dec 14 [cited 2023 Nov 21];19(1). Available from: /pmc/articles/PMC4462180/</w:t>
      </w:r>
    </w:p>
    <w:p w14:paraId="06067CD0"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24. </w:t>
      </w:r>
      <w:r w:rsidRPr="00F7228F">
        <w:rPr>
          <w:rFonts w:ascii="Arial" w:hAnsi="Arial" w:cs="Arial"/>
          <w:noProof/>
        </w:rPr>
        <w:tab/>
        <w:t>Kao HW, Lee KW, Kuo CL, Huang CS, Tseng WM, Liu CS, et al. Interleukin-6 as a Prognostic Biomarker in Ruptured Intracranial Aneurysms. PLoS One [Internet]. 2015 Jul 15 [cited 2023 Jan 15];10(7). Available from: https://pubmed.ncbi.nlm.nih.gov/26176774/</w:t>
      </w:r>
    </w:p>
    <w:p w14:paraId="41EEF87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25. </w:t>
      </w:r>
      <w:r w:rsidRPr="00F7228F">
        <w:rPr>
          <w:rFonts w:ascii="Arial" w:hAnsi="Arial" w:cs="Arial"/>
          <w:noProof/>
        </w:rPr>
        <w:tab/>
        <w:t>Schallner N, Pandit R, LeBlanc R, Thomas AJ, Ogilvy CS, Zuckerbraun BS, et al. Microglia regulate blood clearance in subarachnoid hemorrhage by heme oxygenase-1. J Clin Invest [Internet]. 2015 Jul 1 [cited 2023 Jan 15];125(7):2609–25. Available from: https://pubmed.ncbi.nlm.nih.gov/26011640/</w:t>
      </w:r>
    </w:p>
    <w:p w14:paraId="07BE3929"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26. </w:t>
      </w:r>
      <w:r w:rsidRPr="00F7228F">
        <w:rPr>
          <w:rFonts w:ascii="Arial" w:hAnsi="Arial" w:cs="Arial"/>
          <w:noProof/>
        </w:rPr>
        <w:tab/>
        <w:t>Tang Q-F, Lu S-Q, Zhao Y-M, Qian J-X. The changes of von willebrand factor/a disintegrin-like and metalloprotease with thrombospondin type I repeats-13 balance in aneurysmal subarachnoid hemorrhage. Int J Clin Exp Med [Internet]. 2015 [cited 2023 Nov 21];8(1):1342. Available from: /pmc/articles/PMC4358590/</w:t>
      </w:r>
    </w:p>
    <w:p w14:paraId="27A38428"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27. </w:t>
      </w:r>
      <w:r w:rsidRPr="00F7228F">
        <w:rPr>
          <w:rFonts w:ascii="Arial" w:hAnsi="Arial" w:cs="Arial"/>
          <w:noProof/>
        </w:rPr>
        <w:tab/>
        <w:t>Zhou C, Xie G, Wang C, Zhang Z, Chen Q, Zhang L, et al. Decreased progranulin levels in patients and rats with subarachnoid hemorrhage: a potential role in inhibiting inflammation by suppressing neutrophil recruitment. J Neuroinflammation [Internet]. 2015 Nov 2 [cited 2023 Jan 15];12(1). Available from: https://pubmed.ncbi.nlm.nih.gov/26527034/</w:t>
      </w:r>
    </w:p>
    <w:p w14:paraId="4711B717"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28. </w:t>
      </w:r>
      <w:r w:rsidRPr="00F7228F">
        <w:rPr>
          <w:rFonts w:ascii="Arial" w:hAnsi="Arial" w:cs="Arial"/>
          <w:noProof/>
        </w:rPr>
        <w:tab/>
        <w:t>Wu W, Guan Y, Zhao G, Fu XJ, Guo TZ, Liu YT, et al. Elevated IL-6 and TNF-α Levels in Cerebrospinal Fluid of Subarachnoid Hemorrhage Patients. 2016 Jul 1 [cited 2023 Jan 15];53(5):3277–85. Available from: https://pubmed.ncbi.nlm.nih.gov/26063595/</w:t>
      </w:r>
    </w:p>
    <w:p w14:paraId="0DA9CEEA"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29. </w:t>
      </w:r>
      <w:r w:rsidRPr="00F7228F">
        <w:rPr>
          <w:rFonts w:ascii="Arial" w:hAnsi="Arial" w:cs="Arial"/>
          <w:noProof/>
        </w:rPr>
        <w:tab/>
        <w:t>Niwa A, Osuka K, Nakura T, Matsuo N, Watabe T, Takayasu M. Interleukin-6, MCP-1, IP-10, and MIG are sequentially expressed in cerebrospinal fluid after subarachnoid hemorrhage. J Neuroinflammation [Internet]. 2016 Aug 30 [cited 2023 Jan 15];13(1). Available from: https://pubmed.ncbi.nlm.nih.gov/27576738/</w:t>
      </w:r>
    </w:p>
    <w:p w14:paraId="4673AD84"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30. </w:t>
      </w:r>
      <w:r w:rsidRPr="00F7228F">
        <w:rPr>
          <w:rFonts w:ascii="Arial" w:hAnsi="Arial" w:cs="Arial"/>
          <w:noProof/>
        </w:rPr>
        <w:tab/>
        <w:t xml:space="preserve">Chamling B, Gross S, Stoffel-Wagner B, Schubert GA, Clusmann H, Coburn M, et al. Early Diagnosis of Delayed Cerebral Ischemia: Possible Relevance for Inflammatory Biomarkers in Routine Clinical Practice? World Neurosurg. 2017 Aug 1;104:152–7. </w:t>
      </w:r>
    </w:p>
    <w:p w14:paraId="5ED477D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lastRenderedPageBreak/>
        <w:t xml:space="preserve">31. </w:t>
      </w:r>
      <w:r w:rsidRPr="00F7228F">
        <w:rPr>
          <w:rFonts w:ascii="Arial" w:hAnsi="Arial" w:cs="Arial"/>
          <w:noProof/>
        </w:rPr>
        <w:tab/>
        <w:t>Chaudhry SR, Stoffel-Wagner B, Kinfe TM, Güresir E, Vatter H, Dietrich D, et al. Elevated Systemic IL-6 Levels in Patients with Aneurysmal Subarachnoid Hemorrhage Is an Unspecific Marker for Post-SAH Complications. Int J Mol Sci [Internet]. 2017 Dec 1 [cited 2023 Jan 15];18(12):2580. Available from: /pmc/articles/PMC5751183/</w:t>
      </w:r>
    </w:p>
    <w:p w14:paraId="18077477"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32. </w:t>
      </w:r>
      <w:r w:rsidRPr="00F7228F">
        <w:rPr>
          <w:rFonts w:ascii="Arial" w:hAnsi="Arial" w:cs="Arial"/>
          <w:noProof/>
        </w:rPr>
        <w:tab/>
        <w:t>Chen YH, Cheng ZY, Shao LH, Shentu HS, Fu B. Macrophage migration inhibitory factor as a serum prognostic marker in patients with aneurysmal subarachnoid hemorrhage. Clin Chim Acta [Internet]. 2017 Oct 1 [cited 2023 Jan 15];473:60–4. Available from: https://pubmed.ncbi.nlm.nih.gov/28823650/</w:t>
      </w:r>
    </w:p>
    <w:p w14:paraId="710BB386"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33. </w:t>
      </w:r>
      <w:r w:rsidRPr="00F7228F">
        <w:rPr>
          <w:rFonts w:ascii="Arial" w:hAnsi="Arial" w:cs="Arial"/>
          <w:noProof/>
        </w:rPr>
        <w:tab/>
        <w:t>Kiiski H, Långsjö J, Tenhunen J, Ala-Peijari M, Huhtala H, Hämäläinen M, et al. Time-courses of plasma IL-6 and HMGB-1 reflect initial severity of clinical presentation but do not predict poor neurologic outcome following subarachnoid hemorrhage. eNeurologicalSci [Internet]. 2016 Mar 1 [cited 2024 Feb 22];6:55–62. Available from: https://pubmed.ncbi.nlm.nih.gov/29260012/</w:t>
      </w:r>
    </w:p>
    <w:p w14:paraId="68F301A8"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34. </w:t>
      </w:r>
      <w:r w:rsidRPr="00F7228F">
        <w:rPr>
          <w:rFonts w:ascii="Arial" w:hAnsi="Arial" w:cs="Arial"/>
          <w:noProof/>
        </w:rPr>
        <w:tab/>
        <w:t>Lenski M, Huge V, Briegel J, Tonn JC, Schichor C, Thon N. Interleukin 6 in the Cerebrospinal Fluid as a Biomarker for Onset of Vasospasm and Ventriculitis After Severe Subarachnoid Hemorrhage. World Neurosurg [Internet]. 2017 Mar 1 [cited 2023 Jan 15];99:132–9. Available from: https://pubmed.ncbi.nlm.nih.gov/27931942/</w:t>
      </w:r>
    </w:p>
    <w:p w14:paraId="4D936C1D"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35. </w:t>
      </w:r>
      <w:r w:rsidRPr="00F7228F">
        <w:rPr>
          <w:rFonts w:ascii="Arial" w:hAnsi="Arial" w:cs="Arial"/>
          <w:noProof/>
        </w:rPr>
        <w:tab/>
        <w:t>Savarraj JPJ, Parsha K, Hergenroeder GW, Zhu L, Bajgur SS, Ahn S, et al. Systematic model of peripheral inflammation after subarachnoid hemorrhage. Neurology [Internet]. 2017 Apr [cited 2023 Jan 15];88(16):1535–45. Available from: /pmc/articles/PMC5395070/</w:t>
      </w:r>
    </w:p>
    <w:p w14:paraId="2BA76576"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36. </w:t>
      </w:r>
      <w:r w:rsidRPr="00F7228F">
        <w:rPr>
          <w:rFonts w:ascii="Arial" w:hAnsi="Arial" w:cs="Arial"/>
          <w:noProof/>
        </w:rPr>
        <w:tab/>
        <w:t>Schiefecker AJ, Dietmann A, Beer R, Pfausler B, Lackner P, Kofler M, et al. Neuroinflammation is Associated with Brain Extracellular TAU-Protein Release After Spontaneous Subarachnoid Hemorrhage. Curr Drug Targets [Internet]. 2017 Feb 2 [cited 2023 Jan 15];18(12). Available from: https://pubmed.ncbi.nlm.nih.gov/26844567/</w:t>
      </w:r>
    </w:p>
    <w:p w14:paraId="4FEC19F0"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37. </w:t>
      </w:r>
      <w:r w:rsidRPr="00F7228F">
        <w:rPr>
          <w:rFonts w:ascii="Arial" w:hAnsi="Arial" w:cs="Arial"/>
          <w:noProof/>
        </w:rPr>
        <w:tab/>
        <w:t>Jiang Y, Zhou Y, Peng Y, Zhang M. The Quantitative and Functional Changes of Postoperative Peripheral Blood Immune Cell Subsets Relate to Prognosis of Patients with Subarachnoid Hemorrhage: A Preliminary Study. World Neurosurg [Internet]. 2017 Dec 1 [cited 2023 Jan 15];108:206–15. Available from: https://pubmed.ncbi.nlm.nih.gov/28866066/</w:t>
      </w:r>
    </w:p>
    <w:p w14:paraId="2FABDD4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38. </w:t>
      </w:r>
      <w:r w:rsidRPr="00F7228F">
        <w:rPr>
          <w:rFonts w:ascii="Arial" w:hAnsi="Arial" w:cs="Arial"/>
          <w:noProof/>
        </w:rPr>
        <w:tab/>
        <w:t>Zhong W, Zhang Z, Zhao P, Shen J, Li X, Wang D, et al. The Impact of Initial Systemic Inflammatory Response After Aneurysmal Subarachnoid Hemorrhage. Turk Neurosurg [Internet]. 2017 [cited 2023 Jan 15];27(3):346–52. Available from: https://pubmed.ncbi.nlm.nih.gov/27593784/</w:t>
      </w:r>
    </w:p>
    <w:p w14:paraId="6F541B58"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39. </w:t>
      </w:r>
      <w:r w:rsidRPr="00F7228F">
        <w:rPr>
          <w:rFonts w:ascii="Arial" w:hAnsi="Arial" w:cs="Arial"/>
          <w:noProof/>
        </w:rPr>
        <w:tab/>
        <w:t>Ďuriš K, Neuman E, Vybíhal V, Juráå V, Gottwaldová J, Kýr M, et al. Early Dynamics of Interleukin-6 in Cerebrospinal Fluid after Aneurysmal Subarachnoid Hemorrhage. J Neurol Surg A Cent Eur Neurosurg [Internet]. 2018 Mar 1 [cited 2023 Nov 21];79(2):145–51. Available from: https://pubmed.ncbi.nlm.nih.gov/28869993/</w:t>
      </w:r>
    </w:p>
    <w:p w14:paraId="08A9EE2B"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40. </w:t>
      </w:r>
      <w:r w:rsidRPr="00F7228F">
        <w:rPr>
          <w:rFonts w:ascii="Arial" w:hAnsi="Arial" w:cs="Arial"/>
          <w:noProof/>
        </w:rPr>
        <w:tab/>
        <w:t>Gong J, Zhu Y, Yu J, Jin J, Chen M, Liu W, et al. Increased serum interleukin-33 concentrations predict worse prognosis of aneurysmal subarachnoid hemorrhage. Clin Chim Acta [Internet]. 2018 Nov 1 [cited 2023 Jan 15];486:214–8. Available from: https://pubmed.ncbi.nlm.nih.gov/30102896/</w:t>
      </w:r>
    </w:p>
    <w:p w14:paraId="7A228A0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41. </w:t>
      </w:r>
      <w:r w:rsidRPr="00F7228F">
        <w:rPr>
          <w:rFonts w:ascii="Arial" w:hAnsi="Arial" w:cs="Arial"/>
          <w:noProof/>
        </w:rPr>
        <w:tab/>
        <w:t>Lv S yin, Wu Q, Liu J peng, Shao J, Wen L li, Xue J, et al. Levels of Interleukin-1β, Interleukin-18, and Tumor Necrosis Factor-α in Cerebrospinal Fluid of Aneurysmal Subarachnoid Hemorrhage Patients May Be Predictors of Early Brain Injury and Clinical Prognosis. World Neurosurg [Internet]. 2018 Mar 1 [cited 2023 Jan 15];111:e362–73. Available from: https://pubmed.ncbi.nlm.nih.gov/29277532/</w:t>
      </w:r>
    </w:p>
    <w:p w14:paraId="1A157D3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42. </w:t>
      </w:r>
      <w:r w:rsidRPr="00F7228F">
        <w:rPr>
          <w:rFonts w:ascii="Arial" w:hAnsi="Arial" w:cs="Arial"/>
          <w:noProof/>
        </w:rPr>
        <w:tab/>
        <w:t xml:space="preserve">Righy C, Turon R, De Freitas G, Japiassú AM, De Castro Faria Neto HC, Bozza M, et al. Hemoglobin metabolism by-products are associated with an inflammatory response in patients with hemorrhagic stroke. Rev Bras Ter intensiva [Internet]. 2018 Jan 1 [cited 2023 </w:t>
      </w:r>
      <w:r w:rsidRPr="00F7228F">
        <w:rPr>
          <w:rFonts w:ascii="Arial" w:hAnsi="Arial" w:cs="Arial"/>
          <w:noProof/>
        </w:rPr>
        <w:lastRenderedPageBreak/>
        <w:t>Jan 15];30(1):21–7. Available from: https://pubmed.ncbi.nlm.nih.gov/29742229/</w:t>
      </w:r>
    </w:p>
    <w:p w14:paraId="45727995"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43. </w:t>
      </w:r>
      <w:r w:rsidRPr="00F7228F">
        <w:rPr>
          <w:rFonts w:ascii="Arial" w:hAnsi="Arial" w:cs="Arial"/>
          <w:noProof/>
        </w:rPr>
        <w:tab/>
        <w:t>Savarraj JP, McGuire MF, Parsha K, Hergenroeder G, Bajgur S, Ahn S, et al. Disruption of thrombo-inflammatory response and activation of a distinct cytokine cluster after subarachnoid hemorrhage. Cytokine [Internet]. 2018 Nov 1 [cited 2023 Jan 15];111:334–41. Available from: https://pubmed.ncbi.nlm.nih.gov/30269030/</w:t>
      </w:r>
    </w:p>
    <w:p w14:paraId="53AF1C99"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44. </w:t>
      </w:r>
      <w:r w:rsidRPr="00F7228F">
        <w:rPr>
          <w:rFonts w:ascii="Arial" w:hAnsi="Arial" w:cs="Arial"/>
          <w:noProof/>
        </w:rPr>
        <w:tab/>
        <w:t>Savarraj J, Parsha K, Hergenroeder G, Ahn S, Chang TR, Kim DH, et al. Early Brain Injury Associated with Systemic Inflammation After Subarachnoid Hemorrhage. Neurocrit Care [Internet]. 2018 Apr 1 [cited 2023 Jan 15];28(2):203–11. Available from: https://pubmed.ncbi.nlm.nih.gov/29043545/</w:t>
      </w:r>
    </w:p>
    <w:p w14:paraId="7FE900C1"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45. </w:t>
      </w:r>
      <w:r w:rsidRPr="00F7228F">
        <w:rPr>
          <w:rFonts w:ascii="Arial" w:hAnsi="Arial" w:cs="Arial"/>
          <w:noProof/>
        </w:rPr>
        <w:tab/>
        <w:t>Wang L, Gao Z. Expression of MMP-9 and IL-6 in patients with subarachnoid hemorrhage and the clinical significance. Exp Ther Med [Internet]. 2018 Feb 1 [cited 2024 Feb 22];15(2):1510. Available from: /pmc/articles/PMC5774465/</w:t>
      </w:r>
    </w:p>
    <w:p w14:paraId="28CEF0E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46. </w:t>
      </w:r>
      <w:r w:rsidRPr="00F7228F">
        <w:rPr>
          <w:rFonts w:ascii="Arial" w:hAnsi="Arial" w:cs="Arial"/>
          <w:noProof/>
        </w:rPr>
        <w:tab/>
        <w:t>Ahn SH, Savarraj JPJ, Parsha K, Hergenroeder GW, Chang TR, Kim DH, et al. Inflammation in delayed ischemia and functional outcomes after subarachnoid hemorrhage. J Neuroinflammation [Internet]. 2019 Nov 11 [cited 2023 Jan 15];16(1). Available from: https://pubmed.ncbi.nlm.nih.gov/31711504/</w:t>
      </w:r>
    </w:p>
    <w:p w14:paraId="25FC0936"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47. </w:t>
      </w:r>
      <w:r w:rsidRPr="00F7228F">
        <w:rPr>
          <w:rFonts w:ascii="Arial" w:hAnsi="Arial" w:cs="Arial"/>
          <w:noProof/>
        </w:rPr>
        <w:tab/>
        <w:t>Al-Tamimi YZ, Bhargava D, Orsi NM, Teraifi A, Cummings M, Ekbote U V., et al. Compartmentalisation of the inflammatory response following aneurysmal subarachnoid haemorrhage. Cytokine [Internet]. 2019 Nov 1 [cited 2023 Jan 15];123. Available from: https://pubmed.ncbi.nlm.nih.gov/31323526/</w:t>
      </w:r>
    </w:p>
    <w:p w14:paraId="50FA20CD"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48. </w:t>
      </w:r>
      <w:r w:rsidRPr="00F7228F">
        <w:rPr>
          <w:rFonts w:ascii="Arial" w:hAnsi="Arial" w:cs="Arial"/>
          <w:noProof/>
        </w:rPr>
        <w:tab/>
        <w:t>Matsumoto A, Nakamura T, Shinomiya A, Kawakita K, Kawanishi M, Miyake K, et al. Histidine-rich Glycoprotein Could Be an Early Predictor of Vasospasm after Aneurysmal Subarachnoid Hemorrhage. Acta Med Okayama [Internet]. 2019 [cited 2023 Jan 15];73(1):29–39. Available from: https://pubmed.ncbi.nlm.nih.gov/30820052/</w:t>
      </w:r>
    </w:p>
    <w:p w14:paraId="26C93D8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49. </w:t>
      </w:r>
      <w:r w:rsidRPr="00F7228F">
        <w:rPr>
          <w:rFonts w:ascii="Arial" w:hAnsi="Arial" w:cs="Arial"/>
          <w:noProof/>
        </w:rPr>
        <w:tab/>
        <w:t>Rasmussen R, Bache S, Stavngaard T, Møller K. Plasma Levels of IL-6, IL-8, IL-10, ICAM-1, VCAM-1, IFNγ, and TNFα are not Associated with Delayed Cerebral Ischemia, Cerebral Vasospasm, or Clinical Outcome in Patients with Subarachnoid Hemorrhage. World Neurosurg [Internet]. 2019 Aug 1 [cited 2024 Feb 22];128:e1131–6. Available from: https://pubmed.ncbi.nlm.nih.gov/31121365/</w:t>
      </w:r>
    </w:p>
    <w:p w14:paraId="114B2557"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50. </w:t>
      </w:r>
      <w:r w:rsidRPr="00F7228F">
        <w:rPr>
          <w:rFonts w:ascii="Arial" w:hAnsi="Arial" w:cs="Arial"/>
          <w:noProof/>
        </w:rPr>
        <w:tab/>
        <w:t>Ridwan S, Greschus S, Boström J, Barrera J, Esche J, Zur B, et al. Spontaneous Aneurysmal Subarachnoid Hemorrhage and Related Cortisol and Immunologic Alterations: Impact on Patients’ Health-related Quality of Life. J Neurol Surg A Cent Eur Neurosurg [Internet]. 2019 [cited 2024 Feb 22];80(5):371–80. Available from: https://pubmed.ncbi.nlm.nih.gov/31272120/</w:t>
      </w:r>
    </w:p>
    <w:p w14:paraId="0AE4294A"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51. </w:t>
      </w:r>
      <w:r w:rsidRPr="00F7228F">
        <w:rPr>
          <w:rFonts w:ascii="Arial" w:hAnsi="Arial" w:cs="Arial"/>
          <w:noProof/>
        </w:rPr>
        <w:tab/>
        <w:t>Vlachogiannis P, Hillered L, Khalil F, Enblad P, Ronne-Engström E. Interleukin-6 Levels in Cerebrospinal Fluid and Plasma in Patients with Severe Spontaneous Subarachnoid Hemorrhage. World Neurosurg [Internet]. 2019 Feb 1 [cited 2023 Jan 15];122:e612–8. Available from: https://pubmed.ncbi.nlm.nih.gov/30814021/</w:t>
      </w:r>
    </w:p>
    <w:p w14:paraId="6E10B593"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52. </w:t>
      </w:r>
      <w:r w:rsidRPr="00F7228F">
        <w:rPr>
          <w:rFonts w:ascii="Arial" w:hAnsi="Arial" w:cs="Arial"/>
          <w:noProof/>
        </w:rPr>
        <w:tab/>
        <w:t>Chaudhry SR, Kahlert UD, Kinfe TM, Lamprecht A, Niemelä M, Hänggi D, et al. Elevated Systemic IL-10 Levels Indicate Immunodepression Leading to Nosocomial Infections after Aneurysmal Subarachnoid Hemorrhage (SAH) in Patients. Int J Mol Sci [Internet]. 2020 Mar 1 [cited 2024 Feb 22];21(5). Available from: https://pubmed.ncbi.nlm.nih.gov/32106601/</w:t>
      </w:r>
    </w:p>
    <w:p w14:paraId="1212C35D"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53. </w:t>
      </w:r>
      <w:r w:rsidRPr="00F7228F">
        <w:rPr>
          <w:rFonts w:ascii="Arial" w:hAnsi="Arial" w:cs="Arial"/>
          <w:noProof/>
        </w:rPr>
        <w:tab/>
        <w:t>Coulibaly AP, Gartman WT, Swank V, Gomes JA, Ruozhuo L, DeBacker J, et al. RAR-Related Orphan Receptor Gamma T (RoRγt)-Related Cytokines Play a Role in Neutrophil Infiltration of the Central Nervous System After Subarachnoid Hemorrhage. Neurocrit Care [Internet]. 2020 Aug 1 [cited 2023 Jan 15];33(1):140–51. Available from: https://pubmed.ncbi.nlm.nih.gov/31768758/</w:t>
      </w:r>
    </w:p>
    <w:p w14:paraId="74DD7D1B"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54. </w:t>
      </w:r>
      <w:r w:rsidRPr="00F7228F">
        <w:rPr>
          <w:rFonts w:ascii="Arial" w:hAnsi="Arial" w:cs="Arial"/>
          <w:noProof/>
        </w:rPr>
        <w:tab/>
        <w:t xml:space="preserve">Moraes L, Trias N, Brugnini A, Grille P, Lens D, Biestro A, et al. TH17/Treg imbalance and IL-17A increase after severe aneurysmal subarachnoid hemorrhage. J Neuroimmunol [Internet]. 2020 Sep 15 [cited 2023 Jan 15];346. Available from: </w:t>
      </w:r>
      <w:r w:rsidRPr="00F7228F">
        <w:rPr>
          <w:rFonts w:ascii="Arial" w:hAnsi="Arial" w:cs="Arial"/>
          <w:noProof/>
        </w:rPr>
        <w:lastRenderedPageBreak/>
        <w:t>https://pubmed.ncbi.nlm.nih.gov/32623101/</w:t>
      </w:r>
    </w:p>
    <w:p w14:paraId="70156918"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55. </w:t>
      </w:r>
      <w:r w:rsidRPr="00F7228F">
        <w:rPr>
          <w:rFonts w:ascii="Arial" w:hAnsi="Arial" w:cs="Arial"/>
          <w:noProof/>
        </w:rPr>
        <w:tab/>
        <w:t>Gusdon AM, Savarraj J, Zhu L, Pandit PKT, Doré S, McBride DW, et al. Haptoglobin Genotype Affects Inflammation after Aneurysmal Subarachnoid Hemorrhage. Curr Neurovasc Res [Internet]. 2020 Dec 15 [cited 2023 Jan 15];17(5):652–9. Available from: https://pubmed.ncbi.nlm.nih.gov/33319684/</w:t>
      </w:r>
    </w:p>
    <w:p w14:paraId="006DBA54"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56. </w:t>
      </w:r>
      <w:r w:rsidRPr="00F7228F">
        <w:rPr>
          <w:rFonts w:ascii="Arial" w:hAnsi="Arial" w:cs="Arial"/>
          <w:noProof/>
        </w:rPr>
        <w:tab/>
        <w:t>Yang X, Peng J, Pang J, Wan W, Zhong C, Peng T, et al. The Association Between Serum Macrophage Migration Inhibitory Factor and Delayed Cerebral Ischemia After Aneurysmal Subarachnoid Hemorrhage. Neurotox Res [Internet]. 2020 Feb 1 [cited 2023 Jan 15];37(2):397–405. Available from: https://pubmed.ncbi.nlm.nih.gov/31267487/</w:t>
      </w:r>
    </w:p>
    <w:p w14:paraId="0C91DEB1"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57. </w:t>
      </w:r>
      <w:r w:rsidRPr="00F7228F">
        <w:rPr>
          <w:rFonts w:ascii="Arial" w:hAnsi="Arial" w:cs="Arial"/>
          <w:noProof/>
        </w:rPr>
        <w:tab/>
        <w:t>Bjerkne Wenneberg S, Odenstedt Hergès H, Svedin P, Mallard C, Karlsson T, Adiels M, et al. Association between inflammatory response and outcome after subarachnoid haemorrhage. Acta Neurol Scand [Internet]. 2021 Feb 1 [cited 2023 Jan 15];143(2):195–205. Available from: https://pubmed.ncbi.nlm.nih.gov/32990943/</w:t>
      </w:r>
    </w:p>
    <w:p w14:paraId="5318EC4A"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58. </w:t>
      </w:r>
      <w:r w:rsidRPr="00F7228F">
        <w:rPr>
          <w:rFonts w:ascii="Arial" w:hAnsi="Arial" w:cs="Arial"/>
          <w:noProof/>
        </w:rPr>
        <w:tab/>
        <w:t>Ridwan S, Grote A, Simon M. Interleukin 6 in cerebrospinal fluid is a biomarker for delayed cerebral ischemia (DCI) related infarctions after aneurysmal subarachnoid hemorrhage. Sci Rep [Internet]. 2021 Dec 1 [cited 2023 Jan 15];11(1):12. Available from: /pmc/articles/PMC7794326/</w:t>
      </w:r>
    </w:p>
    <w:p w14:paraId="7E2DBCDE"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59. </w:t>
      </w:r>
      <w:r w:rsidRPr="00F7228F">
        <w:rPr>
          <w:rFonts w:ascii="Arial" w:hAnsi="Arial" w:cs="Arial"/>
          <w:noProof/>
        </w:rPr>
        <w:tab/>
        <w:t>Luo C, Yao J, Bi H, Li Z, Li J, Xue G, et al. Clinical Value of Inflammatory Cytokines in Patients with Aneurysmal Subarachnoid Hemorrhage. Clin Interv Aging [Internet]. 2022 [cited 2023 May 2];17:615. Available from: /pmc/articles/PMC9056097/</w:t>
      </w:r>
    </w:p>
    <w:p w14:paraId="3BB37B0C"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60. </w:t>
      </w:r>
      <w:r w:rsidRPr="00F7228F">
        <w:rPr>
          <w:rFonts w:ascii="Arial" w:hAnsi="Arial" w:cs="Arial"/>
          <w:noProof/>
        </w:rPr>
        <w:tab/>
        <w:t>Xu L, Wang W, Lai N, Tong J, Wang G, Tang D. Association between pro-inflammatory cytokines in cerebrospinal fluid and headache in patients with aneurysmal subarachnoid hemorrhage. J Neuroimmunol [Internet]. 2022 May 15 [cited 2024 Feb 22];366. Available from: https://pubmed.ncbi.nlm.nih.gov/35279426/</w:t>
      </w:r>
    </w:p>
    <w:p w14:paraId="6F845280"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61. </w:t>
      </w:r>
      <w:r w:rsidRPr="00F7228F">
        <w:rPr>
          <w:rFonts w:ascii="Arial" w:hAnsi="Arial" w:cs="Arial"/>
          <w:noProof/>
        </w:rPr>
        <w:tab/>
        <w:t>Hoadley ME, Galea J, Singh N, Hulme S, Ajao DO, Rothwell N, et al. The role of cortisol in immunosuppression in subarachnoid haemorrhage. Eur J Med Res [Internet]. 2023 Dec 1 [cited 2024 Feb 22];28(1). Available from: https://pubmed.ncbi.nlm.nih.gov/37644600/</w:t>
      </w:r>
    </w:p>
    <w:p w14:paraId="425DDBDB"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62. </w:t>
      </w:r>
      <w:r w:rsidRPr="00F7228F">
        <w:rPr>
          <w:rFonts w:ascii="Arial" w:hAnsi="Arial" w:cs="Arial"/>
          <w:noProof/>
        </w:rPr>
        <w:tab/>
        <w:t>Fischer I, Chaudhry SR, Hänggi D, Muhammad S. Clustering of serum biomarkers involved in post-aneurysmal subarachnoid hemorrhage (aSAH) complications. Neurosurg Rev [Internet]. 2023 Dec 1 [cited 2024 Feb 22];46(1):63. Available from: /pmc/articles/PMC9981718/</w:t>
      </w:r>
    </w:p>
    <w:p w14:paraId="25C83501" w14:textId="77777777" w:rsidR="008507E1" w:rsidRPr="00F7228F" w:rsidRDefault="008507E1" w:rsidP="008507E1">
      <w:pPr>
        <w:widowControl w:val="0"/>
        <w:autoSpaceDE w:val="0"/>
        <w:autoSpaceDN w:val="0"/>
        <w:adjustRightInd w:val="0"/>
        <w:spacing w:after="0" w:line="240" w:lineRule="auto"/>
        <w:ind w:left="640" w:hanging="640"/>
        <w:rPr>
          <w:rFonts w:ascii="Arial" w:hAnsi="Arial" w:cs="Arial"/>
          <w:noProof/>
        </w:rPr>
      </w:pPr>
      <w:r w:rsidRPr="00F7228F">
        <w:rPr>
          <w:rFonts w:ascii="Arial" w:hAnsi="Arial" w:cs="Arial"/>
          <w:noProof/>
        </w:rPr>
        <w:t xml:space="preserve">63. </w:t>
      </w:r>
      <w:r w:rsidRPr="00F7228F">
        <w:rPr>
          <w:rFonts w:ascii="Arial" w:hAnsi="Arial" w:cs="Arial"/>
          <w:noProof/>
        </w:rPr>
        <w:tab/>
        <w:t>Vlachogiannis P, Hillered L, Enblad P, Ronne-Engström E. Elevated levels of several chemokines in the cerebrospinal fluid of patients with subarachnoid hemorrhage are associated with worse clinical outcome. PLoS One [Internet]. 2023 Mar 1 [cited 2023 Nov 22];18(3). Available from: https://pubmed.ncbi.nlm.nih.gov/36893189/</w:t>
      </w:r>
    </w:p>
    <w:p w14:paraId="5B6D82C9" w14:textId="680AFB40" w:rsidR="00BC6E97" w:rsidRPr="00541DE1" w:rsidRDefault="00BC6E97" w:rsidP="000B242D">
      <w:pPr>
        <w:spacing w:after="0"/>
        <w:rPr>
          <w:rFonts w:ascii="Arial" w:hAnsi="Arial" w:cs="Arial"/>
          <w:b/>
          <w:bCs/>
          <w:iCs/>
        </w:rPr>
      </w:pPr>
      <w:r w:rsidRPr="00F7228F">
        <w:rPr>
          <w:rFonts w:ascii="Arial" w:hAnsi="Arial" w:cs="Arial"/>
          <w:b/>
          <w:bCs/>
        </w:rPr>
        <w:fldChar w:fldCharType="end"/>
      </w:r>
    </w:p>
    <w:p w14:paraId="4F0D4B40" w14:textId="2F2898CD" w:rsidR="00236A5B" w:rsidRPr="00236A5B" w:rsidRDefault="00236A5B" w:rsidP="000B242D">
      <w:pPr>
        <w:spacing w:after="0"/>
      </w:pPr>
    </w:p>
    <w:sectPr w:rsidR="00236A5B" w:rsidRPr="00236A5B" w:rsidSect="00CC00D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87343" w14:textId="77777777" w:rsidR="00504E68" w:rsidRDefault="00504E68">
      <w:pPr>
        <w:spacing w:after="0" w:line="240" w:lineRule="auto"/>
      </w:pPr>
      <w:r>
        <w:separator/>
      </w:r>
    </w:p>
  </w:endnote>
  <w:endnote w:type="continuationSeparator" w:id="0">
    <w:p w14:paraId="2A5C53B8" w14:textId="77777777" w:rsidR="00504E68" w:rsidRDefault="00504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29581" w14:textId="77777777" w:rsidR="00504E68" w:rsidRDefault="00504E68">
      <w:pPr>
        <w:spacing w:after="0" w:line="240" w:lineRule="auto"/>
      </w:pPr>
      <w:r>
        <w:separator/>
      </w:r>
    </w:p>
  </w:footnote>
  <w:footnote w:type="continuationSeparator" w:id="0">
    <w:p w14:paraId="15CF76C4" w14:textId="77777777" w:rsidR="00504E68" w:rsidRDefault="00504E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14732A"/>
    <w:multiLevelType w:val="hybridMultilevel"/>
    <w:tmpl w:val="9C087F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32838AF"/>
    <w:multiLevelType w:val="hybridMultilevel"/>
    <w:tmpl w:val="BC162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75959810">
    <w:abstractNumId w:val="0"/>
  </w:num>
  <w:num w:numId="2" w16cid:durableId="874583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C0C"/>
    <w:rsid w:val="000058CE"/>
    <w:rsid w:val="00013A3A"/>
    <w:rsid w:val="00035431"/>
    <w:rsid w:val="00041D56"/>
    <w:rsid w:val="00051AE0"/>
    <w:rsid w:val="00082C23"/>
    <w:rsid w:val="000B242D"/>
    <w:rsid w:val="000D37D1"/>
    <w:rsid w:val="000D61F5"/>
    <w:rsid w:val="000F098F"/>
    <w:rsid w:val="000F60FD"/>
    <w:rsid w:val="001051C5"/>
    <w:rsid w:val="00126C3B"/>
    <w:rsid w:val="0017635D"/>
    <w:rsid w:val="00184E5E"/>
    <w:rsid w:val="00191797"/>
    <w:rsid w:val="001A0768"/>
    <w:rsid w:val="001B566F"/>
    <w:rsid w:val="001B5C67"/>
    <w:rsid w:val="001B5CE2"/>
    <w:rsid w:val="001D419F"/>
    <w:rsid w:val="001E102B"/>
    <w:rsid w:val="0022314C"/>
    <w:rsid w:val="0022764E"/>
    <w:rsid w:val="00236A5B"/>
    <w:rsid w:val="00255D29"/>
    <w:rsid w:val="00256495"/>
    <w:rsid w:val="00294C7E"/>
    <w:rsid w:val="002A1D3D"/>
    <w:rsid w:val="002A6994"/>
    <w:rsid w:val="002B3476"/>
    <w:rsid w:val="002C16EC"/>
    <w:rsid w:val="002D5343"/>
    <w:rsid w:val="002E0C03"/>
    <w:rsid w:val="002E3FCD"/>
    <w:rsid w:val="00380021"/>
    <w:rsid w:val="0038796B"/>
    <w:rsid w:val="003A1473"/>
    <w:rsid w:val="003B6CA5"/>
    <w:rsid w:val="003C075C"/>
    <w:rsid w:val="003C69C5"/>
    <w:rsid w:val="003D2578"/>
    <w:rsid w:val="003E23F1"/>
    <w:rsid w:val="003E4A31"/>
    <w:rsid w:val="00401689"/>
    <w:rsid w:val="00436D6C"/>
    <w:rsid w:val="00446EFC"/>
    <w:rsid w:val="00452DE6"/>
    <w:rsid w:val="004A0989"/>
    <w:rsid w:val="004D28B1"/>
    <w:rsid w:val="004E4EF4"/>
    <w:rsid w:val="004F0A48"/>
    <w:rsid w:val="004F1F2F"/>
    <w:rsid w:val="00504E68"/>
    <w:rsid w:val="005115A2"/>
    <w:rsid w:val="005338E5"/>
    <w:rsid w:val="0055478D"/>
    <w:rsid w:val="00573111"/>
    <w:rsid w:val="005E5BD1"/>
    <w:rsid w:val="005F26E6"/>
    <w:rsid w:val="0060149B"/>
    <w:rsid w:val="00612F44"/>
    <w:rsid w:val="00652344"/>
    <w:rsid w:val="00653BA5"/>
    <w:rsid w:val="00660545"/>
    <w:rsid w:val="0069329D"/>
    <w:rsid w:val="006B3577"/>
    <w:rsid w:val="006C13E7"/>
    <w:rsid w:val="006E4BF9"/>
    <w:rsid w:val="007037A0"/>
    <w:rsid w:val="00745AA9"/>
    <w:rsid w:val="00756A9E"/>
    <w:rsid w:val="007732C4"/>
    <w:rsid w:val="00773B19"/>
    <w:rsid w:val="00777B6E"/>
    <w:rsid w:val="00795404"/>
    <w:rsid w:val="007B2CCB"/>
    <w:rsid w:val="007C68F0"/>
    <w:rsid w:val="007E2516"/>
    <w:rsid w:val="007E6640"/>
    <w:rsid w:val="008030EE"/>
    <w:rsid w:val="0080651D"/>
    <w:rsid w:val="00841EA3"/>
    <w:rsid w:val="00847FAF"/>
    <w:rsid w:val="008507E1"/>
    <w:rsid w:val="0087170C"/>
    <w:rsid w:val="00881644"/>
    <w:rsid w:val="00881CCA"/>
    <w:rsid w:val="00890244"/>
    <w:rsid w:val="00890AD9"/>
    <w:rsid w:val="008C09BB"/>
    <w:rsid w:val="008F1376"/>
    <w:rsid w:val="008F3998"/>
    <w:rsid w:val="008F3C0C"/>
    <w:rsid w:val="00914B45"/>
    <w:rsid w:val="00915CAF"/>
    <w:rsid w:val="00923814"/>
    <w:rsid w:val="00934EEC"/>
    <w:rsid w:val="009600B9"/>
    <w:rsid w:val="0098795E"/>
    <w:rsid w:val="009A34AB"/>
    <w:rsid w:val="00A0213A"/>
    <w:rsid w:val="00A20E83"/>
    <w:rsid w:val="00A446FF"/>
    <w:rsid w:val="00A567FE"/>
    <w:rsid w:val="00AA2C08"/>
    <w:rsid w:val="00AA72C0"/>
    <w:rsid w:val="00AF6FC8"/>
    <w:rsid w:val="00B07120"/>
    <w:rsid w:val="00B11053"/>
    <w:rsid w:val="00B40279"/>
    <w:rsid w:val="00B4702E"/>
    <w:rsid w:val="00B57F33"/>
    <w:rsid w:val="00B84EC4"/>
    <w:rsid w:val="00BA7508"/>
    <w:rsid w:val="00BB6DC3"/>
    <w:rsid w:val="00BC57F4"/>
    <w:rsid w:val="00BC6E97"/>
    <w:rsid w:val="00BF49AD"/>
    <w:rsid w:val="00C00993"/>
    <w:rsid w:val="00C32674"/>
    <w:rsid w:val="00C32B95"/>
    <w:rsid w:val="00C7053C"/>
    <w:rsid w:val="00C70D15"/>
    <w:rsid w:val="00C71C75"/>
    <w:rsid w:val="00C763D5"/>
    <w:rsid w:val="00C76BBF"/>
    <w:rsid w:val="00CB3BA5"/>
    <w:rsid w:val="00CC00D1"/>
    <w:rsid w:val="00CC38FD"/>
    <w:rsid w:val="00CD7888"/>
    <w:rsid w:val="00CE3B05"/>
    <w:rsid w:val="00CF14A8"/>
    <w:rsid w:val="00D057D6"/>
    <w:rsid w:val="00D10BDC"/>
    <w:rsid w:val="00D333FD"/>
    <w:rsid w:val="00D42B8A"/>
    <w:rsid w:val="00D50FA7"/>
    <w:rsid w:val="00DD6E0C"/>
    <w:rsid w:val="00DE3A60"/>
    <w:rsid w:val="00DF2299"/>
    <w:rsid w:val="00E01B39"/>
    <w:rsid w:val="00E11457"/>
    <w:rsid w:val="00E21331"/>
    <w:rsid w:val="00E242F1"/>
    <w:rsid w:val="00E2585B"/>
    <w:rsid w:val="00E25AD1"/>
    <w:rsid w:val="00E33987"/>
    <w:rsid w:val="00E77318"/>
    <w:rsid w:val="00E870DB"/>
    <w:rsid w:val="00E92F1F"/>
    <w:rsid w:val="00E96D51"/>
    <w:rsid w:val="00EA7D5A"/>
    <w:rsid w:val="00EB401D"/>
    <w:rsid w:val="00EB74A3"/>
    <w:rsid w:val="00ED4BBA"/>
    <w:rsid w:val="00EE3555"/>
    <w:rsid w:val="00EF24B9"/>
    <w:rsid w:val="00EF365E"/>
    <w:rsid w:val="00F12F93"/>
    <w:rsid w:val="00F15754"/>
    <w:rsid w:val="00F24105"/>
    <w:rsid w:val="00F30705"/>
    <w:rsid w:val="00F345C8"/>
    <w:rsid w:val="00F51CED"/>
    <w:rsid w:val="00F523E5"/>
    <w:rsid w:val="00F544A0"/>
    <w:rsid w:val="00F7228F"/>
    <w:rsid w:val="00F86B78"/>
    <w:rsid w:val="00FB28B2"/>
    <w:rsid w:val="00FB7C91"/>
    <w:rsid w:val="00FC2C0E"/>
    <w:rsid w:val="00FD0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315437"/>
  <w15:chartTrackingRefBased/>
  <w15:docId w15:val="{5B00D0D6-D48A-4467-AC05-C9E84CB9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3C0C"/>
    <w:rPr>
      <w:rFonts w:ascii="Calibri" w:eastAsia="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F3C0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81644"/>
    <w:pPr>
      <w:ind w:left="720"/>
      <w:contextualSpacing/>
    </w:pPr>
  </w:style>
  <w:style w:type="character" w:styleId="PlaceholderText">
    <w:name w:val="Placeholder Text"/>
    <w:basedOn w:val="DefaultParagraphFont"/>
    <w:uiPriority w:val="99"/>
    <w:semiHidden/>
    <w:rsid w:val="00881644"/>
    <w:rPr>
      <w:color w:val="808080"/>
    </w:rPr>
  </w:style>
  <w:style w:type="paragraph" w:styleId="Header">
    <w:name w:val="header"/>
    <w:basedOn w:val="Normal"/>
    <w:link w:val="HeaderChar"/>
    <w:uiPriority w:val="99"/>
    <w:unhideWhenUsed/>
    <w:rsid w:val="00881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1644"/>
    <w:rPr>
      <w:rFonts w:ascii="Calibri" w:eastAsia="Calibri" w:hAnsi="Calibri" w:cs="Calibri"/>
      <w:kern w:val="0"/>
      <w:lang w:eastAsia="en-GB"/>
      <w14:ligatures w14:val="none"/>
    </w:rPr>
  </w:style>
  <w:style w:type="paragraph" w:styleId="Footer">
    <w:name w:val="footer"/>
    <w:basedOn w:val="Normal"/>
    <w:link w:val="FooterChar"/>
    <w:uiPriority w:val="99"/>
    <w:unhideWhenUsed/>
    <w:rsid w:val="00881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1644"/>
    <w:rPr>
      <w:rFonts w:ascii="Calibri" w:eastAsia="Calibri" w:hAnsi="Calibri" w:cs="Calibri"/>
      <w:kern w:val="0"/>
      <w:lang w:eastAsia="en-GB"/>
      <w14:ligatures w14:val="none"/>
    </w:rPr>
  </w:style>
  <w:style w:type="paragraph" w:styleId="Revision">
    <w:name w:val="Revision"/>
    <w:hidden/>
    <w:uiPriority w:val="99"/>
    <w:semiHidden/>
    <w:rsid w:val="00881644"/>
    <w:pPr>
      <w:spacing w:after="0" w:line="240" w:lineRule="auto"/>
    </w:pPr>
    <w:rPr>
      <w:rFonts w:ascii="Calibri" w:eastAsia="Calibri" w:hAnsi="Calibri" w:cs="Calibri"/>
      <w:kern w:val="0"/>
      <w:lang w:eastAsia="en-GB"/>
      <w14:ligatures w14:val="none"/>
    </w:rPr>
  </w:style>
  <w:style w:type="character" w:styleId="CommentReference">
    <w:name w:val="annotation reference"/>
    <w:basedOn w:val="DefaultParagraphFont"/>
    <w:uiPriority w:val="99"/>
    <w:semiHidden/>
    <w:unhideWhenUsed/>
    <w:rsid w:val="00881644"/>
    <w:rPr>
      <w:sz w:val="16"/>
      <w:szCs w:val="16"/>
    </w:rPr>
  </w:style>
  <w:style w:type="paragraph" w:styleId="CommentText">
    <w:name w:val="annotation text"/>
    <w:basedOn w:val="Normal"/>
    <w:link w:val="CommentTextChar"/>
    <w:uiPriority w:val="99"/>
    <w:unhideWhenUsed/>
    <w:rsid w:val="00881644"/>
    <w:pPr>
      <w:spacing w:line="240" w:lineRule="auto"/>
    </w:pPr>
    <w:rPr>
      <w:sz w:val="20"/>
      <w:szCs w:val="20"/>
    </w:rPr>
  </w:style>
  <w:style w:type="character" w:customStyle="1" w:styleId="CommentTextChar">
    <w:name w:val="Comment Text Char"/>
    <w:basedOn w:val="DefaultParagraphFont"/>
    <w:link w:val="CommentText"/>
    <w:uiPriority w:val="99"/>
    <w:rsid w:val="00881644"/>
    <w:rPr>
      <w:rFonts w:ascii="Calibri" w:eastAsia="Calibri" w:hAnsi="Calibri" w:cs="Calibri"/>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881644"/>
    <w:rPr>
      <w:b/>
      <w:bCs/>
    </w:rPr>
  </w:style>
  <w:style w:type="character" w:customStyle="1" w:styleId="CommentSubjectChar">
    <w:name w:val="Comment Subject Char"/>
    <w:basedOn w:val="CommentTextChar"/>
    <w:link w:val="CommentSubject"/>
    <w:uiPriority w:val="99"/>
    <w:semiHidden/>
    <w:rsid w:val="00881644"/>
    <w:rPr>
      <w:rFonts w:ascii="Calibri" w:eastAsia="Calibri" w:hAnsi="Calibri" w:cs="Calibri"/>
      <w:b/>
      <w:bCs/>
      <w:kern w:val="0"/>
      <w:sz w:val="20"/>
      <w:szCs w:val="20"/>
      <w:lang w:eastAsia="en-GB"/>
      <w14:ligatures w14:val="none"/>
    </w:rPr>
  </w:style>
  <w:style w:type="character" w:styleId="Hyperlink">
    <w:name w:val="Hyperlink"/>
    <w:basedOn w:val="DefaultParagraphFont"/>
    <w:uiPriority w:val="99"/>
    <w:unhideWhenUsed/>
    <w:rsid w:val="00881644"/>
    <w:rPr>
      <w:color w:val="0563C1" w:themeColor="hyperlink"/>
      <w:u w:val="single"/>
    </w:rPr>
  </w:style>
  <w:style w:type="character" w:styleId="UnresolvedMention">
    <w:name w:val="Unresolved Mention"/>
    <w:basedOn w:val="DefaultParagraphFont"/>
    <w:uiPriority w:val="99"/>
    <w:semiHidden/>
    <w:unhideWhenUsed/>
    <w:rsid w:val="00881644"/>
    <w:rPr>
      <w:color w:val="605E5C"/>
      <w:shd w:val="clear" w:color="auto" w:fill="E1DFDD"/>
    </w:rPr>
  </w:style>
  <w:style w:type="character" w:customStyle="1" w:styleId="cf01">
    <w:name w:val="cf01"/>
    <w:basedOn w:val="DefaultParagraphFont"/>
    <w:rsid w:val="004F1F2F"/>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236A5B"/>
    <w:rPr>
      <w:color w:val="605E5C"/>
      <w:shd w:val="clear" w:color="auto" w:fill="E1DFDD"/>
    </w:rPr>
  </w:style>
  <w:style w:type="paragraph" w:styleId="BalloonText">
    <w:name w:val="Balloon Text"/>
    <w:basedOn w:val="Normal"/>
    <w:link w:val="BalloonTextChar"/>
    <w:uiPriority w:val="99"/>
    <w:semiHidden/>
    <w:unhideWhenUsed/>
    <w:rsid w:val="00236A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A5B"/>
    <w:rPr>
      <w:rFonts w:ascii="Segoe UI" w:eastAsia="Calibri" w:hAnsi="Segoe UI" w:cs="Segoe UI"/>
      <w:kern w:val="0"/>
      <w:sz w:val="18"/>
      <w:szCs w:val="18"/>
      <w:lang w:eastAsia="en-GB"/>
      <w14:ligatures w14:val="none"/>
    </w:rPr>
  </w:style>
  <w:style w:type="paragraph" w:styleId="NormalWeb">
    <w:name w:val="Normal (Web)"/>
    <w:basedOn w:val="Normal"/>
    <w:uiPriority w:val="99"/>
    <w:unhideWhenUsed/>
    <w:rsid w:val="00236A5B"/>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table" w:styleId="PlainTable1">
    <w:name w:val="Plain Table 1"/>
    <w:basedOn w:val="TableNormal"/>
    <w:uiPriority w:val="41"/>
    <w:rsid w:val="00236A5B"/>
    <w:pPr>
      <w:spacing w:after="0" w:line="240" w:lineRule="auto"/>
    </w:pPr>
    <w:rPr>
      <w:kern w:val="0"/>
      <w:sz w:val="24"/>
      <w:szCs w:val="24"/>
      <w:lang w:val="en-US"/>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pple-converted-space">
    <w:name w:val="apple-converted-space"/>
    <w:basedOn w:val="DefaultParagraphFont"/>
    <w:rsid w:val="00236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06990">
      <w:bodyDiv w:val="1"/>
      <w:marLeft w:val="0"/>
      <w:marRight w:val="0"/>
      <w:marTop w:val="0"/>
      <w:marBottom w:val="0"/>
      <w:divBdr>
        <w:top w:val="none" w:sz="0" w:space="0" w:color="auto"/>
        <w:left w:val="none" w:sz="0" w:space="0" w:color="auto"/>
        <w:bottom w:val="none" w:sz="0" w:space="0" w:color="auto"/>
        <w:right w:val="none" w:sz="0" w:space="0" w:color="auto"/>
      </w:divBdr>
    </w:div>
    <w:div w:id="275019897">
      <w:bodyDiv w:val="1"/>
      <w:marLeft w:val="0"/>
      <w:marRight w:val="0"/>
      <w:marTop w:val="0"/>
      <w:marBottom w:val="0"/>
      <w:divBdr>
        <w:top w:val="none" w:sz="0" w:space="0" w:color="auto"/>
        <w:left w:val="none" w:sz="0" w:space="0" w:color="auto"/>
        <w:bottom w:val="none" w:sz="0" w:space="0" w:color="auto"/>
        <w:right w:val="none" w:sz="0" w:space="0" w:color="auto"/>
      </w:divBdr>
    </w:div>
    <w:div w:id="532689929">
      <w:bodyDiv w:val="1"/>
      <w:marLeft w:val="0"/>
      <w:marRight w:val="0"/>
      <w:marTop w:val="0"/>
      <w:marBottom w:val="0"/>
      <w:divBdr>
        <w:top w:val="none" w:sz="0" w:space="0" w:color="auto"/>
        <w:left w:val="none" w:sz="0" w:space="0" w:color="auto"/>
        <w:bottom w:val="none" w:sz="0" w:space="0" w:color="auto"/>
        <w:right w:val="none" w:sz="0" w:space="0" w:color="auto"/>
      </w:divBdr>
    </w:div>
    <w:div w:id="67970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25C33-16CD-45D8-8840-D6238E30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83410</Words>
  <Characters>447918</Characters>
  <Application>Microsoft Office Word</Application>
  <DocSecurity>0</DocSecurity>
  <Lines>16589</Lines>
  <Paragraphs>2984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Soham Bandyopadhyay</dc:creator>
  <cp:keywords/>
  <dc:description/>
  <cp:lastModifiedBy>Soham Bandyopadhyay</cp:lastModifiedBy>
  <cp:revision>4</cp:revision>
  <dcterms:created xsi:type="dcterms:W3CDTF">2024-12-24T17:39:00Z</dcterms:created>
  <dcterms:modified xsi:type="dcterms:W3CDTF">2025-02-25T07:12:00Z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78a67771-fd7d-45ad-b3b9-6be34d4bbb98</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 6th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http://www.zotero.org/styles/ieee</vt:lpwstr>
  </property>
  <property fmtid="{D5CDD505-2E9C-101B-9397-08002B2CF9AE}" pid="12" name="Mendeley Recent Style Name 4_1">
    <vt:lpwstr>IEEE</vt:lpwstr>
  </property>
  <property fmtid="{D5CDD505-2E9C-101B-9397-08002B2CF9AE}" pid="13" name="Mendeley Recent Style Id 5_1">
    <vt:lpwstr>http://www.zotero.org/styles/modern-humanities-research-association</vt:lpwstr>
  </property>
  <property fmtid="{D5CDD505-2E9C-101B-9397-08002B2CF9AE}" pid="14" name="Mendeley Recent Style Name 5_1">
    <vt:lpwstr>Modern Humanities Research Association 3rd edition (note with bibliography)</vt:lpwstr>
  </property>
  <property fmtid="{D5CDD505-2E9C-101B-9397-08002B2CF9AE}" pid="15" name="Mendeley Recent Style Id 6_1">
    <vt:lpwstr>http://www.zotero.org/styles/multidisciplinary-digital-publishing-institute</vt:lpwstr>
  </property>
  <property fmtid="{D5CDD505-2E9C-101B-9397-08002B2CF9AE}" pid="16" name="Mendeley Recent Style Name 6_1">
    <vt:lpwstr>Multidisciplinary Digital Publishing Institute</vt:lpwstr>
  </property>
  <property fmtid="{D5CDD505-2E9C-101B-9397-08002B2CF9AE}" pid="17" name="Mendeley Recent Style Id 7_1">
    <vt:lpwstr>http://www.zotero.org/styles/nature</vt:lpwstr>
  </property>
  <property fmtid="{D5CDD505-2E9C-101B-9397-08002B2CF9AE}" pid="18" name="Mendeley Recent Style Name 7_1">
    <vt:lpwstr>Nature</vt:lpwstr>
  </property>
  <property fmtid="{D5CDD505-2E9C-101B-9397-08002B2CF9AE}" pid="19" name="Mendeley Recent Style Id 8_1">
    <vt:lpwstr>http://www.zotero.org/styles/the-lancet</vt:lpwstr>
  </property>
  <property fmtid="{D5CDD505-2E9C-101B-9397-08002B2CF9AE}" pid="20" name="Mendeley Recent Style Name 8_1">
    <vt:lpwstr>The Lancet</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21fed243-9667-36ef-bdb9-a67a39e8ee32</vt:lpwstr>
  </property>
  <property fmtid="{D5CDD505-2E9C-101B-9397-08002B2CF9AE}" pid="25" name="Mendeley Citation Style_1">
    <vt:lpwstr>http://www.zotero.org/styles/vancouver</vt:lpwstr>
  </property>
</Properties>
</file>