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D76C51" w14:textId="2E1E0ECE" w:rsidR="00C46AC5" w:rsidRPr="00462EBF" w:rsidRDefault="00352B6D" w:rsidP="007B1AC7">
      <w:pPr>
        <w:jc w:val="center"/>
        <w:rPr>
          <w:rFonts w:asciiTheme="majorHAnsi" w:hAnsiTheme="majorHAnsi"/>
          <w:b/>
          <w:bCs/>
        </w:rPr>
      </w:pPr>
      <w:r w:rsidRPr="00462EBF">
        <w:rPr>
          <w:rFonts w:asciiTheme="majorHAnsi" w:hAnsiTheme="majorHAnsi"/>
          <w:b/>
          <w:bCs/>
        </w:rPr>
        <w:t>Supplemental Material</w:t>
      </w:r>
    </w:p>
    <w:p w14:paraId="522AB161" w14:textId="4AE3B4B9" w:rsidR="00352B6D" w:rsidRDefault="00352B6D"/>
    <w:p w14:paraId="712C7B19" w14:textId="7DB7A587" w:rsidR="00375485" w:rsidRDefault="00462EBF" w:rsidP="00375485">
      <w:pPr>
        <w:pStyle w:val="NormalWeb"/>
        <w:rPr>
          <w:rStyle w:val="Strong"/>
          <w:rFonts w:ascii="Calibri" w:hAnsi="Calibri" w:cs="Calibri"/>
        </w:rPr>
      </w:pPr>
      <w:r>
        <w:rPr>
          <w:rStyle w:val="Strong"/>
          <w:rFonts w:ascii="Calibri" w:hAnsi="Calibri" w:cs="Calibri"/>
        </w:rPr>
        <w:t>Methods:</w:t>
      </w:r>
    </w:p>
    <w:p w14:paraId="735629A1" w14:textId="72C27612" w:rsidR="007B1AC7" w:rsidRDefault="007B1AC7" w:rsidP="00375485">
      <w:pPr>
        <w:spacing w:after="0" w:line="240" w:lineRule="auto"/>
        <w:rPr>
          <w:rFonts w:ascii="Calibri" w:eastAsia="Times New Roman" w:hAnsi="Calibri" w:cs="Calibri"/>
          <w:kern w:val="0"/>
          <w:sz w:val="24"/>
          <w:szCs w:val="24"/>
          <w:u w:val="single"/>
          <w14:ligatures w14:val="none"/>
        </w:rPr>
      </w:pPr>
      <w:r>
        <w:rPr>
          <w:rFonts w:ascii="Calibri" w:eastAsia="Times New Roman" w:hAnsi="Calibri" w:cs="Calibri"/>
          <w:kern w:val="0"/>
          <w:sz w:val="24"/>
          <w:szCs w:val="24"/>
          <w:u w:val="single"/>
          <w14:ligatures w14:val="none"/>
        </w:rPr>
        <w:t>Outcome definitions:</w:t>
      </w:r>
    </w:p>
    <w:p w14:paraId="29388222" w14:textId="77777777" w:rsidR="007B1AC7" w:rsidRDefault="007B1AC7" w:rsidP="00375485">
      <w:pPr>
        <w:spacing w:after="0" w:line="240" w:lineRule="auto"/>
        <w:rPr>
          <w:rFonts w:ascii="Calibri" w:eastAsia="Times New Roman" w:hAnsi="Calibri" w:cs="Calibri"/>
          <w:kern w:val="0"/>
          <w:sz w:val="24"/>
          <w:szCs w:val="24"/>
          <w:u w:val="single"/>
          <w14:ligatures w14:val="none"/>
        </w:rPr>
      </w:pPr>
    </w:p>
    <w:p w14:paraId="1EDC8DDB" w14:textId="77E513E9" w:rsidR="00375485" w:rsidRPr="007B1AC7" w:rsidRDefault="00375485" w:rsidP="00375485">
      <w:pPr>
        <w:spacing w:after="0" w:line="240" w:lineRule="auto"/>
        <w:rPr>
          <w:rFonts w:ascii="Calibri" w:eastAsia="Times New Roman" w:hAnsi="Calibri" w:cs="Calibri"/>
          <w:kern w:val="0"/>
          <w:sz w:val="24"/>
          <w:szCs w:val="24"/>
          <w14:ligatures w14:val="none"/>
        </w:rPr>
      </w:pPr>
      <w:r w:rsidRPr="007B1AC7">
        <w:rPr>
          <w:rFonts w:ascii="Calibri" w:eastAsia="Times New Roman" w:hAnsi="Calibri" w:cs="Calibri"/>
          <w:kern w:val="0"/>
          <w:sz w:val="24"/>
          <w:szCs w:val="24"/>
          <w14:ligatures w14:val="none"/>
        </w:rPr>
        <w:t>Early Neurological Improvement (ENI)</w:t>
      </w:r>
      <w:r w:rsidR="007B1AC7">
        <w:rPr>
          <w:rFonts w:ascii="Calibri" w:eastAsia="Times New Roman" w:hAnsi="Calibri" w:cs="Calibri"/>
          <w:kern w:val="0"/>
          <w:sz w:val="24"/>
          <w:szCs w:val="24"/>
          <w14:ligatures w14:val="none"/>
        </w:rPr>
        <w:t>:</w:t>
      </w:r>
    </w:p>
    <w:p w14:paraId="7ADD824C" w14:textId="21327C30" w:rsidR="00375485" w:rsidRPr="00462EBF" w:rsidRDefault="00375485" w:rsidP="00462EBF">
      <w:pPr>
        <w:spacing w:after="0" w:line="240" w:lineRule="auto"/>
        <w:jc w:val="both"/>
        <w:rPr>
          <w:rStyle w:val="Strong"/>
          <w:rFonts w:ascii="Calibri" w:eastAsia="Times New Roman" w:hAnsi="Calibri" w:cs="Calibri"/>
          <w:b w:val="0"/>
          <w:bCs w:val="0"/>
          <w:kern w:val="0"/>
          <w:sz w:val="24"/>
          <w:szCs w:val="24"/>
          <w14:ligatures w14:val="none"/>
        </w:rPr>
      </w:pPr>
      <w:r w:rsidRPr="00CE1294">
        <w:rPr>
          <w:rFonts w:ascii="Calibri" w:eastAsia="Times New Roman" w:hAnsi="Calibri" w:cs="Calibri"/>
          <w:kern w:val="0"/>
          <w:sz w:val="24"/>
          <w:szCs w:val="24"/>
          <w14:ligatures w14:val="none"/>
        </w:rPr>
        <w:t xml:space="preserve">ENI is a well-established early marker of favorable long-term recovery, assessed using the NIHSS within 24–48 hours post-reperfusion </w:t>
      </w:r>
      <w:r w:rsidRPr="00CE1294">
        <w:rPr>
          <w:rFonts w:ascii="Calibri" w:eastAsia="Times New Roman" w:hAnsi="Calibri" w:cs="Calibri"/>
          <w:kern w:val="0"/>
          <w:sz w:val="24"/>
          <w:szCs w:val="24"/>
          <w14:ligatures w14:val="none"/>
        </w:rPr>
        <w:fldChar w:fldCharType="begin"/>
      </w:r>
      <w:r>
        <w:rPr>
          <w:rFonts w:ascii="Calibri" w:eastAsia="Times New Roman" w:hAnsi="Calibri" w:cs="Calibri"/>
          <w:kern w:val="0"/>
          <w:sz w:val="24"/>
          <w:szCs w:val="24"/>
          <w14:ligatures w14:val="none"/>
        </w:rPr>
        <w:instrText xml:space="preserve"> ADDIN ZOTERO_ITEM CSL_CITATION {"citationID":"WfgY9DNk","properties":{"formattedCitation":"\\super 33\\nosupersub{}","plainCitation":"33","noteIndex":0},"citationItems":[{"id":997,"uris":["http://zotero.org/users/15172752/items/8M4BPK48"],"itemData":{"id":997,"type":"article-journal","abstract":"BACKGROUND: Early neurological improvement (ENI) is a potential predictor for 90-day outcomes following mechanical thrombectomy for acute ischemic stroke (AIS). We performed a systematic review and meta-analysis to better understand whether ENI can be used as a surrogate for long-term outcomes following mechanical thrombectomy for AIS.\nMETHODS: Following the PRISMA guidelines, a systematic literature review of the English language literature was conducted using PubMed, MEDLINE, and Embase. ENI definition, including timing and degree of improvement on the National Institutes of Health Stroke Scale (NIHSS), was catalogued for each included study. Outcomes of interest included 90-day modified Rankin Scale (mRS) 0-2, symptomatic intracranial hemorrhage (sICH), and mortality. We calculated pooled ORs and their corresponding 95% confidence intervals (CI) for all definitions of ENI.\nRESULTS: We included nine studies with 2355 patients in our analysis. ENI definitions included improvement in NIHSS of 8 points, 4 points, 12%, and 30% or greater. There was a significant association between ENI and mRS 0-2 rates (OR 8.62, 95% CI 4.86 to 15.29; p&lt;0.001). Significance of the association was maintained across all definitions (p&lt;0.001). Moreover, achieving ENI was a significant predictor of reduced odds for reported sICH rates (OR 0.11, 95% CI 0.06 to 0.21; p&lt;0.001). There was a significant association between ENI and reduction in mortality rates (OR 0.09, 95% CI 0.05 to 0.15; p&lt;0.001).\nCONCLUSIONS: Broadly defined, ENI is a promising predictor of good functional outcome at 90 days and is associated with lower rates of mortality and sICH.","container-title":"Journal of Neurointerventional Surgery","DOI":"10.1136/neurintsurg-2022-019008","ISSN":"1759-8486","issue":"6","journalAbbreviation":"J Neurointerv Surg","language":"eng","note":"PMID: 35636948","page":"547-551","source":"PubMed","title":"Early neurological improvement as a predictor of outcomes after endovascular thrombectomy for stroke: a systematic review and meta-analysis","title-short":"Early neurological improvement as a predictor of outcomes after endovascular thrombectomy for stroke","volume":"15","author":[{"family":"Kobeissi","given":"Hassan"},{"family":"Ghozy","given":"Sherief"},{"family":"Bilgin","given":"Cem"},{"family":"Kadirvel","given":"Ramanathan"},{"family":"Kallmes","given":"David F."}],"issued":{"date-parts":[["2023",6]]}}}],"schema":"https://github.com/citation-style-language/schema/raw/master/csl-citation.json"} </w:instrText>
      </w:r>
      <w:r w:rsidRPr="00CE1294">
        <w:rPr>
          <w:rFonts w:ascii="Calibri" w:eastAsia="Times New Roman" w:hAnsi="Calibri" w:cs="Calibri"/>
          <w:kern w:val="0"/>
          <w:sz w:val="24"/>
          <w:szCs w:val="24"/>
          <w14:ligatures w14:val="none"/>
        </w:rPr>
        <w:fldChar w:fldCharType="separate"/>
      </w:r>
      <w:r w:rsidRPr="007C762C">
        <w:rPr>
          <w:rFonts w:ascii="Calibri" w:hAnsi="Calibri" w:cs="Calibri"/>
          <w:sz w:val="24"/>
          <w:szCs w:val="24"/>
          <w:vertAlign w:val="superscript"/>
        </w:rPr>
        <w:t>33</w:t>
      </w:r>
      <w:r w:rsidRPr="00CE1294">
        <w:rPr>
          <w:rFonts w:ascii="Calibri" w:eastAsia="Times New Roman" w:hAnsi="Calibri" w:cs="Calibri"/>
          <w:kern w:val="0"/>
          <w:sz w:val="24"/>
          <w:szCs w:val="24"/>
          <w14:ligatures w14:val="none"/>
        </w:rPr>
        <w:fldChar w:fldCharType="end"/>
      </w:r>
      <w:r w:rsidRPr="00CE1294">
        <w:rPr>
          <w:rFonts w:ascii="Calibri" w:eastAsia="Times New Roman" w:hAnsi="Calibri" w:cs="Calibri"/>
          <w:kern w:val="0"/>
          <w:sz w:val="24"/>
          <w:szCs w:val="24"/>
          <w14:ligatures w14:val="none"/>
        </w:rPr>
        <w:t xml:space="preserve">. </w:t>
      </w:r>
      <w:r w:rsidR="00462EBF" w:rsidRPr="00462EBF">
        <w:rPr>
          <w:rFonts w:ascii="Calibri" w:eastAsia="Times New Roman" w:hAnsi="Calibri" w:cs="Calibri"/>
          <w:kern w:val="0"/>
          <w:sz w:val="24"/>
          <w:szCs w:val="24"/>
          <w14:ligatures w14:val="none"/>
        </w:rPr>
        <w:t>ENI is typically assessed within 24–48 hours post-treatment using the National Institutes of Health Stroke Scale (NIHSS).</w:t>
      </w:r>
      <w:r w:rsidR="00462EBF">
        <w:rPr>
          <w:rFonts w:ascii="Calibri" w:eastAsia="Times New Roman" w:hAnsi="Calibri" w:cs="Calibri"/>
          <w:kern w:val="0"/>
          <w:sz w:val="24"/>
          <w:szCs w:val="24"/>
          <w14:ligatures w14:val="none"/>
        </w:rPr>
        <w:t xml:space="preserve"> </w:t>
      </w:r>
      <w:r w:rsidRPr="00CE1294">
        <w:rPr>
          <w:rFonts w:ascii="Calibri" w:eastAsia="Times New Roman" w:hAnsi="Calibri" w:cs="Calibri"/>
          <w:kern w:val="0"/>
          <w:sz w:val="24"/>
          <w:szCs w:val="24"/>
          <w14:ligatures w14:val="none"/>
        </w:rPr>
        <w:t xml:space="preserve">Although multiple definitions exist, ENI is most commonly defined as a reduction of ≥4 NIHSS points or an absolute NIHSS of 0–1. This definition is used in the present study and reflects a validated predictor of </w:t>
      </w:r>
      <w:r w:rsidR="00462EBF">
        <w:rPr>
          <w:rFonts w:ascii="Calibri" w:eastAsia="Times New Roman" w:hAnsi="Calibri" w:cs="Calibri"/>
          <w:kern w:val="0"/>
          <w:sz w:val="24"/>
          <w:szCs w:val="24"/>
          <w14:ligatures w14:val="none"/>
        </w:rPr>
        <w:t>downstream</w:t>
      </w:r>
      <w:r w:rsidRPr="00CE1294">
        <w:rPr>
          <w:rFonts w:ascii="Calibri" w:eastAsia="Times New Roman" w:hAnsi="Calibri" w:cs="Calibri"/>
          <w:kern w:val="0"/>
          <w:sz w:val="24"/>
          <w:szCs w:val="24"/>
          <w14:ligatures w14:val="none"/>
        </w:rPr>
        <w:t xml:space="preserve"> functional outcomes.</w:t>
      </w:r>
    </w:p>
    <w:p w14:paraId="3AD2E224" w14:textId="44D57A2C" w:rsidR="00B132C3" w:rsidRPr="00462EBF" w:rsidRDefault="00462EBF" w:rsidP="00375485">
      <w:pPr>
        <w:pStyle w:val="NormalWeb"/>
        <w:rPr>
          <w:rFonts w:ascii="Calibri" w:hAnsi="Calibri" w:cs="Calibri"/>
          <w:b/>
          <w:bCs/>
        </w:rPr>
      </w:pPr>
      <w:r w:rsidRPr="00462EBF">
        <w:rPr>
          <w:rFonts w:ascii="Calibri" w:hAnsi="Calibri" w:cs="Calibri"/>
          <w:b/>
          <w:bCs/>
        </w:rPr>
        <w:t xml:space="preserve">Supplemental </w:t>
      </w:r>
      <w:r w:rsidR="00B132C3" w:rsidRPr="00462EBF">
        <w:rPr>
          <w:rFonts w:ascii="Calibri" w:hAnsi="Calibri" w:cs="Calibri"/>
          <w:b/>
          <w:bCs/>
        </w:rPr>
        <w:t>Results</w:t>
      </w:r>
      <w:r w:rsidRPr="00462EBF">
        <w:rPr>
          <w:rFonts w:ascii="Calibri" w:hAnsi="Calibri" w:cs="Calibri"/>
          <w:b/>
          <w:bCs/>
        </w:rPr>
        <w:t>:</w:t>
      </w:r>
    </w:p>
    <w:p w14:paraId="6AD59727" w14:textId="77777777" w:rsidR="007B1AC7" w:rsidRDefault="007B1AC7" w:rsidP="007B1AC7">
      <w:r w:rsidRPr="00CE1294">
        <w:rPr>
          <w:rStyle w:val="Strong"/>
          <w:rFonts w:ascii="Calibri" w:hAnsi="Calibri" w:cs="Calibri"/>
          <w:b w:val="0"/>
          <w:bCs w:val="0"/>
          <w:noProof/>
        </w:rPr>
        <w:drawing>
          <wp:inline distT="0" distB="0" distL="0" distR="0" wp14:anchorId="730D907D" wp14:editId="6A6CF369">
            <wp:extent cx="3934089" cy="350520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944415" cy="3514400"/>
                    </a:xfrm>
                    <a:prstGeom prst="rect">
                      <a:avLst/>
                    </a:prstGeom>
                    <a:noFill/>
                  </pic:spPr>
                </pic:pic>
              </a:graphicData>
            </a:graphic>
          </wp:inline>
        </w:drawing>
      </w:r>
    </w:p>
    <w:p w14:paraId="5D8FA5B9" w14:textId="7F50F975" w:rsidR="007B1AC7" w:rsidRPr="007B1AC7" w:rsidRDefault="007B1AC7" w:rsidP="007B1AC7">
      <w:pPr>
        <w:pStyle w:val="NormalWeb"/>
        <w:rPr>
          <w:rStyle w:val="Strong"/>
          <w:rFonts w:ascii="Calibri" w:hAnsi="Calibri" w:cs="Calibri"/>
          <w:b w:val="0"/>
          <w:bCs w:val="0"/>
        </w:rPr>
      </w:pPr>
      <w:r>
        <w:rPr>
          <w:rStyle w:val="Strong"/>
          <w:rFonts w:ascii="Calibri" w:hAnsi="Calibri" w:cs="Calibri"/>
        </w:rPr>
        <w:t xml:space="preserve">Supplemental </w:t>
      </w:r>
      <w:r w:rsidRPr="00CE1294">
        <w:rPr>
          <w:rStyle w:val="Strong"/>
          <w:rFonts w:ascii="Calibri" w:hAnsi="Calibri" w:cs="Calibri"/>
        </w:rPr>
        <w:t xml:space="preserve">Figure </w:t>
      </w:r>
      <w:r>
        <w:rPr>
          <w:rStyle w:val="Strong"/>
          <w:rFonts w:ascii="Calibri" w:hAnsi="Calibri" w:cs="Calibri"/>
        </w:rPr>
        <w:t>S</w:t>
      </w:r>
      <w:r w:rsidRPr="00CE1294">
        <w:rPr>
          <w:rStyle w:val="Strong"/>
          <w:rFonts w:ascii="Calibri" w:hAnsi="Calibri" w:cs="Calibri"/>
        </w:rPr>
        <w:t xml:space="preserve">1. </w:t>
      </w:r>
      <w:r w:rsidRPr="00462EBF">
        <w:rPr>
          <w:rStyle w:val="Strong"/>
          <w:rFonts w:ascii="Calibri" w:hAnsi="Calibri" w:cs="Calibri"/>
          <w:b w:val="0"/>
          <w:bCs w:val="0"/>
        </w:rPr>
        <w:t>The correlation matrix for the quantitative morphology metrics, showing their intra-feature relationship and inter-dependency.</w:t>
      </w:r>
    </w:p>
    <w:p w14:paraId="621F2232" w14:textId="0873CD17" w:rsidR="00B132C3" w:rsidRPr="00CC3730" w:rsidRDefault="00B132C3" w:rsidP="00B132C3">
      <w:pPr>
        <w:pStyle w:val="Heading2"/>
        <w:spacing w:after="0" w:afterAutospacing="0"/>
        <w:rPr>
          <w:rFonts w:ascii="Calibri" w:hAnsi="Calibri" w:cs="Calibri"/>
          <w:sz w:val="24"/>
          <w:szCs w:val="24"/>
          <w:u w:val="single"/>
        </w:rPr>
      </w:pPr>
      <w:r w:rsidRPr="00CC3730">
        <w:rPr>
          <w:rStyle w:val="Strong"/>
          <w:rFonts w:ascii="Calibri" w:hAnsi="Calibri" w:cs="Calibri"/>
          <w:sz w:val="24"/>
          <w:szCs w:val="24"/>
          <w:u w:val="single"/>
        </w:rPr>
        <w:t>Long-term Functional Outcomes (dichotomized 90-day mRS)</w:t>
      </w:r>
    </w:p>
    <w:p w14:paraId="04652519" w14:textId="1D3E258D" w:rsidR="00462EBF" w:rsidRPr="00462EBF" w:rsidRDefault="00462EBF" w:rsidP="00462EBF">
      <w:pPr>
        <w:pStyle w:val="NormalWeb"/>
        <w:spacing w:before="0" w:beforeAutospacing="0"/>
        <w:jc w:val="both"/>
        <w:rPr>
          <w:rFonts w:ascii="Calibri" w:hAnsi="Calibri" w:cs="Calibri"/>
        </w:rPr>
      </w:pPr>
      <w:r w:rsidRPr="00462EBF">
        <w:rPr>
          <w:rFonts w:ascii="Calibri" w:hAnsi="Calibri" w:cs="Calibri"/>
        </w:rPr>
        <w:t xml:space="preserve">For long-term functional outcome, dichotomized 90-day modified Rankin Scale (mRS good vs. poor), the morphology-enhanced model demonstrated superior discrimination and calibration compared with the baseline clinical model. Specifically, the morphology-informed model </w:t>
      </w:r>
      <w:r w:rsidRPr="00462EBF">
        <w:rPr>
          <w:rFonts w:ascii="Calibri" w:hAnsi="Calibri" w:cs="Calibri"/>
        </w:rPr>
        <w:lastRenderedPageBreak/>
        <w:t>achieved an AUROC of approximately 0.69 compared to 0.59 for the clinical-only model, with consistent performance observed across both out-of-fold validation and independent test cohorts.</w:t>
      </w:r>
    </w:p>
    <w:p w14:paraId="7E071B1E" w14:textId="77777777" w:rsidR="00462EBF" w:rsidRDefault="00462EBF" w:rsidP="00462EBF">
      <w:pPr>
        <w:pStyle w:val="NormalWeb"/>
        <w:spacing w:after="0" w:afterAutospacing="0"/>
        <w:jc w:val="both"/>
        <w:rPr>
          <w:rFonts w:ascii="Calibri" w:hAnsi="Calibri" w:cs="Calibri"/>
          <w:u w:val="single"/>
        </w:rPr>
      </w:pPr>
      <w:r w:rsidRPr="00462EBF">
        <w:rPr>
          <w:rFonts w:ascii="Calibri" w:hAnsi="Calibri" w:cs="Calibri"/>
          <w:u w:val="single"/>
        </w:rPr>
        <w:t>ENI:</w:t>
      </w:r>
    </w:p>
    <w:p w14:paraId="494A80E2" w14:textId="6F4B690A" w:rsidR="00B132C3" w:rsidRDefault="00462EBF" w:rsidP="00462EBF">
      <w:pPr>
        <w:pStyle w:val="NormalWeb"/>
        <w:spacing w:before="0" w:beforeAutospacing="0" w:after="0" w:afterAutospacing="0"/>
        <w:jc w:val="both"/>
        <w:rPr>
          <w:rFonts w:ascii="Calibri" w:hAnsi="Calibri" w:cs="Calibri"/>
        </w:rPr>
      </w:pPr>
      <w:r w:rsidRPr="00462EBF">
        <w:rPr>
          <w:rFonts w:ascii="Calibri" w:hAnsi="Calibri" w:cs="Calibri"/>
        </w:rPr>
        <w:t>Similarly, the morphology-integrated (MI) model demonstrated improved discrimination and calibration for ENI prediction relative to the clinical-only model (AUROC approximately 0.69 vs. 0.59). Better collateralization, reflected by higher qCI values, greater total vessel length, and increased branching complexity, was strongly associated with early neurological improvement. These results suggest that patient-specific cerebrovascular architecture captures physiologic reserve relevant to early recovery trajectories following EVT.</w:t>
      </w:r>
    </w:p>
    <w:p w14:paraId="3B09890A" w14:textId="77DB0764" w:rsidR="00462EBF" w:rsidRDefault="00462EBF" w:rsidP="00462EBF">
      <w:pPr>
        <w:pStyle w:val="NormalWeb"/>
        <w:spacing w:before="0" w:beforeAutospacing="0" w:after="0" w:afterAutospacing="0"/>
        <w:jc w:val="both"/>
        <w:rPr>
          <w:rFonts w:ascii="Calibri" w:hAnsi="Calibri" w:cs="Calibri"/>
        </w:rPr>
      </w:pPr>
    </w:p>
    <w:p w14:paraId="28B78177" w14:textId="1D93B98D" w:rsidR="00462EBF" w:rsidRPr="00462EBF" w:rsidRDefault="00462EBF" w:rsidP="00462EBF">
      <w:pPr>
        <w:pStyle w:val="NormalWeb"/>
        <w:spacing w:before="0" w:beforeAutospacing="0" w:after="0" w:afterAutospacing="0"/>
        <w:jc w:val="both"/>
        <w:rPr>
          <w:rFonts w:ascii="Calibri" w:hAnsi="Calibri" w:cs="Calibri"/>
          <w:u w:val="single"/>
        </w:rPr>
      </w:pPr>
      <w:r w:rsidRPr="00462EBF">
        <w:rPr>
          <w:rFonts w:ascii="Calibri" w:hAnsi="Calibri" w:cs="Calibri"/>
          <w:b/>
          <w:bCs/>
        </w:rPr>
        <w:t>Supplemental Table S1.</w:t>
      </w:r>
      <w:r>
        <w:rPr>
          <w:rFonts w:ascii="Calibri" w:hAnsi="Calibri" w:cs="Calibri"/>
        </w:rPr>
        <w:t xml:space="preserve"> </w:t>
      </w:r>
      <w:r w:rsidRPr="00462EBF">
        <w:rPr>
          <w:rFonts w:ascii="Calibri" w:hAnsi="Calibri" w:cs="Calibri"/>
        </w:rPr>
        <w:t>Net Reclassification Improvement (NRI) and Integrated Discrimination Improvement (IDI) analyses were performed to quantify the incremental predictive value of adding CTA-derived vascular morphology and collateral metrics to clinical models across outcomes. Positive NRI values indicate improved risk stratification, particularly driven by more accurate up-classification of true event cases.</w:t>
      </w:r>
    </w:p>
    <w:tbl>
      <w:tblPr>
        <w:tblW w:w="9106" w:type="dxa"/>
        <w:tblCellSpacing w:w="15" w:type="dxa"/>
        <w:tblCellMar>
          <w:top w:w="15" w:type="dxa"/>
          <w:left w:w="15" w:type="dxa"/>
          <w:bottom w:w="15" w:type="dxa"/>
          <w:right w:w="15" w:type="dxa"/>
        </w:tblCellMar>
        <w:tblLook w:val="04A0" w:firstRow="1" w:lastRow="0" w:firstColumn="1" w:lastColumn="0" w:noHBand="0" w:noVBand="1"/>
      </w:tblPr>
      <w:tblGrid>
        <w:gridCol w:w="1840"/>
        <w:gridCol w:w="1668"/>
        <w:gridCol w:w="1892"/>
        <w:gridCol w:w="2620"/>
        <w:gridCol w:w="1086"/>
      </w:tblGrid>
      <w:tr w:rsidR="002D6689" w:rsidRPr="00644993" w14:paraId="4D44A4E6" w14:textId="77777777" w:rsidTr="00C927AD">
        <w:trPr>
          <w:trHeight w:val="272"/>
          <w:tblHeader/>
          <w:tblCellSpacing w:w="15" w:type="dxa"/>
        </w:trPr>
        <w:tc>
          <w:tcPr>
            <w:tcW w:w="0" w:type="auto"/>
            <w:tcBorders>
              <w:bottom w:val="single" w:sz="4" w:space="0" w:color="auto"/>
            </w:tcBorders>
            <w:vAlign w:val="center"/>
            <w:hideMark/>
          </w:tcPr>
          <w:p w14:paraId="6CD950EB" w14:textId="77777777" w:rsidR="002D6689" w:rsidRPr="006E34DC" w:rsidRDefault="002D6689" w:rsidP="00C927AD">
            <w:pPr>
              <w:spacing w:after="0" w:line="240" w:lineRule="auto"/>
              <w:rPr>
                <w:rFonts w:ascii="Calibri" w:eastAsia="Times New Roman" w:hAnsi="Calibri" w:cs="Calibri"/>
                <w:b/>
                <w:bCs/>
                <w:kern w:val="0"/>
                <w:sz w:val="24"/>
                <w:szCs w:val="24"/>
                <w14:ligatures w14:val="none"/>
              </w:rPr>
            </w:pPr>
            <w:r w:rsidRPr="006E34DC">
              <w:rPr>
                <w:rFonts w:ascii="Calibri" w:eastAsia="Times New Roman" w:hAnsi="Calibri" w:cs="Calibri"/>
                <w:b/>
                <w:bCs/>
                <w:kern w:val="0"/>
                <w:sz w:val="24"/>
                <w:szCs w:val="24"/>
                <w14:ligatures w14:val="none"/>
              </w:rPr>
              <w:t>Outcome</w:t>
            </w:r>
          </w:p>
        </w:tc>
        <w:tc>
          <w:tcPr>
            <w:tcW w:w="0" w:type="auto"/>
            <w:tcBorders>
              <w:bottom w:val="single" w:sz="4" w:space="0" w:color="auto"/>
            </w:tcBorders>
            <w:vAlign w:val="center"/>
            <w:hideMark/>
          </w:tcPr>
          <w:p w14:paraId="68023729" w14:textId="77777777" w:rsidR="002D6689" w:rsidRPr="006E34DC" w:rsidRDefault="002D6689" w:rsidP="00C927AD">
            <w:pPr>
              <w:spacing w:after="0" w:line="240" w:lineRule="auto"/>
              <w:rPr>
                <w:rFonts w:ascii="Calibri" w:eastAsia="Times New Roman" w:hAnsi="Calibri" w:cs="Calibri"/>
                <w:b/>
                <w:bCs/>
                <w:kern w:val="0"/>
                <w:sz w:val="24"/>
                <w:szCs w:val="24"/>
                <w14:ligatures w14:val="none"/>
              </w:rPr>
            </w:pPr>
            <w:r w:rsidRPr="006E34DC">
              <w:rPr>
                <w:rFonts w:ascii="Calibri" w:eastAsia="Times New Roman" w:hAnsi="Calibri" w:cs="Calibri"/>
                <w:b/>
                <w:bCs/>
                <w:kern w:val="0"/>
                <w:sz w:val="24"/>
                <w:szCs w:val="24"/>
                <w14:ligatures w14:val="none"/>
              </w:rPr>
              <w:t>NRI (Total)</w:t>
            </w:r>
          </w:p>
        </w:tc>
        <w:tc>
          <w:tcPr>
            <w:tcW w:w="0" w:type="auto"/>
            <w:tcBorders>
              <w:bottom w:val="single" w:sz="4" w:space="0" w:color="auto"/>
            </w:tcBorders>
            <w:vAlign w:val="center"/>
            <w:hideMark/>
          </w:tcPr>
          <w:p w14:paraId="380B2066" w14:textId="77777777" w:rsidR="002D6689" w:rsidRPr="006E34DC" w:rsidRDefault="002D6689" w:rsidP="00C927AD">
            <w:pPr>
              <w:spacing w:after="0" w:line="240" w:lineRule="auto"/>
              <w:rPr>
                <w:rFonts w:ascii="Calibri" w:eastAsia="Times New Roman" w:hAnsi="Calibri" w:cs="Calibri"/>
                <w:b/>
                <w:bCs/>
                <w:kern w:val="0"/>
                <w:sz w:val="24"/>
                <w:szCs w:val="24"/>
                <w14:ligatures w14:val="none"/>
              </w:rPr>
            </w:pPr>
            <w:r w:rsidRPr="006E34DC">
              <w:rPr>
                <w:rFonts w:ascii="Calibri" w:eastAsia="Times New Roman" w:hAnsi="Calibri" w:cs="Calibri"/>
                <w:b/>
                <w:bCs/>
                <w:kern w:val="0"/>
                <w:sz w:val="24"/>
                <w:szCs w:val="24"/>
                <w14:ligatures w14:val="none"/>
              </w:rPr>
              <w:t>NRI (Events)</w:t>
            </w:r>
          </w:p>
        </w:tc>
        <w:tc>
          <w:tcPr>
            <w:tcW w:w="0" w:type="auto"/>
            <w:tcBorders>
              <w:bottom w:val="single" w:sz="4" w:space="0" w:color="auto"/>
            </w:tcBorders>
            <w:vAlign w:val="center"/>
            <w:hideMark/>
          </w:tcPr>
          <w:p w14:paraId="1DE6B03D" w14:textId="77777777" w:rsidR="002D6689" w:rsidRPr="006E34DC" w:rsidRDefault="002D6689" w:rsidP="00C927AD">
            <w:pPr>
              <w:spacing w:after="0" w:line="240" w:lineRule="auto"/>
              <w:rPr>
                <w:rFonts w:ascii="Calibri" w:eastAsia="Times New Roman" w:hAnsi="Calibri" w:cs="Calibri"/>
                <w:b/>
                <w:bCs/>
                <w:kern w:val="0"/>
                <w:sz w:val="24"/>
                <w:szCs w:val="24"/>
                <w14:ligatures w14:val="none"/>
              </w:rPr>
            </w:pPr>
            <w:r w:rsidRPr="006E34DC">
              <w:rPr>
                <w:rFonts w:ascii="Calibri" w:eastAsia="Times New Roman" w:hAnsi="Calibri" w:cs="Calibri"/>
                <w:b/>
                <w:bCs/>
                <w:kern w:val="0"/>
                <w:sz w:val="24"/>
                <w:szCs w:val="24"/>
                <w14:ligatures w14:val="none"/>
              </w:rPr>
              <w:t>NRI (Non-Events)</w:t>
            </w:r>
          </w:p>
        </w:tc>
        <w:tc>
          <w:tcPr>
            <w:tcW w:w="0" w:type="auto"/>
            <w:tcBorders>
              <w:bottom w:val="single" w:sz="4" w:space="0" w:color="auto"/>
            </w:tcBorders>
            <w:vAlign w:val="center"/>
            <w:hideMark/>
          </w:tcPr>
          <w:p w14:paraId="3603DD11" w14:textId="77777777" w:rsidR="002D6689" w:rsidRPr="006E34DC" w:rsidRDefault="002D6689" w:rsidP="00C927AD">
            <w:pPr>
              <w:spacing w:after="0" w:line="240" w:lineRule="auto"/>
              <w:rPr>
                <w:rFonts w:ascii="Calibri" w:eastAsia="Times New Roman" w:hAnsi="Calibri" w:cs="Calibri"/>
                <w:b/>
                <w:bCs/>
                <w:kern w:val="0"/>
                <w:sz w:val="24"/>
                <w:szCs w:val="24"/>
                <w14:ligatures w14:val="none"/>
              </w:rPr>
            </w:pPr>
            <w:r w:rsidRPr="006E34DC">
              <w:rPr>
                <w:rFonts w:ascii="Calibri" w:eastAsia="Times New Roman" w:hAnsi="Calibri" w:cs="Calibri"/>
                <w:b/>
                <w:bCs/>
                <w:kern w:val="0"/>
                <w:sz w:val="24"/>
                <w:szCs w:val="24"/>
                <w14:ligatures w14:val="none"/>
              </w:rPr>
              <w:t>IDI</w:t>
            </w:r>
          </w:p>
        </w:tc>
      </w:tr>
      <w:tr w:rsidR="002D6689" w:rsidRPr="00644993" w14:paraId="4B89E934" w14:textId="77777777" w:rsidTr="00C927AD">
        <w:trPr>
          <w:trHeight w:val="287"/>
          <w:tblCellSpacing w:w="15" w:type="dxa"/>
        </w:trPr>
        <w:tc>
          <w:tcPr>
            <w:tcW w:w="0" w:type="auto"/>
            <w:vAlign w:val="center"/>
            <w:hideMark/>
          </w:tcPr>
          <w:p w14:paraId="4DC94A16" w14:textId="77777777" w:rsidR="002D6689" w:rsidRPr="00CC3730" w:rsidRDefault="002D6689" w:rsidP="00C927AD">
            <w:pPr>
              <w:spacing w:after="0" w:line="240" w:lineRule="auto"/>
              <w:rPr>
                <w:rFonts w:ascii="Calibri" w:eastAsia="Times New Roman" w:hAnsi="Calibri" w:cs="Calibri"/>
                <w:kern w:val="0"/>
                <w:sz w:val="24"/>
                <w:szCs w:val="24"/>
                <w14:ligatures w14:val="none"/>
              </w:rPr>
            </w:pPr>
            <w:r w:rsidRPr="00CC3730">
              <w:rPr>
                <w:rFonts w:ascii="Calibri" w:eastAsia="Times New Roman" w:hAnsi="Calibri" w:cs="Calibri"/>
                <w:b/>
                <w:bCs/>
                <w:kern w:val="0"/>
                <w:sz w:val="24"/>
                <w:szCs w:val="24"/>
                <w14:ligatures w14:val="none"/>
              </w:rPr>
              <w:t>90-day mRS</w:t>
            </w:r>
          </w:p>
        </w:tc>
        <w:tc>
          <w:tcPr>
            <w:tcW w:w="0" w:type="auto"/>
            <w:vAlign w:val="center"/>
            <w:hideMark/>
          </w:tcPr>
          <w:p w14:paraId="3E2C12EC" w14:textId="77777777" w:rsidR="002D6689" w:rsidRPr="00707877" w:rsidRDefault="002D6689" w:rsidP="00C927AD">
            <w:pPr>
              <w:spacing w:after="0" w:line="240" w:lineRule="auto"/>
              <w:rPr>
                <w:rFonts w:ascii="Calibri" w:eastAsia="Times New Roman" w:hAnsi="Calibri" w:cs="Calibri"/>
                <w:kern w:val="0"/>
                <w:sz w:val="24"/>
                <w:szCs w:val="24"/>
                <w14:ligatures w14:val="none"/>
              </w:rPr>
            </w:pPr>
            <w:r w:rsidRPr="00707877">
              <w:rPr>
                <w:rFonts w:ascii="Calibri" w:eastAsia="Times New Roman" w:hAnsi="Calibri" w:cs="Calibri"/>
                <w:kern w:val="0"/>
                <w:sz w:val="24"/>
                <w:szCs w:val="24"/>
                <w14:ligatures w14:val="none"/>
              </w:rPr>
              <w:t>0.336</w:t>
            </w:r>
          </w:p>
        </w:tc>
        <w:tc>
          <w:tcPr>
            <w:tcW w:w="0" w:type="auto"/>
            <w:vAlign w:val="center"/>
            <w:hideMark/>
          </w:tcPr>
          <w:p w14:paraId="3BDEB4E9" w14:textId="77777777" w:rsidR="002D6689" w:rsidRPr="00707877" w:rsidRDefault="002D6689" w:rsidP="00C927AD">
            <w:pPr>
              <w:spacing w:after="0" w:line="240" w:lineRule="auto"/>
              <w:rPr>
                <w:rFonts w:ascii="Calibri" w:eastAsia="Times New Roman" w:hAnsi="Calibri" w:cs="Calibri"/>
                <w:kern w:val="0"/>
                <w:sz w:val="24"/>
                <w:szCs w:val="24"/>
                <w14:ligatures w14:val="none"/>
              </w:rPr>
            </w:pPr>
            <w:r w:rsidRPr="00707877">
              <w:rPr>
                <w:rFonts w:ascii="Calibri" w:eastAsia="Times New Roman" w:hAnsi="Calibri" w:cs="Calibri"/>
                <w:kern w:val="0"/>
                <w:sz w:val="24"/>
                <w:szCs w:val="24"/>
                <w14:ligatures w14:val="none"/>
              </w:rPr>
              <w:t>0.217</w:t>
            </w:r>
          </w:p>
        </w:tc>
        <w:tc>
          <w:tcPr>
            <w:tcW w:w="0" w:type="auto"/>
            <w:vAlign w:val="center"/>
            <w:hideMark/>
          </w:tcPr>
          <w:p w14:paraId="69CF2BEE" w14:textId="77777777" w:rsidR="002D6689" w:rsidRPr="00707877" w:rsidRDefault="002D6689" w:rsidP="00C927AD">
            <w:pPr>
              <w:spacing w:after="0" w:line="240" w:lineRule="auto"/>
              <w:rPr>
                <w:rFonts w:ascii="Calibri" w:eastAsia="Times New Roman" w:hAnsi="Calibri" w:cs="Calibri"/>
                <w:kern w:val="0"/>
                <w:sz w:val="24"/>
                <w:szCs w:val="24"/>
                <w14:ligatures w14:val="none"/>
              </w:rPr>
            </w:pPr>
            <w:r w:rsidRPr="00707877">
              <w:rPr>
                <w:rFonts w:ascii="Calibri" w:eastAsia="Times New Roman" w:hAnsi="Calibri" w:cs="Calibri"/>
                <w:kern w:val="0"/>
                <w:sz w:val="24"/>
                <w:szCs w:val="24"/>
                <w14:ligatures w14:val="none"/>
              </w:rPr>
              <w:t>0.119</w:t>
            </w:r>
          </w:p>
        </w:tc>
        <w:tc>
          <w:tcPr>
            <w:tcW w:w="0" w:type="auto"/>
            <w:vAlign w:val="center"/>
            <w:hideMark/>
          </w:tcPr>
          <w:p w14:paraId="4BD528C5" w14:textId="77777777" w:rsidR="002D6689" w:rsidRPr="00707877" w:rsidRDefault="002D6689" w:rsidP="00C927AD">
            <w:pPr>
              <w:spacing w:after="0" w:line="240" w:lineRule="auto"/>
              <w:rPr>
                <w:rFonts w:ascii="Calibri" w:eastAsia="Times New Roman" w:hAnsi="Calibri" w:cs="Calibri"/>
                <w:kern w:val="0"/>
                <w:sz w:val="24"/>
                <w:szCs w:val="24"/>
                <w14:ligatures w14:val="none"/>
              </w:rPr>
            </w:pPr>
            <w:r w:rsidRPr="00707877">
              <w:rPr>
                <w:rFonts w:ascii="Calibri" w:eastAsia="Times New Roman" w:hAnsi="Calibri" w:cs="Calibri"/>
                <w:kern w:val="0"/>
                <w:sz w:val="24"/>
                <w:szCs w:val="24"/>
                <w14:ligatures w14:val="none"/>
              </w:rPr>
              <w:t>0.0928</w:t>
            </w:r>
          </w:p>
        </w:tc>
      </w:tr>
      <w:tr w:rsidR="002D6689" w:rsidRPr="00644993" w14:paraId="6FA6E6B4" w14:textId="77777777" w:rsidTr="00C927AD">
        <w:trPr>
          <w:trHeight w:val="287"/>
          <w:tblCellSpacing w:w="15" w:type="dxa"/>
        </w:trPr>
        <w:tc>
          <w:tcPr>
            <w:tcW w:w="0" w:type="auto"/>
            <w:vAlign w:val="center"/>
            <w:hideMark/>
          </w:tcPr>
          <w:p w14:paraId="34BEFACA" w14:textId="77777777" w:rsidR="002D6689" w:rsidRPr="00CC3730" w:rsidRDefault="002D6689" w:rsidP="00C927AD">
            <w:pPr>
              <w:spacing w:after="0" w:line="240" w:lineRule="auto"/>
              <w:rPr>
                <w:rFonts w:ascii="Calibri" w:eastAsia="Times New Roman" w:hAnsi="Calibri" w:cs="Calibri"/>
                <w:kern w:val="0"/>
                <w:sz w:val="24"/>
                <w:szCs w:val="24"/>
                <w14:ligatures w14:val="none"/>
              </w:rPr>
            </w:pPr>
            <w:r w:rsidRPr="00CC3730">
              <w:rPr>
                <w:rFonts w:ascii="Calibri" w:eastAsia="Times New Roman" w:hAnsi="Calibri" w:cs="Calibri"/>
                <w:b/>
                <w:bCs/>
                <w:kern w:val="0"/>
                <w:sz w:val="24"/>
                <w:szCs w:val="24"/>
                <w14:ligatures w14:val="none"/>
              </w:rPr>
              <w:t>ENI</w:t>
            </w:r>
          </w:p>
        </w:tc>
        <w:tc>
          <w:tcPr>
            <w:tcW w:w="0" w:type="auto"/>
            <w:vAlign w:val="center"/>
            <w:hideMark/>
          </w:tcPr>
          <w:p w14:paraId="1DA7D580" w14:textId="77777777" w:rsidR="002D6689" w:rsidRPr="00CC3730" w:rsidRDefault="002D6689" w:rsidP="00C927AD">
            <w:pPr>
              <w:spacing w:after="0" w:line="240" w:lineRule="auto"/>
              <w:rPr>
                <w:rFonts w:ascii="Calibri" w:eastAsia="Times New Roman" w:hAnsi="Calibri" w:cs="Calibri"/>
                <w:kern w:val="0"/>
                <w:sz w:val="24"/>
                <w:szCs w:val="24"/>
                <w14:ligatures w14:val="none"/>
              </w:rPr>
            </w:pPr>
            <w:r w:rsidRPr="00CC3730">
              <w:rPr>
                <w:rFonts w:ascii="Calibri" w:eastAsia="Times New Roman" w:hAnsi="Calibri" w:cs="Calibri"/>
                <w:kern w:val="0"/>
                <w:sz w:val="24"/>
                <w:szCs w:val="24"/>
                <w14:ligatures w14:val="none"/>
              </w:rPr>
              <w:t>0.1366</w:t>
            </w:r>
          </w:p>
        </w:tc>
        <w:tc>
          <w:tcPr>
            <w:tcW w:w="0" w:type="auto"/>
            <w:vAlign w:val="center"/>
            <w:hideMark/>
          </w:tcPr>
          <w:p w14:paraId="4AB6593B" w14:textId="77777777" w:rsidR="002D6689" w:rsidRPr="00CC3730" w:rsidRDefault="002D6689" w:rsidP="00C927AD">
            <w:pPr>
              <w:spacing w:after="0" w:line="240" w:lineRule="auto"/>
              <w:rPr>
                <w:rFonts w:ascii="Calibri" w:eastAsia="Times New Roman" w:hAnsi="Calibri" w:cs="Calibri"/>
                <w:kern w:val="0"/>
                <w:sz w:val="24"/>
                <w:szCs w:val="24"/>
                <w14:ligatures w14:val="none"/>
              </w:rPr>
            </w:pPr>
            <w:r w:rsidRPr="00CC3730">
              <w:rPr>
                <w:rFonts w:ascii="Calibri" w:eastAsia="Times New Roman" w:hAnsi="Calibri" w:cs="Calibri"/>
                <w:kern w:val="0"/>
                <w:sz w:val="24"/>
                <w:szCs w:val="24"/>
                <w14:ligatures w14:val="none"/>
              </w:rPr>
              <w:t>0.0556</w:t>
            </w:r>
          </w:p>
        </w:tc>
        <w:tc>
          <w:tcPr>
            <w:tcW w:w="0" w:type="auto"/>
            <w:vAlign w:val="center"/>
            <w:hideMark/>
          </w:tcPr>
          <w:p w14:paraId="5089FC15" w14:textId="77777777" w:rsidR="002D6689" w:rsidRPr="00CC3730" w:rsidRDefault="002D6689" w:rsidP="00C927AD">
            <w:pPr>
              <w:spacing w:after="0" w:line="240" w:lineRule="auto"/>
              <w:rPr>
                <w:rFonts w:ascii="Calibri" w:eastAsia="Times New Roman" w:hAnsi="Calibri" w:cs="Calibri"/>
                <w:kern w:val="0"/>
                <w:sz w:val="24"/>
                <w:szCs w:val="24"/>
                <w14:ligatures w14:val="none"/>
              </w:rPr>
            </w:pPr>
            <w:r w:rsidRPr="00CC3730">
              <w:rPr>
                <w:rFonts w:ascii="Calibri" w:eastAsia="Times New Roman" w:hAnsi="Calibri" w:cs="Calibri"/>
                <w:kern w:val="0"/>
                <w:sz w:val="24"/>
                <w:szCs w:val="24"/>
                <w14:ligatures w14:val="none"/>
              </w:rPr>
              <w:t>0.0811</w:t>
            </w:r>
          </w:p>
        </w:tc>
        <w:tc>
          <w:tcPr>
            <w:tcW w:w="0" w:type="auto"/>
            <w:vAlign w:val="center"/>
            <w:hideMark/>
          </w:tcPr>
          <w:p w14:paraId="58988EB0" w14:textId="77777777" w:rsidR="002D6689" w:rsidRPr="00CC3730" w:rsidRDefault="002D6689" w:rsidP="00C927AD">
            <w:pPr>
              <w:spacing w:after="0" w:line="240" w:lineRule="auto"/>
              <w:rPr>
                <w:rFonts w:ascii="Calibri" w:eastAsia="Times New Roman" w:hAnsi="Calibri" w:cs="Calibri"/>
                <w:kern w:val="0"/>
                <w:sz w:val="24"/>
                <w:szCs w:val="24"/>
                <w14:ligatures w14:val="none"/>
              </w:rPr>
            </w:pPr>
            <w:r w:rsidRPr="00CC3730">
              <w:rPr>
                <w:rFonts w:ascii="Calibri" w:eastAsia="Times New Roman" w:hAnsi="Calibri" w:cs="Calibri"/>
                <w:kern w:val="0"/>
                <w:sz w:val="24"/>
                <w:szCs w:val="24"/>
                <w14:ligatures w14:val="none"/>
              </w:rPr>
              <w:t>0.0257</w:t>
            </w:r>
          </w:p>
        </w:tc>
      </w:tr>
    </w:tbl>
    <w:p w14:paraId="4E898E91" w14:textId="47421995" w:rsidR="009A21E3" w:rsidRDefault="009A21E3"/>
    <w:p w14:paraId="315D767C" w14:textId="25CBFEF3" w:rsidR="00462EBF" w:rsidRPr="00462EBF" w:rsidRDefault="00462EBF" w:rsidP="007A1923">
      <w:pPr>
        <w:spacing w:after="0"/>
        <w:rPr>
          <w:u w:val="single"/>
        </w:rPr>
      </w:pPr>
      <w:r w:rsidRPr="00462EBF">
        <w:rPr>
          <w:u w:val="single"/>
        </w:rPr>
        <w:t>Supplemental Risk Stratification Analys</w:t>
      </w:r>
      <w:r>
        <w:rPr>
          <w:u w:val="single"/>
        </w:rPr>
        <w:t>is:</w:t>
      </w:r>
    </w:p>
    <w:p w14:paraId="4DDC4E48" w14:textId="17BD47E0" w:rsidR="00462EBF" w:rsidRDefault="00462EBF" w:rsidP="00462EBF">
      <w:r>
        <w:t>Risk band analyses for ENI and 90-day mRS further showed monotonic increases in observed outcome rates across low-, moderate-, and high-risk strata in the morphology-informed model, supporting its utility for individualized patient-level risk assessment.</w:t>
      </w:r>
    </w:p>
    <w:p w14:paraId="05A601A2" w14:textId="651B4A54" w:rsidR="00462EBF" w:rsidRDefault="007A1923">
      <w:r>
        <w:rPr>
          <w:noProof/>
        </w:rPr>
        <w:drawing>
          <wp:inline distT="0" distB="0" distL="0" distR="0" wp14:anchorId="04CDDCE1" wp14:editId="31646300">
            <wp:extent cx="5715635" cy="251523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635" cy="2515235"/>
                    </a:xfrm>
                    <a:prstGeom prst="rect">
                      <a:avLst/>
                    </a:prstGeom>
                    <a:noFill/>
                  </pic:spPr>
                </pic:pic>
              </a:graphicData>
            </a:graphic>
          </wp:inline>
        </w:drawing>
      </w:r>
    </w:p>
    <w:p w14:paraId="411D4B88" w14:textId="02600BA1" w:rsidR="009A21E3" w:rsidRDefault="00462EBF" w:rsidP="007A1923">
      <w:pPr>
        <w:pStyle w:val="NormalWeb"/>
      </w:pPr>
      <w:r>
        <w:rPr>
          <w:rStyle w:val="Strong"/>
          <w:rFonts w:ascii="Calibri" w:hAnsi="Calibri" w:cs="Calibri"/>
        </w:rPr>
        <w:t xml:space="preserve">Supplemental </w:t>
      </w:r>
      <w:r w:rsidRPr="00CE1294">
        <w:rPr>
          <w:rStyle w:val="Strong"/>
          <w:rFonts w:ascii="Calibri" w:hAnsi="Calibri" w:cs="Calibri"/>
        </w:rPr>
        <w:t xml:space="preserve">Figure </w:t>
      </w:r>
      <w:r>
        <w:rPr>
          <w:rStyle w:val="Strong"/>
          <w:rFonts w:ascii="Calibri" w:hAnsi="Calibri" w:cs="Calibri"/>
        </w:rPr>
        <w:t>S</w:t>
      </w:r>
      <w:r w:rsidR="007A1923">
        <w:rPr>
          <w:rStyle w:val="Strong"/>
          <w:rFonts w:ascii="Calibri" w:hAnsi="Calibri" w:cs="Calibri"/>
        </w:rPr>
        <w:t>2</w:t>
      </w:r>
      <w:r w:rsidRPr="00CE1294">
        <w:rPr>
          <w:rStyle w:val="Strong"/>
          <w:rFonts w:ascii="Calibri" w:hAnsi="Calibri" w:cs="Calibri"/>
        </w:rPr>
        <w:t xml:space="preserve">. </w:t>
      </w:r>
      <w:r w:rsidR="007A1923" w:rsidRPr="007A1923">
        <w:rPr>
          <w:rStyle w:val="Strong"/>
          <w:rFonts w:ascii="Calibri" w:hAnsi="Calibri" w:cs="Calibri"/>
          <w:b w:val="0"/>
          <w:bCs w:val="0"/>
        </w:rPr>
        <w:t xml:space="preserve">Risk band stratification for 90-day mRS </w:t>
      </w:r>
      <w:r w:rsidR="007A1923">
        <w:rPr>
          <w:rStyle w:val="Strong"/>
          <w:rFonts w:ascii="Calibri" w:hAnsi="Calibri" w:cs="Calibri"/>
          <w:b w:val="0"/>
          <w:bCs w:val="0"/>
        </w:rPr>
        <w:t xml:space="preserve">and ENI </w:t>
      </w:r>
      <w:r w:rsidR="007A1923" w:rsidRPr="007A1923">
        <w:rPr>
          <w:rStyle w:val="Strong"/>
          <w:rFonts w:ascii="Calibri" w:hAnsi="Calibri" w:cs="Calibri"/>
          <w:b w:val="0"/>
          <w:bCs w:val="0"/>
        </w:rPr>
        <w:t>(MI model)</w:t>
      </w:r>
      <w:r w:rsidR="007A1923">
        <w:rPr>
          <w:rStyle w:val="Strong"/>
          <w:rFonts w:ascii="Calibri" w:hAnsi="Calibri" w:cs="Calibri"/>
          <w:b w:val="0"/>
          <w:bCs w:val="0"/>
        </w:rPr>
        <w:t>.</w:t>
      </w:r>
    </w:p>
    <w:sectPr w:rsidR="009A21E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2B6D"/>
    <w:rsid w:val="002D6689"/>
    <w:rsid w:val="00352B6D"/>
    <w:rsid w:val="00375485"/>
    <w:rsid w:val="00462EBF"/>
    <w:rsid w:val="004F4DC6"/>
    <w:rsid w:val="00787E4D"/>
    <w:rsid w:val="007A1923"/>
    <w:rsid w:val="007B1AC7"/>
    <w:rsid w:val="009A21E3"/>
    <w:rsid w:val="00B132C3"/>
    <w:rsid w:val="00C46AC5"/>
    <w:rsid w:val="00F26B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DB56EF"/>
  <w15:chartTrackingRefBased/>
  <w15:docId w15:val="{9478B01D-5731-4998-AC2E-44370A57D1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B132C3"/>
    <w:pPr>
      <w:spacing w:before="100" w:beforeAutospacing="1" w:after="100" w:afterAutospacing="1" w:line="240" w:lineRule="auto"/>
      <w:outlineLvl w:val="1"/>
    </w:pPr>
    <w:rPr>
      <w:rFonts w:ascii="Times New Roman" w:eastAsia="Times New Roman" w:hAnsi="Times New Roman" w:cs="Times New Roman"/>
      <w:b/>
      <w:bCs/>
      <w:kern w:val="0"/>
      <w:sz w:val="36"/>
      <w:szCs w:val="36"/>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352B6D"/>
    <w:rPr>
      <w:b/>
      <w:bCs/>
    </w:rPr>
  </w:style>
  <w:style w:type="paragraph" w:styleId="NormalWeb">
    <w:name w:val="Normal (Web)"/>
    <w:basedOn w:val="Normal"/>
    <w:uiPriority w:val="99"/>
    <w:unhideWhenUsed/>
    <w:rsid w:val="00352B6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CommentReference">
    <w:name w:val="annotation reference"/>
    <w:basedOn w:val="DefaultParagraphFont"/>
    <w:uiPriority w:val="99"/>
    <w:semiHidden/>
    <w:unhideWhenUsed/>
    <w:rsid w:val="00352B6D"/>
    <w:rPr>
      <w:sz w:val="16"/>
      <w:szCs w:val="16"/>
    </w:rPr>
  </w:style>
  <w:style w:type="paragraph" w:styleId="CommentText">
    <w:name w:val="annotation text"/>
    <w:basedOn w:val="Normal"/>
    <w:link w:val="CommentTextChar"/>
    <w:uiPriority w:val="99"/>
    <w:semiHidden/>
    <w:unhideWhenUsed/>
    <w:rsid w:val="00352B6D"/>
    <w:pPr>
      <w:spacing w:line="240" w:lineRule="auto"/>
    </w:pPr>
    <w:rPr>
      <w:sz w:val="20"/>
      <w:szCs w:val="20"/>
    </w:rPr>
  </w:style>
  <w:style w:type="character" w:customStyle="1" w:styleId="CommentTextChar">
    <w:name w:val="Comment Text Char"/>
    <w:basedOn w:val="DefaultParagraphFont"/>
    <w:link w:val="CommentText"/>
    <w:uiPriority w:val="99"/>
    <w:semiHidden/>
    <w:rsid w:val="00352B6D"/>
    <w:rPr>
      <w:sz w:val="20"/>
      <w:szCs w:val="20"/>
    </w:rPr>
  </w:style>
  <w:style w:type="character" w:customStyle="1" w:styleId="Heading2Char">
    <w:name w:val="Heading 2 Char"/>
    <w:basedOn w:val="DefaultParagraphFont"/>
    <w:link w:val="Heading2"/>
    <w:uiPriority w:val="9"/>
    <w:rsid w:val="00B132C3"/>
    <w:rPr>
      <w:rFonts w:ascii="Times New Roman" w:eastAsia="Times New Roman" w:hAnsi="Times New Roman" w:cs="Times New Roman"/>
      <w:b/>
      <w:bCs/>
      <w:kern w:val="0"/>
      <w:sz w:val="36"/>
      <w:szCs w:val="36"/>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2</Pages>
  <Words>831</Words>
  <Characters>4737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Aditi Deshpande</dc:creator>
  <cp:keywords/>
  <dc:description/>
  <cp:lastModifiedBy>Aditi Deshpande</cp:lastModifiedBy>
  <cp:revision>3</cp:revision>
  <dcterms:created xsi:type="dcterms:W3CDTF">2026-01-20T22:56:00Z</dcterms:created>
  <dcterms:modified xsi:type="dcterms:W3CDTF">2026-01-23T19:09:00Z</dcterms:modified>
</cp:coreProperties>
</file>