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A4" w:rsidRPr="006640C8" w:rsidRDefault="006C76A4" w:rsidP="006C76A4">
      <w:pPr>
        <w:pStyle w:val="berschrift1"/>
        <w:numPr>
          <w:ilvl w:val="0"/>
          <w:numId w:val="0"/>
        </w:numPr>
        <w:ind w:left="426" w:hanging="426"/>
        <w:rPr>
          <w:lang w:val="en-US"/>
        </w:rPr>
      </w:pPr>
      <w:bookmarkStart w:id="0" w:name="_Toc508886345"/>
      <w:r w:rsidRPr="006640C8">
        <w:rPr>
          <w:lang w:val="en-US"/>
        </w:rPr>
        <w:t>Online-Supplement</w:t>
      </w:r>
      <w:bookmarkStart w:id="1" w:name="_GoBack"/>
      <w:bookmarkEnd w:id="1"/>
      <w:r w:rsidRPr="006640C8">
        <w:rPr>
          <w:lang w:val="en-US"/>
        </w:rPr>
        <w:t>: Items</w:t>
      </w:r>
      <w:bookmarkEnd w:id="0"/>
      <w:r w:rsidR="006640C8" w:rsidRPr="006640C8">
        <w:rPr>
          <w:lang w:val="en-US"/>
        </w:rPr>
        <w:t xml:space="preserve"> des </w:t>
      </w:r>
      <w:proofErr w:type="spellStart"/>
      <w:r w:rsidR="006640C8" w:rsidRPr="006640C8">
        <w:rPr>
          <w:lang w:val="en-US"/>
        </w:rPr>
        <w:t>LimSt-</w:t>
      </w:r>
      <w:r w:rsidR="006640C8">
        <w:rPr>
          <w:lang w:val="en-US"/>
        </w:rPr>
        <w:t>Fragebogens</w:t>
      </w:r>
      <w:proofErr w:type="spellEnd"/>
    </w:p>
    <w:p w:rsidR="006C76A4" w:rsidRPr="00DE65C2" w:rsidRDefault="006C76A4" w:rsidP="006C76A4">
      <w:pPr>
        <w:rPr>
          <w:rFonts w:cs="Times New Roman"/>
          <w:szCs w:val="20"/>
        </w:rPr>
      </w:pPr>
      <w:r w:rsidRPr="00DE65C2">
        <w:rPr>
          <w:rFonts w:cs="Times New Roman"/>
          <w:szCs w:val="20"/>
        </w:rPr>
        <w:t>Dargestellt sind die Items, die zugehörige Skala und die standardisierte Faktorladung aus Modell 1 b).</w:t>
      </w:r>
    </w:p>
    <w:tbl>
      <w:tblPr>
        <w:tblStyle w:val="EinfacheTabelle11"/>
        <w:tblW w:w="9181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5528"/>
        <w:gridCol w:w="851"/>
      </w:tblGrid>
      <w:tr w:rsidR="006C76A4" w:rsidRPr="00DE65C2" w:rsidTr="00DA1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  <w:t>Nr.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  <w:t>Skalen</w:t>
            </w:r>
            <w:r w:rsidRPr="00DE65C2"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  <w:softHyphen/>
              <w:t>zuordnung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</w:pPr>
            <w:proofErr w:type="spellStart"/>
            <w:r w:rsidRPr="00DE65C2"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  <w:t>Itemtext</w:t>
            </w:r>
            <w:proofErr w:type="spellEnd"/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ind w:right="-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b w:val="0"/>
                <w:color w:val="000000"/>
                <w:szCs w:val="20"/>
                <w:lang w:eastAsia="de-DE"/>
              </w:rPr>
              <w:t xml:space="preserve">Faktor-ladung 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Vernetzen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 bei neuen Inhalten, Beziehungen zu verwandten Themen herzustellen.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.67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Vernetzen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versuche, neue Begriffe und Konzepte auf mir bereits bekannte Begriffe und Konzepte zu beziehen. [1]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.73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Vernetzen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 in Gedanken, das Gelernte mit dem zu verbinden, was ich schon weiß. [1]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.70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Vernetzen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 zu verstehen, wie neue Inhalte mit dem zuvor Gelernten zusammenhängen.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.77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5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Beispielen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Zu Definitionen suche ich mir geeignete </w:t>
            </w:r>
            <w:proofErr w:type="spellStart"/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Veranschaulichungen</w:t>
            </w:r>
            <w:proofErr w:type="spellEnd"/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.68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6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Beispielen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Zu Formeln suche ich mir Anwendungsbeispiele.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.60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7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Beispielen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überprüfe Aussagen anhand von Beispielen.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.59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8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Beispielen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Zu Sätzen erzeuge ich mir Beispiele, um die Aussage zu verstehen.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.67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9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Praxisbezug herstellen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Bei neuem Stoff überlege ich mir, was man praktisch damit tun kann.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.83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10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Praxisbezug herstellen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Bei neuen Inhalten überlege ich mir, was sie in der realen Welt bedeuten.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.75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11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Praxisbezug herstellen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überlege mir, ob der Lernstoff auch für mein Alltagsleben von Bedeutung ist. [1]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.58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12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Beweisen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versuche, die Beweise der Sätze nachzuvollziehen.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.85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13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Beweisen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Bei Beweisen versuche ich, Schritt für Schritt die logische Argumentation nachzuvollziehen.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.82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14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Nutzung von Beweisen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versuche Beweisverfahren zu verstehen, um sie bei anderen Aufgaben anwenden zu können.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.73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15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Vereinfachen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Schwierige Inhalte versuche ich mir zu vereinfachen.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.75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16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Vereinfachen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Um mir Inhalte besser merken zu können, reduziere ich sie für mich auf das Wesentliche.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.48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17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Vereinfachen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Ich versuche, komplizierte Zusammenhänge erstmal auf ein überschaubares Niveau </w:t>
            </w:r>
            <w:proofErr w:type="spellStart"/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herunterzubrechen</w:t>
            </w:r>
            <w:proofErr w:type="spellEnd"/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.72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18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DE65C2"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  <w:t>Auswendiglernen</w:t>
            </w:r>
            <w:proofErr w:type="spellEnd"/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  <w:t>Ich präge mir Rechenregeln gut ein, so dass ich sie nicht mehr vergesse.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.60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19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DE65C2"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  <w:t>Auswendiglernen</w:t>
            </w:r>
            <w:proofErr w:type="spellEnd"/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  <w:t>Ich versuche mir alle wichtigen Regeln zu merken.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.51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lastRenderedPageBreak/>
              <w:t>20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DE65C2"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  <w:t>Auswendiglernen</w:t>
            </w:r>
            <w:proofErr w:type="spellEnd"/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  <w:t>Damit ich wichtige Inhalte nicht vergesse, gehe ich sie immer wieder durch.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.66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21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DE65C2"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  <w:t>Auswendiglernen</w:t>
            </w:r>
            <w:proofErr w:type="spellEnd"/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  <w:t>Durch mehrfaches Wiederholen versuche ich, den Stoff besser zu behalten.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.65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22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Üben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lerne Algorithmen, in dem ich das Verfahren immer wieder durchführe.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.60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23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Üben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Verfahren übe ich möglichst oft, damit ich sie im Schlaf kann.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.81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24</w:t>
            </w:r>
          </w:p>
        </w:tc>
        <w:tc>
          <w:tcPr>
            <w:tcW w:w="2240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val="en-US"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Üben</w:t>
            </w:r>
          </w:p>
        </w:tc>
        <w:tc>
          <w:tcPr>
            <w:tcW w:w="5528" w:type="dxa"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gehe Rechenwege immer wieder durch um Routine zu bekommen.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.78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25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Frustrationsresistenz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gebe nicht auf, auch wenn der Stoff sehr schwierig oder kompliziert ist. [1, 3]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.76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26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Frustrationsresistenz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Auch wenn ich frustriert bin, lerne ich trotzdem weiter.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.71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27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Frustrationsresistenz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Auch wenn ich beim Lernen überhaupt nicht voran</w:t>
            </w: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softHyphen/>
              <w:t>komme, versuche ich es immer wieder, bis es klappt.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.83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28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Anstrengung-ÜB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Ich denke über Aufgaben immer wieder nach, auch wenn ich gerade nicht weiterkomme.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.80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29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Anstrengung-ÜB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Wenn eine Übungsaufgabe schwer ist, dann versuche ich nicht lange sie zu lösen. [2]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-.65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30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Anstrengung-ÜB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Bei Übungsaufgaben versuche ich, alles hinzubekommen.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.61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31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Anstrengung-ÜB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Wenn ich eine Aufgabe an einem Tag nicht lösen kann, versuche ich es am nächsten Tag weiter.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.74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32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Lernen mit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anderen Studierenden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Ich nehme die Hilfe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anderer Studierender</w:t>
            </w: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in Anspruch, wenn ich ernsthafte Verständnisprobleme habe. [1]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.67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33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Lernen mit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anderen Studierenden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Ich treffe mich mit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anderen Studierenden</w:t>
            </w: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, um gemeinsam Lösungsideen zu entwickeln.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.81</w:t>
            </w:r>
          </w:p>
        </w:tc>
      </w:tr>
      <w:tr w:rsidR="006C76A4" w:rsidRPr="00DE65C2" w:rsidTr="00DA1A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:rsidR="006C76A4" w:rsidRPr="00DE65C2" w:rsidRDefault="006C76A4" w:rsidP="00DA1A93">
            <w:pPr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>34</w:t>
            </w:r>
          </w:p>
        </w:tc>
        <w:tc>
          <w:tcPr>
            <w:tcW w:w="2240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Lernen mit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anderen Studierenden</w:t>
            </w:r>
          </w:p>
        </w:tc>
        <w:tc>
          <w:tcPr>
            <w:tcW w:w="5528" w:type="dxa"/>
            <w:hideMark/>
          </w:tcPr>
          <w:p w:rsidR="006C76A4" w:rsidRPr="00DE65C2" w:rsidRDefault="006C76A4" w:rsidP="00DA1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Wenn ich einen Lösungsansatz habe, diskutiere ich mit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anderen Studierenden</w:t>
            </w:r>
            <w:r w:rsidRPr="00DE65C2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darüber.</w:t>
            </w:r>
          </w:p>
        </w:tc>
        <w:tc>
          <w:tcPr>
            <w:tcW w:w="851" w:type="dxa"/>
            <w:vAlign w:val="center"/>
          </w:tcPr>
          <w:p w:rsidR="006C76A4" w:rsidRPr="00DE65C2" w:rsidRDefault="006C76A4" w:rsidP="00DA1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DE65C2">
              <w:rPr>
                <w:rFonts w:cs="Times New Roman"/>
                <w:color w:val="000000"/>
                <w:szCs w:val="20"/>
              </w:rPr>
              <w:t>.80</w:t>
            </w:r>
          </w:p>
        </w:tc>
      </w:tr>
      <w:tr w:rsidR="006C76A4" w:rsidRPr="00DE65C2" w:rsidTr="00DA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4"/>
            <w:noWrap/>
            <w:hideMark/>
          </w:tcPr>
          <w:p w:rsidR="00C8411E" w:rsidRDefault="00C8411E" w:rsidP="00DA1A93">
            <w:pPr>
              <w:rPr>
                <w:rFonts w:cs="Times New Roman"/>
                <w:b w:val="0"/>
                <w:szCs w:val="20"/>
                <w:lang w:eastAsia="de-DE"/>
              </w:rPr>
            </w:pPr>
          </w:p>
          <w:p w:rsidR="006C76A4" w:rsidRPr="00DE65C2" w:rsidRDefault="006C76A4" w:rsidP="00DA1A93">
            <w:pPr>
              <w:rPr>
                <w:rFonts w:cs="Times New Roman"/>
                <w:b w:val="0"/>
                <w:szCs w:val="20"/>
                <w:lang w:eastAsia="de-DE"/>
              </w:rPr>
            </w:pPr>
            <w:r w:rsidRPr="00DE65C2">
              <w:rPr>
                <w:rFonts w:cs="Times New Roman"/>
                <w:b w:val="0"/>
                <w:szCs w:val="20"/>
                <w:lang w:eastAsia="de-DE"/>
              </w:rPr>
              <w:t>[1] Herkunft: LIST-Fragebogen</w:t>
            </w:r>
          </w:p>
          <w:p w:rsidR="00C8411E" w:rsidRDefault="006C76A4" w:rsidP="00DA1A93">
            <w:pPr>
              <w:rPr>
                <w:rFonts w:cs="Times New Roman"/>
                <w:b w:val="0"/>
                <w:szCs w:val="20"/>
                <w:lang w:eastAsia="de-DE"/>
              </w:rPr>
            </w:pPr>
            <w:r w:rsidRPr="00DE65C2">
              <w:rPr>
                <w:rFonts w:cs="Times New Roman"/>
                <w:b w:val="0"/>
                <w:szCs w:val="20"/>
                <w:lang w:eastAsia="de-DE"/>
              </w:rPr>
              <w:t>[2] Umgepolt gewertet</w:t>
            </w:r>
          </w:p>
          <w:p w:rsidR="006C76A4" w:rsidRDefault="006C76A4" w:rsidP="00DA1A93">
            <w:pPr>
              <w:rPr>
                <w:rFonts w:cs="Times New Roman"/>
                <w:b w:val="0"/>
                <w:szCs w:val="20"/>
                <w:lang w:eastAsia="de-DE"/>
              </w:rPr>
            </w:pPr>
            <w:r w:rsidRPr="00DE65C2">
              <w:rPr>
                <w:rFonts w:cs="Times New Roman"/>
                <w:b w:val="0"/>
                <w:szCs w:val="20"/>
                <w:lang w:eastAsia="de-DE"/>
              </w:rPr>
              <w:t>[3] Aufgrund der fachmathematischen Verwendung des Wortes „komplex“ wurde die ursprüngliche Formulierung „komplex“ in „kompliziert“ geändert</w:t>
            </w:r>
          </w:p>
          <w:p w:rsidR="006C76A4" w:rsidRPr="00DE65C2" w:rsidRDefault="006C76A4" w:rsidP="00DA1A93">
            <w:pPr>
              <w:rPr>
                <w:rFonts w:cs="Times New Roman"/>
                <w:b w:val="0"/>
                <w:szCs w:val="20"/>
                <w:lang w:eastAsia="de-DE"/>
              </w:rPr>
            </w:pPr>
            <w:r>
              <w:rPr>
                <w:rFonts w:cs="Times New Roman"/>
                <w:b w:val="0"/>
                <w:szCs w:val="20"/>
                <w:lang w:eastAsia="de-DE"/>
              </w:rPr>
              <w:t>Die Items zum Lernen mit anderen Studierenden verwendeten den Ausdruck „Kommilitonen“ als generisches Maskulinum. Wir empfehlen den Einsatz in gendergerechter Sprache wie abgebildet.</w:t>
            </w:r>
          </w:p>
        </w:tc>
      </w:tr>
    </w:tbl>
    <w:p w:rsidR="00C768E9" w:rsidRDefault="00927C9D"/>
    <w:sectPr w:rsidR="00C768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6474"/>
    <w:multiLevelType w:val="multilevel"/>
    <w:tmpl w:val="16B6BBC8"/>
    <w:lvl w:ilvl="0">
      <w:start w:val="1"/>
      <w:numFmt w:val="decimal"/>
      <w:pStyle w:val="berschrift1"/>
      <w:lvlText w:val="%1"/>
      <w:lvlJc w:val="left"/>
      <w:pPr>
        <w:ind w:left="7095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A4"/>
    <w:rsid w:val="006640C8"/>
    <w:rsid w:val="006C76A4"/>
    <w:rsid w:val="00927C9D"/>
    <w:rsid w:val="00A216C9"/>
    <w:rsid w:val="00C8411E"/>
    <w:rsid w:val="00F8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1241"/>
  <w15:chartTrackingRefBased/>
  <w15:docId w15:val="{18F23E12-ACFB-4392-A1C6-6E109EE8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6A4"/>
    <w:pPr>
      <w:spacing w:after="200" w:line="276" w:lineRule="auto"/>
    </w:pPr>
    <w:rPr>
      <w:rFonts w:ascii="Times New Roman" w:hAnsi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76A4"/>
    <w:pPr>
      <w:keepNext/>
      <w:keepLines/>
      <w:numPr>
        <w:numId w:val="1"/>
      </w:numPr>
      <w:spacing w:before="240" w:after="0"/>
      <w:ind w:left="426"/>
      <w:outlineLvl w:val="0"/>
    </w:pPr>
    <w:rPr>
      <w:rFonts w:eastAsiaTheme="majorEastAsia" w:cs="Times New Roman"/>
      <w:color w:val="2E74B5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76A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="Times New Roman"/>
      <w:color w:val="2E74B5" w:themeColor="accent1" w:themeShade="BF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C76A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="Times New Roman"/>
      <w:color w:val="1F4D78" w:themeColor="accent1" w:themeShade="7F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C76A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C76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76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76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76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76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76A4"/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76A4"/>
    <w:rPr>
      <w:rFonts w:ascii="Times New Roman" w:eastAsiaTheme="majorEastAsia" w:hAnsi="Times New Roman" w:cs="Times New Roman"/>
      <w:color w:val="2E74B5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C76A4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C76A4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C76A4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76A4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76A4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76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76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EinfacheTabelle11">
    <w:name w:val="Einfache Tabelle 11"/>
    <w:basedOn w:val="NormaleTabelle"/>
    <w:uiPriority w:val="41"/>
    <w:rsid w:val="006C76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Paderborn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Liebendörfer</dc:creator>
  <cp:keywords/>
  <dc:description/>
  <cp:lastModifiedBy>Sabine König</cp:lastModifiedBy>
  <cp:revision>3</cp:revision>
  <cp:lastPrinted>2020-04-07T18:03:00Z</cp:lastPrinted>
  <dcterms:created xsi:type="dcterms:W3CDTF">2020-04-07T18:04:00Z</dcterms:created>
  <dcterms:modified xsi:type="dcterms:W3CDTF">2020-04-21T10:56:00Z</dcterms:modified>
</cp:coreProperties>
</file>