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0D50C" w14:textId="77777777" w:rsidR="00C64C3E" w:rsidRPr="00DA2E26" w:rsidRDefault="00000000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DA2E2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Supplemental material </w:t>
      </w:r>
    </w:p>
    <w:p w14:paraId="784A1163" w14:textId="77777777" w:rsidR="00C64C3E" w:rsidRPr="00DA2E26" w:rsidRDefault="00000000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DA2E26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Ecosystem Services of Freshwater Swamp Forests: Mechanisms of Hydrological Regulation and Impacts of Global Environmental Change</w:t>
      </w:r>
    </w:p>
    <w:p w14:paraId="4C89EF9C" w14:textId="77777777" w:rsidR="00C64C3E" w:rsidRPr="00DA2E26" w:rsidRDefault="00000000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DA2E26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</w:p>
    <w:p w14:paraId="62BA1C0C" w14:textId="77777777" w:rsidR="00C64C3E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Ana Paula Roschildt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 Daniel Burd Villanova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 Caroline Igansi Duarte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; Saimon Branco Bueno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 Marcos Antonio Bacarin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b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Tanise Luisa Sausen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, Junior Borella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a,b*</w:t>
      </w:r>
    </w:p>
    <w:p w14:paraId="18D2D32D" w14:textId="77777777" w:rsidR="00C64C3E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AFC1E84" w14:textId="77777777" w:rsidR="00C64C3E" w:rsidRPr="00DA2E2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A2E26">
        <w:rPr>
          <w:rFonts w:ascii="Times New Roman" w:eastAsia="Times New Roman" w:hAnsi="Times New Roman" w:cs="Times New Roman"/>
          <w:sz w:val="34"/>
          <w:szCs w:val="34"/>
          <w:vertAlign w:val="superscript"/>
          <w:lang w:val="en-US"/>
        </w:rPr>
        <w:t>a</w:t>
      </w:r>
      <w:r w:rsidRPr="00DA2E26">
        <w:rPr>
          <w:rFonts w:ascii="Times New Roman" w:eastAsia="Times New Roman" w:hAnsi="Times New Roman" w:cs="Times New Roman"/>
          <w:sz w:val="20"/>
          <w:szCs w:val="20"/>
          <w:lang w:val="en-US"/>
        </w:rPr>
        <w:t>Institute of Biological Sciences, Federal University of Rio Grande (FURG), C.P. 474, 96203-900, Rio Grande, RS, Brazil</w:t>
      </w:r>
    </w:p>
    <w:p w14:paraId="652B9E7E" w14:textId="77777777" w:rsidR="00C64C3E" w:rsidRPr="00DA2E2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A2E26">
        <w:rPr>
          <w:rFonts w:ascii="Times New Roman" w:eastAsia="Times New Roman" w:hAnsi="Times New Roman" w:cs="Times New Roman"/>
          <w:sz w:val="34"/>
          <w:szCs w:val="34"/>
          <w:vertAlign w:val="superscript"/>
          <w:lang w:val="en-US"/>
        </w:rPr>
        <w:t>b</w:t>
      </w:r>
      <w:r w:rsidRPr="00DA2E26">
        <w:rPr>
          <w:rFonts w:ascii="Times New Roman" w:eastAsia="Times New Roman" w:hAnsi="Times New Roman" w:cs="Times New Roman"/>
          <w:sz w:val="20"/>
          <w:szCs w:val="20"/>
          <w:lang w:val="en-US"/>
        </w:rPr>
        <w:t>Department of Botany, Federal University of Pelotas (UFPel), C.P. 354, 96160-000, Pelotas, RS, Brazil</w:t>
      </w:r>
    </w:p>
    <w:p w14:paraId="556C413B" w14:textId="77777777" w:rsidR="00C64C3E" w:rsidRPr="00DA2E2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A2E2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14:paraId="350F5F22" w14:textId="77777777" w:rsidR="00C64C3E" w:rsidRPr="00DA2E2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A2E2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*Corresponding author: </w:t>
      </w:r>
      <w:r w:rsidRPr="00DA2E26">
        <w:rPr>
          <w:rFonts w:ascii="Times New Roman" w:eastAsia="Times New Roman" w:hAnsi="Times New Roman" w:cs="Times New Roman"/>
          <w:color w:val="0563C1"/>
          <w:sz w:val="20"/>
          <w:szCs w:val="20"/>
          <w:lang w:val="en-US"/>
        </w:rPr>
        <w:t>borellaj@gmail.com</w:t>
      </w:r>
      <w:r w:rsidRPr="00DA2E2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(J. Borella)</w:t>
      </w:r>
    </w:p>
    <w:p w14:paraId="29C16801" w14:textId="77777777" w:rsidR="00C64C3E" w:rsidRPr="00DA2E26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A2E26">
        <w:rPr>
          <w:rFonts w:ascii="Times New Roman" w:eastAsia="Times New Roman" w:hAnsi="Times New Roman" w:cs="Times New Roman"/>
          <w:sz w:val="20"/>
          <w:szCs w:val="20"/>
          <w:lang w:val="en-US"/>
        </w:rPr>
        <w:t>Institute of Biological Sciences, Federal University of Rio Grande (FURG), C.P. 474, 96203-900, Rio Grande, RS, Brazil</w:t>
      </w:r>
    </w:p>
    <w:p w14:paraId="7BBFC13B" w14:textId="77777777" w:rsidR="00C64C3E" w:rsidRPr="00DA2E26" w:rsidRDefault="00C64C3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C64C3E" w:rsidRPr="00DA2E26" w:rsidSect="00DA2E26">
          <w:pgSz w:w="11909" w:h="16834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0664F098" w14:textId="77777777" w:rsidR="00C64C3E" w:rsidRPr="00DA2E26" w:rsidRDefault="0000000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C64C3E" w:rsidRPr="00DA2E26" w:rsidSect="00DA2E26">
          <w:type w:val="continuous"/>
          <w:pgSz w:w="11909" w:h="16834"/>
          <w:pgMar w:top="1440" w:right="1419" w:bottom="1440" w:left="1440" w:header="720" w:footer="720" w:gutter="0"/>
          <w:pgNumType w:start="1"/>
          <w:cols w:space="720"/>
          <w:titlePg/>
        </w:sectPr>
      </w:pPr>
      <w:r w:rsidRPr="00DA2E26">
        <w:rPr>
          <w:rFonts w:ascii="Times New Roman" w:eastAsia="Times New Roman" w:hAnsi="Times New Roman" w:cs="Times New Roman"/>
          <w:sz w:val="20"/>
          <w:szCs w:val="20"/>
          <w:lang w:val="en-US"/>
        </w:rPr>
        <w:t>Table S1. Hydrological, structural, and ecological characteristics of freshwater swamp forests in different regions of the world</w:t>
      </w:r>
    </w:p>
    <w:p w14:paraId="696EA9F1" w14:textId="77777777" w:rsidR="00C64C3E" w:rsidRPr="00DA2E26" w:rsidRDefault="00C64C3E">
      <w:pPr>
        <w:keepNext/>
        <w:keepLines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sectPr w:rsidR="00C64C3E" w:rsidRPr="00DA2E26" w:rsidSect="00DA2E26">
          <w:type w:val="continuous"/>
          <w:pgSz w:w="11909" w:h="16834"/>
          <w:pgMar w:top="1440" w:right="1419" w:bottom="1440" w:left="1440" w:header="720" w:footer="720" w:gutter="0"/>
          <w:pgNumType w:start="1"/>
          <w:cols w:space="720"/>
          <w:titlePg/>
        </w:sectPr>
      </w:pPr>
    </w:p>
    <w:p w14:paraId="557A81A1" w14:textId="77777777" w:rsidR="00C64C3E" w:rsidRPr="00DA2E26" w:rsidRDefault="00C64C3E">
      <w:pPr>
        <w:widowControl w:val="0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a"/>
        <w:tblW w:w="91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85"/>
        <w:gridCol w:w="1620"/>
        <w:gridCol w:w="1380"/>
        <w:gridCol w:w="1725"/>
        <w:gridCol w:w="2025"/>
        <w:gridCol w:w="1200"/>
      </w:tblGrid>
      <w:tr w:rsidR="00C64C3E" w14:paraId="0EEB5465" w14:textId="77777777">
        <w:trPr>
          <w:cantSplit/>
          <w:trHeight w:val="850"/>
        </w:trPr>
        <w:tc>
          <w:tcPr>
            <w:tcW w:w="11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BD9B9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Region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C7F0D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Hydrological Regime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2DE54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Dominant Vegetation / Canopy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816BB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Microtopographic 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CD216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Notable Ecological Notes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45AC8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References</w:t>
            </w:r>
          </w:p>
        </w:tc>
      </w:tr>
      <w:tr w:rsidR="00C64C3E" w14:paraId="5916EED1" w14:textId="77777777">
        <w:trPr>
          <w:cantSplit/>
          <w:trHeight w:val="2250"/>
        </w:trPr>
        <w:tc>
          <w:tcPr>
            <w:tcW w:w="118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160D5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Africa (e.g., Zambia, Congo Basin, and Niger Delta) 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CC9C9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Seasonal flooding (riverine and deltaic); predictable wet/dry pulses; groundwater-fed baseflow 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5E7FC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Papyrus swamps, savanna-like floodplains; Tall FSF (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Alstonia boonei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Symphonia globulifera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1585C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Minor elevation differences; flooded vs. non-flooded microsites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78289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Elevated islands support drought-tolerant species. The "Sponge" effect (flooding) naturally limits land conversion, though 30% of FSF was lost to illegal logging </w:t>
            </w:r>
          </w:p>
          <w:p w14:paraId="5FB795B0" w14:textId="77777777" w:rsidR="00C64C3E" w:rsidRDefault="00C64C3E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66B90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Giesen 2018; Upstill-Goddard et al. 2017; Ayanlade and Drake 2016</w:t>
            </w:r>
          </w:p>
          <w:p w14:paraId="288938FF" w14:textId="77777777" w:rsidR="00C64C3E" w:rsidRDefault="00C64C3E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5C65A1" w14:textId="77777777" w:rsidR="00C64C3E" w:rsidRDefault="00C64C3E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B3A6E7" w14:textId="77777777" w:rsidR="00C64C3E" w:rsidRDefault="00C64C3E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4C3E" w14:paraId="3D0AFF6F" w14:textId="77777777">
        <w:trPr>
          <w:cantSplit/>
          <w:trHeight w:val="2494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4AE5A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Amazon Basin (e.g., Brazil, Peru - Várzeas and Chavascais)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19825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Predictable, large-scale seasonal flood pulses driven by major river systems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6C165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Highly specialized, flood-tolerant canopies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(Calophyllum brasiliense, Crudia amazonica, Virola calophylla)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62692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Dynamic sediment mounds and small depressions formed by flood debris 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271A7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Pronounced environmental filtering due to prolonged hypoxia; vegetation structures act as dynamic geomorphic templates that trap riverine organic matter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ED980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Wittmann et al. 2004; Parolin and Wittmann 2010; Junk et al. 2013 </w:t>
            </w:r>
          </w:p>
        </w:tc>
      </w:tr>
      <w:tr w:rsidR="00C64C3E" w14:paraId="45FCCE27" w14:textId="77777777">
        <w:trPr>
          <w:cantSplit/>
          <w:trHeight w:val="190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6096F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Europe (Central and Eastern)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4C570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Seasonal to prolonged waterlogging; groundwater-driven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7128E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Alnus glutinosa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(Black Alder)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FCC9F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Hummocks (formed by adventitious roots) and hollows 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9ACFB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Cyclic succession: forest dieback leads to loss of the pump (evapotranspiration), causing a rise in the water table and hummock decline</w:t>
            </w:r>
          </w:p>
          <w:p w14:paraId="09CDDC06" w14:textId="77777777" w:rsidR="00C64C3E" w:rsidRDefault="00C64C3E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E868E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Pielech &amp; Malicki 2018</w:t>
            </w:r>
          </w:p>
        </w:tc>
      </w:tr>
      <w:tr w:rsidR="00C64C3E" w14:paraId="1CF503BA" w14:textId="77777777">
        <w:trPr>
          <w:cantSplit/>
          <w:trHeight w:val="169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D7C79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Southeast Asia (e.g., Indonesia, Malaysia, Singapore)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CDA50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Riverine and coastal lowlands; prolonged, deep seasonal flooding and high groundwater levels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01D49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Canopies dominated by genera such as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Barringtonia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Dillenia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Myristica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occurring alongside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Pandanus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other palms. </w:t>
            </w:r>
          </w:p>
          <w:p w14:paraId="66A0347C" w14:textId="77777777" w:rsidR="00C64C3E" w:rsidRDefault="00C64C3E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A7761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Pronounced hummocks, root mounds, and micro-depressions 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28128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Microtopography promotes intense niche differentiation; elevated microsites support high tree species diversity compared to the flooded matrices</w:t>
            </w:r>
          </w:p>
          <w:p w14:paraId="4E71A8DB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7C4C7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Giesen 2018; Clews et al. 2018</w:t>
            </w:r>
          </w:p>
        </w:tc>
      </w:tr>
      <w:tr w:rsidR="00C64C3E" w14:paraId="0C8E5B1A" w14:textId="77777777">
        <w:trPr>
          <w:cantSplit/>
          <w:trHeight w:val="169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CAC97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North America (Bottomland Forests)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61BA2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Predictable seasonal flooding; prolonged dormant season inundation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EFC94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Quercus palustris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Acer rubrum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Taxodium distichum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Nyssa aquatica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C94BA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Hummocks and hollows; root-zone expansion 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2910A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 carbon sequestration; nutrient entrapment (sponge). Hydroclimate shifts and extreme events drive canopy mortality and species turnover (pump failure)</w:t>
            </w:r>
          </w:p>
          <w:p w14:paraId="5F0314EE" w14:textId="77777777" w:rsidR="00C64C3E" w:rsidRDefault="00C64C3E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46E8AC" w14:textId="77777777" w:rsidR="00C64C3E" w:rsidRDefault="00C64C3E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8CBC6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Lee et al. 2016; Saladyga et al. 2020; Krauss et al. 2024</w:t>
            </w:r>
          </w:p>
        </w:tc>
      </w:tr>
      <w:tr w:rsidR="00C64C3E" w14:paraId="03DACC57" w14:textId="77777777">
        <w:trPr>
          <w:cantSplit/>
          <w:trHeight w:val="169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9A4C6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lastRenderedPageBreak/>
              <w:t xml:space="preserve">North America (Pacific Northwest)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31FD7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Permanently saturated soils to seasonal water-table fluctuations; coastal rain and minerotrophic groundwater forcing </w:t>
            </w:r>
          </w:p>
          <w:p w14:paraId="6A2941C3" w14:textId="77777777" w:rsidR="00C64C3E" w:rsidRDefault="00C64C3E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CBAB1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Conifer and cold-deciduous open to closed canopies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</w:rPr>
              <w:t xml:space="preserve"> (Picea sitchensis, Tsuga heterophylla, Thuja plicata, Alnus rubra) </w:t>
            </w:r>
          </w:p>
          <w:p w14:paraId="082304E0" w14:textId="77777777" w:rsidR="00C64C3E" w:rsidRDefault="00C64C3E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EC06B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Mounds, depressions, and organic soil accumulation pits 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8A7CF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High carbon storage and deep organic horizons; windthrow drives fine-scale single-tree gaps; extreme hydro-climatic shifts threaten regional water regulation and landscape resilience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A68FF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MacKenzie and Moran 2004; Bidlack et al. 2021; NatureServe 2026 </w:t>
            </w:r>
          </w:p>
        </w:tc>
      </w:tr>
      <w:tr w:rsidR="00C64C3E" w14:paraId="675AB0CF" w14:textId="77777777">
        <w:trPr>
          <w:cantSplit/>
          <w:trHeight w:val="2175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DE6F1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Northern Australia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19461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Seasonal to near-permanent flooding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60535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Eucalyptus camphora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canopy; Melaleuca spp. and Leptospermum spp. shrubs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2B664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Vegetation islands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C08FF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Adaptations to prolonged inundation; fine-scale heterogeneity in species composition</w:t>
            </w:r>
          </w:p>
          <w:p w14:paraId="2BA20358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6FF3E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Greet 2016, 2020</w:t>
            </w:r>
          </w:p>
        </w:tc>
      </w:tr>
      <w:tr w:rsidR="00C64C3E" w14:paraId="3E7CE713" w14:textId="77777777">
        <w:trPr>
          <w:cantSplit/>
          <w:trHeight w:val="3814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DD363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South America </w:t>
            </w:r>
          </w:p>
          <w:p w14:paraId="67E34844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(Brazil)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8479A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Variable (e.g., ~6 months/year in subtropical regions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F8BD3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Oligarchic canopies (7–15 m);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Calophyllum brasiliense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Tabebuia cassinoides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Erythrina crista-galli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Ficus cestrifolia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Citronella gongonha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Virola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spp. </w:t>
            </w:r>
          </w:p>
          <w:p w14:paraId="2D64164A" w14:textId="77777777" w:rsidR="00C64C3E" w:rsidRDefault="00C64C3E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7D94A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Vegetation islands, hummocks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7E5DD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Low diversity (filtering); hummocks support less-tolerant species. Regional turnover reflects 'ecological sinks' for adjacent biomes (e.g. Amazonian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chavascais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vs. subtropical Atlantic) </w:t>
            </w:r>
          </w:p>
          <w:p w14:paraId="02DA4467" w14:textId="77777777" w:rsidR="00C64C3E" w:rsidRDefault="00C64C3E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ED34D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Waechter and Jarenkow 1998; Teixeira et al. 2011; Kurtz et al. 2013</w:t>
            </w:r>
          </w:p>
        </w:tc>
      </w:tr>
      <w:tr w:rsidR="00C64C3E" w14:paraId="29F2F459" w14:textId="77777777">
        <w:trPr>
          <w:cantSplit/>
          <w:trHeight w:val="177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993EA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French Guiana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C68A0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Prolonged seasonal flooding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69C30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Flooded forest interior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2C403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Hummocks, mounds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69A8D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Flooding gradients drive species partitioning between hummocks and depressions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40FE7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Koponen et al. 2004; Whittaker 1977; Bailey and Dell 1973</w:t>
            </w:r>
          </w:p>
        </w:tc>
      </w:tr>
      <w:tr w:rsidR="00C64C3E" w14:paraId="5AD8AB7A" w14:textId="77777777">
        <w:trPr>
          <w:cantSplit/>
          <w:trHeight w:val="1215"/>
        </w:trPr>
        <w:tc>
          <w:tcPr>
            <w:tcW w:w="118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4D5AB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Norwegian swamp forests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5EB12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Variable flooding; microtopography-driven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7E53D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 swamp forest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20483" w14:textId="77777777" w:rsidR="00C64C3E" w:rsidRDefault="00000000">
            <w:pPr>
              <w:keepNext/>
              <w:keepLine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Mounds, depressions, hummocks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40E00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Fine-scale elevation differences create heterogeneity in species composition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9EBDF" w14:textId="77777777" w:rsidR="00C64C3E" w:rsidRDefault="00000000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Økland et al. 2008; Krauss et al. 2024</w:t>
            </w:r>
          </w:p>
          <w:p w14:paraId="373A83A2" w14:textId="77777777" w:rsidR="00C64C3E" w:rsidRDefault="00C64C3E">
            <w:pPr>
              <w:keepNext/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37480E" w14:textId="77777777" w:rsidR="00C64C3E" w:rsidRDefault="00C64C3E">
      <w:pPr>
        <w:spacing w:before="240" w:after="240" w:line="360" w:lineRule="auto"/>
        <w:jc w:val="both"/>
      </w:pPr>
    </w:p>
    <w:sectPr w:rsidR="00C64C3E" w:rsidSect="00DA2E26">
      <w:type w:val="continuous"/>
      <w:pgSz w:w="11909" w:h="16834"/>
      <w:pgMar w:top="1440" w:right="1419" w:bottom="1440" w:left="1440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173422CB-98C9-A046-BB92-0D67D3B3D913}"/>
    <w:embedItalic r:id="rId2" w:fontKey="{6329E8F8-0A23-C74E-90FC-3C7C3E6FE9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0E4D8A5-5A4F-EE4F-A833-8E05E10E4CA8}"/>
    <w:embedBold r:id="rId4" w:fontKey="{76A6A67A-378C-C240-A7A7-DF2B22CDA38B}"/>
    <w:embedItalic r:id="rId5" w:fontKey="{5EB42A63-3561-354A-B59D-249545B6853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F821F2B-6BC6-564C-AEE9-BCBCAFB8645C}"/>
  </w:font>
  <w:font w:name="Cambria">
    <w:panose1 w:val="02040503050406030204"/>
    <w:charset w:val="00"/>
    <w:family w:val="roman"/>
    <w:notTrueType/>
    <w:pitch w:val="default"/>
    <w:embedRegular r:id="rId7" w:fontKey="{72261180-30F6-534E-A71A-13810B8841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C3E"/>
    <w:rsid w:val="00406E45"/>
    <w:rsid w:val="00C64C3E"/>
    <w:rsid w:val="00DA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615C22"/>
  <w15:docId w15:val="{D1317911-2108-2243-B52C-7E5E52BF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Nmerodelinha">
    <w:name w:val="line number"/>
    <w:basedOn w:val="Fontepargpadro"/>
    <w:uiPriority w:val="99"/>
    <w:semiHidden/>
    <w:unhideWhenUsed/>
    <w:rsid w:val="00DA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764F21-6451-FE4C-9422-8F7D7D70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799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Junior Borella</cp:lastModifiedBy>
  <cp:revision>2</cp:revision>
  <dcterms:created xsi:type="dcterms:W3CDTF">2026-06-19T13:34:00Z</dcterms:created>
  <dcterms:modified xsi:type="dcterms:W3CDTF">2026-06-19T13:35:00Z</dcterms:modified>
</cp:coreProperties>
</file>