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AE9E7" w14:textId="77777777" w:rsidR="00020AE2" w:rsidRPr="00DC7E5A" w:rsidRDefault="00020AE2" w:rsidP="00020AE2">
      <w:pPr>
        <w:pStyle w:val="Heading1"/>
        <w:spacing w:line="360" w:lineRule="auto"/>
        <w:rPr>
          <w:rFonts w:ascii="Times New Roman" w:hAnsi="Times New Roman" w:cs="Times New Roman"/>
          <w:lang w:val="en-US"/>
        </w:rPr>
      </w:pPr>
      <w:r w:rsidRPr="008403DF">
        <w:rPr>
          <w:rFonts w:ascii="Times New Roman" w:hAnsi="Times New Roman" w:cs="Times New Roman"/>
          <w:lang w:val="en-US"/>
        </w:rPr>
        <w:t>Appendix</w:t>
      </w:r>
      <w:r>
        <w:rPr>
          <w:rFonts w:ascii="Times New Roman" w:hAnsi="Times New Roman" w:cs="Times New Roman"/>
          <w:lang w:val="en-US"/>
        </w:rPr>
        <w:t xml:space="preserve"> 1 Inspection on the relationship between CH4 flux and environmental variables</w:t>
      </w:r>
    </w:p>
    <w:p w14:paraId="0ADC2CCC" w14:textId="77777777" w:rsidR="00020AE2" w:rsidRPr="000E51EB" w:rsidRDefault="00020AE2" w:rsidP="00020AE2">
      <w:pPr>
        <w:spacing w:line="360" w:lineRule="auto"/>
      </w:pPr>
      <w:r>
        <w:rPr>
          <w:noProof/>
        </w:rPr>
        <w:drawing>
          <wp:inline distT="0" distB="0" distL="0" distR="0" wp14:anchorId="449A3040" wp14:editId="6A39D21A">
            <wp:extent cx="3415814" cy="3664238"/>
            <wp:effectExtent l="0" t="0" r="0" b="0"/>
            <wp:docPr id="18487669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66999" name="draw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415814" cy="3664238"/>
                    </a:xfrm>
                    <a:prstGeom prst="rect">
                      <a:avLst/>
                    </a:prstGeom>
                  </pic:spPr>
                </pic:pic>
              </a:graphicData>
            </a:graphic>
          </wp:inline>
        </w:drawing>
      </w:r>
    </w:p>
    <w:p w14:paraId="3BAF348C" w14:textId="77777777" w:rsidR="00020AE2" w:rsidRDefault="00020AE2" w:rsidP="00020AE2">
      <w:pPr>
        <w:spacing w:line="360" w:lineRule="auto"/>
        <w:rPr>
          <w:lang w:val="en-US"/>
        </w:rPr>
      </w:pPr>
      <w:r w:rsidRPr="00731745">
        <w:rPr>
          <w:b/>
          <w:bCs/>
          <w:lang w:val="en-US"/>
        </w:rPr>
        <w:t xml:space="preserve">Fig. </w:t>
      </w:r>
      <w:r>
        <w:rPr>
          <w:b/>
          <w:bCs/>
          <w:lang w:val="en-US"/>
        </w:rPr>
        <w:t>S1.1</w:t>
      </w:r>
      <w:r>
        <w:rPr>
          <w:lang w:val="en-US"/>
        </w:rPr>
        <w:t xml:space="preserve"> </w:t>
      </w:r>
      <w:r w:rsidRPr="7E520945">
        <w:rPr>
          <w:lang w:val="en-US"/>
        </w:rPr>
        <w:t xml:space="preserve">Principal-components analysis (PCA) of 359 samples and </w:t>
      </w:r>
      <w:r>
        <w:rPr>
          <w:lang w:val="en-US"/>
        </w:rPr>
        <w:t>8</w:t>
      </w:r>
      <w:r w:rsidRPr="7E520945">
        <w:rPr>
          <w:lang w:val="en-US"/>
        </w:rPr>
        <w:t xml:space="preserve"> variables</w:t>
      </w:r>
      <w:r>
        <w:rPr>
          <w:lang w:val="en-US"/>
        </w:rPr>
        <w:t xml:space="preserve"> (CH4 flux, chamber temperature (Ta), soil temperature (Ts), water table (WT) and different components of leaf area index (LAI), namely </w:t>
      </w:r>
      <w:proofErr w:type="gramStart"/>
      <w:r>
        <w:rPr>
          <w:lang w:val="en-US"/>
        </w:rPr>
        <w:t>total LAI,</w:t>
      </w:r>
      <w:proofErr w:type="gramEnd"/>
      <w:r>
        <w:rPr>
          <w:lang w:val="en-US"/>
        </w:rPr>
        <w:t xml:space="preserve"> </w:t>
      </w:r>
      <w:r w:rsidRPr="1EA2B449">
        <w:rPr>
          <w:lang w:val="en-US"/>
        </w:rPr>
        <w:t>LAI of sedges, and LAI of shrubs</w:t>
      </w:r>
      <w:r>
        <w:rPr>
          <w:lang w:val="en-US"/>
        </w:rPr>
        <w:t>)</w:t>
      </w:r>
      <w:r w:rsidRPr="7E520945">
        <w:rPr>
          <w:lang w:val="en-US"/>
        </w:rPr>
        <w:t>. PC1 and PC2 explain 26.1% and 21.3% of total variance, respectively (47.5% cumulative). Arrows represent variable loadings; their lengths are proportional to their contribution to the PCs</w:t>
      </w:r>
    </w:p>
    <w:p w14:paraId="4B7FBFAB" w14:textId="77777777" w:rsidR="00020AE2" w:rsidRDefault="00020AE2" w:rsidP="00020AE2">
      <w:pPr>
        <w:spacing w:line="360" w:lineRule="auto"/>
      </w:pPr>
      <w:r>
        <w:rPr>
          <w:noProof/>
        </w:rPr>
        <w:lastRenderedPageBreak/>
        <w:drawing>
          <wp:inline distT="0" distB="0" distL="0" distR="0" wp14:anchorId="473E1AE4" wp14:editId="349A88CD">
            <wp:extent cx="6181725" cy="6181725"/>
            <wp:effectExtent l="0" t="0" r="0" b="0"/>
            <wp:docPr id="16596910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91048"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81725" cy="6181725"/>
                    </a:xfrm>
                    <a:prstGeom prst="rect">
                      <a:avLst/>
                    </a:prstGeom>
                  </pic:spPr>
                </pic:pic>
              </a:graphicData>
            </a:graphic>
          </wp:inline>
        </w:drawing>
      </w:r>
    </w:p>
    <w:p w14:paraId="7EE8D0AB" w14:textId="77777777" w:rsidR="00020AE2" w:rsidRPr="002F385E" w:rsidRDefault="00020AE2" w:rsidP="00020AE2">
      <w:pPr>
        <w:spacing w:line="360" w:lineRule="auto"/>
        <w:rPr>
          <w:sz w:val="22"/>
          <w:szCs w:val="22"/>
          <w:lang w:val="en-US"/>
        </w:rPr>
      </w:pPr>
      <w:r w:rsidRPr="00931E22">
        <w:rPr>
          <w:b/>
          <w:bCs/>
          <w:sz w:val="22"/>
          <w:szCs w:val="22"/>
          <w:lang w:val="en-US"/>
        </w:rPr>
        <w:t xml:space="preserve">Fig </w:t>
      </w:r>
      <w:r>
        <w:rPr>
          <w:b/>
          <w:bCs/>
          <w:sz w:val="22"/>
          <w:szCs w:val="22"/>
          <w:lang w:val="en-US"/>
        </w:rPr>
        <w:t>S1.2</w:t>
      </w:r>
      <w:r w:rsidRPr="00931E22">
        <w:rPr>
          <w:sz w:val="22"/>
          <w:szCs w:val="22"/>
          <w:lang w:val="en-US"/>
        </w:rPr>
        <w:t xml:space="preserve"> Correlation matrix based on log-transformed CH₄ flux (mg m⁻² h⁻¹) and five explanatory variables: air temperature inside chamber (°C), water table depth (cm), and leaf area indices (LAI) for total vegetation, sedges, and shrubs. Pearson correlation coefficients are shown in the upper panels. Diagonal panels show kernel density estimates for each variable. All data grouped by treatment type (color-coded)</w:t>
      </w:r>
    </w:p>
    <w:p w14:paraId="0D5618C0" w14:textId="77777777" w:rsidR="00C14673" w:rsidRDefault="00C14673"/>
    <w:sectPr w:rsidR="00C14673" w:rsidSect="00020AE2">
      <w:footerReference w:type="default" r:id="rId6"/>
      <w:pgSz w:w="11906" w:h="16838"/>
      <w:pgMar w:top="1440" w:right="1080" w:bottom="1440" w:left="108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98356"/>
      <w:docPartObj>
        <w:docPartGallery w:val="Page Numbers (Bottom of Page)"/>
        <w:docPartUnique/>
      </w:docPartObj>
    </w:sdtPr>
    <w:sdtContent>
      <w:p w14:paraId="277EF07F" w14:textId="77777777" w:rsidR="00020AE2" w:rsidRDefault="00020AE2">
        <w:pPr>
          <w:pStyle w:val="Footer"/>
          <w:jc w:val="center"/>
        </w:pPr>
        <w:r>
          <w:fldChar w:fldCharType="begin"/>
        </w:r>
        <w:r>
          <w:instrText>PAGE   \* MERGEFORMAT</w:instrText>
        </w:r>
        <w:r>
          <w:fldChar w:fldCharType="separate"/>
        </w:r>
        <w:r>
          <w:rPr>
            <w:lang w:val="sv-SE"/>
          </w:rPr>
          <w:t>2</w:t>
        </w:r>
        <w:r>
          <w:fldChar w:fldCharType="end"/>
        </w:r>
      </w:p>
    </w:sdtContent>
  </w:sdt>
  <w:p w14:paraId="4BDD11AD" w14:textId="77777777" w:rsidR="00020AE2" w:rsidRDefault="00020AE2">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AE2"/>
    <w:rsid w:val="00020AE2"/>
    <w:rsid w:val="00700383"/>
    <w:rsid w:val="007645AA"/>
    <w:rsid w:val="00C14673"/>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D6D7"/>
  <w15:chartTrackingRefBased/>
  <w15:docId w15:val="{36AD46C8-A6A9-4CCE-AB62-4FD79768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AE2"/>
    <w:rPr>
      <w:rFonts w:ascii="Times New Roman" w:hAnsi="Times New Roman" w:cs="Times New Roman (Headings CS)"/>
      <w:color w:val="000000" w:themeColor="text1"/>
      <w:szCs w:val="32"/>
    </w:rPr>
  </w:style>
  <w:style w:type="paragraph" w:styleId="Heading1">
    <w:name w:val="heading 1"/>
    <w:basedOn w:val="Normal"/>
    <w:next w:val="Normal"/>
    <w:link w:val="Heading1Char"/>
    <w:uiPriority w:val="9"/>
    <w:qFormat/>
    <w:rsid w:val="00020A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0AE2"/>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020A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AE2"/>
    <w:pPr>
      <w:keepNext/>
      <w:keepLines/>
      <w:spacing w:before="80" w:after="40"/>
      <w:outlineLvl w:val="3"/>
    </w:pPr>
    <w:rPr>
      <w:rFonts w:asciiTheme="minorHAnsi" w:eastAsiaTheme="majorEastAsia" w:hAnsiTheme="minorHAnsi"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020AE2"/>
    <w:pPr>
      <w:keepNext/>
      <w:keepLines/>
      <w:spacing w:before="80" w:after="40"/>
      <w:outlineLvl w:val="4"/>
    </w:pPr>
    <w:rPr>
      <w:rFonts w:asciiTheme="minorHAnsi" w:eastAsiaTheme="maj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020AE2"/>
    <w:pPr>
      <w:keepNext/>
      <w:keepLines/>
      <w:spacing w:before="40" w:after="0"/>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020AE2"/>
    <w:pPr>
      <w:keepNext/>
      <w:keepLines/>
      <w:spacing w:before="40" w:after="0"/>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020AE2"/>
    <w:pPr>
      <w:keepNext/>
      <w:keepLines/>
      <w:spacing w:after="0"/>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020AE2"/>
    <w:pPr>
      <w:keepNext/>
      <w:keepLines/>
      <w:spacing w:after="0"/>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A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A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A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A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A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AE2"/>
    <w:rPr>
      <w:rFonts w:eastAsiaTheme="majorEastAsia" w:cstheme="majorBidi"/>
      <w:color w:val="272727" w:themeColor="text1" w:themeTint="D8"/>
    </w:rPr>
  </w:style>
  <w:style w:type="paragraph" w:styleId="Title">
    <w:name w:val="Title"/>
    <w:basedOn w:val="Normal"/>
    <w:next w:val="Normal"/>
    <w:link w:val="TitleChar"/>
    <w:uiPriority w:val="10"/>
    <w:qFormat/>
    <w:rsid w:val="00020AE2"/>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20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A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AE2"/>
    <w:pPr>
      <w:spacing w:before="160"/>
      <w:jc w:val="center"/>
    </w:pPr>
    <w:rPr>
      <w:rFonts w:asciiTheme="minorHAnsi" w:hAnsiTheme="minorHAnsi" w:cstheme="minorBidi"/>
      <w:i/>
      <w:iCs/>
      <w:color w:val="404040" w:themeColor="text1" w:themeTint="BF"/>
      <w:szCs w:val="24"/>
    </w:rPr>
  </w:style>
  <w:style w:type="character" w:customStyle="1" w:styleId="QuoteChar">
    <w:name w:val="Quote Char"/>
    <w:basedOn w:val="DefaultParagraphFont"/>
    <w:link w:val="Quote"/>
    <w:uiPriority w:val="29"/>
    <w:rsid w:val="00020AE2"/>
    <w:rPr>
      <w:i/>
      <w:iCs/>
      <w:color w:val="404040" w:themeColor="text1" w:themeTint="BF"/>
    </w:rPr>
  </w:style>
  <w:style w:type="paragraph" w:styleId="ListParagraph">
    <w:name w:val="List Paragraph"/>
    <w:basedOn w:val="Normal"/>
    <w:uiPriority w:val="34"/>
    <w:qFormat/>
    <w:rsid w:val="00020AE2"/>
    <w:pPr>
      <w:ind w:left="720"/>
      <w:contextualSpacing/>
    </w:pPr>
    <w:rPr>
      <w:rFonts w:asciiTheme="minorHAnsi" w:hAnsiTheme="minorHAnsi" w:cstheme="minorBidi"/>
      <w:color w:val="auto"/>
      <w:szCs w:val="24"/>
    </w:rPr>
  </w:style>
  <w:style w:type="character" w:styleId="IntenseEmphasis">
    <w:name w:val="Intense Emphasis"/>
    <w:basedOn w:val="DefaultParagraphFont"/>
    <w:uiPriority w:val="21"/>
    <w:qFormat/>
    <w:rsid w:val="00020AE2"/>
    <w:rPr>
      <w:i/>
      <w:iCs/>
      <w:color w:val="0F4761" w:themeColor="accent1" w:themeShade="BF"/>
    </w:rPr>
  </w:style>
  <w:style w:type="paragraph" w:styleId="IntenseQuote">
    <w:name w:val="Intense Quote"/>
    <w:basedOn w:val="Normal"/>
    <w:next w:val="Normal"/>
    <w:link w:val="IntenseQuoteChar"/>
    <w:uiPriority w:val="30"/>
    <w:qFormat/>
    <w:rsid w:val="00020AE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szCs w:val="24"/>
    </w:rPr>
  </w:style>
  <w:style w:type="character" w:customStyle="1" w:styleId="IntenseQuoteChar">
    <w:name w:val="Intense Quote Char"/>
    <w:basedOn w:val="DefaultParagraphFont"/>
    <w:link w:val="IntenseQuote"/>
    <w:uiPriority w:val="30"/>
    <w:rsid w:val="00020AE2"/>
    <w:rPr>
      <w:i/>
      <w:iCs/>
      <w:color w:val="0F4761" w:themeColor="accent1" w:themeShade="BF"/>
    </w:rPr>
  </w:style>
  <w:style w:type="character" w:styleId="IntenseReference">
    <w:name w:val="Intense Reference"/>
    <w:basedOn w:val="DefaultParagraphFont"/>
    <w:uiPriority w:val="32"/>
    <w:qFormat/>
    <w:rsid w:val="00020AE2"/>
    <w:rPr>
      <w:b/>
      <w:bCs/>
      <w:smallCaps/>
      <w:color w:val="0F4761" w:themeColor="accent1" w:themeShade="BF"/>
      <w:spacing w:val="5"/>
    </w:rPr>
  </w:style>
  <w:style w:type="paragraph" w:styleId="Footer">
    <w:name w:val="footer"/>
    <w:basedOn w:val="Normal"/>
    <w:link w:val="FooterChar"/>
    <w:uiPriority w:val="99"/>
    <w:unhideWhenUsed/>
    <w:rsid w:val="00020A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AE2"/>
    <w:rPr>
      <w:rFonts w:ascii="Times New Roman" w:hAnsi="Times New Roman" w:cs="Times New Roman (Headings CS)"/>
      <w:color w:val="000000" w:themeColor="text1"/>
      <w:szCs w:val="32"/>
    </w:rPr>
  </w:style>
  <w:style w:type="character" w:styleId="LineNumber">
    <w:name w:val="line number"/>
    <w:basedOn w:val="DefaultParagraphFont"/>
    <w:uiPriority w:val="99"/>
    <w:semiHidden/>
    <w:unhideWhenUsed/>
    <w:rsid w:val="00020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140</Words>
  <Characters>809</Characters>
  <Application>Microsoft Office Word</Application>
  <DocSecurity>0</DocSecurity>
  <Lines>13</Lines>
  <Paragraphs>3</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Laine-Petäjäkangas</dc:creator>
  <cp:keywords/>
  <dc:description/>
  <cp:lastModifiedBy>Anna Laine-Petäjäkangas</cp:lastModifiedBy>
  <cp:revision>1</cp:revision>
  <dcterms:created xsi:type="dcterms:W3CDTF">2026-01-31T06:32:00Z</dcterms:created>
  <dcterms:modified xsi:type="dcterms:W3CDTF">2026-01-31T06:33:00Z</dcterms:modified>
</cp:coreProperties>
</file>