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D57" w:rsidRPr="00C9077D" w:rsidRDefault="00714D57" w:rsidP="00765F7F">
      <w:pPr>
        <w:outlineLvl w:val="0"/>
        <w:rPr>
          <w:b/>
          <w:sz w:val="22"/>
          <w:szCs w:val="22"/>
        </w:rPr>
      </w:pPr>
      <w:r w:rsidRPr="00C9077D">
        <w:rPr>
          <w:b/>
          <w:sz w:val="22"/>
          <w:szCs w:val="22"/>
        </w:rPr>
        <w:t>Supplementary Information</w:t>
      </w:r>
    </w:p>
    <w:p w:rsidR="00714D57" w:rsidRPr="00C9077D" w:rsidRDefault="00714D57" w:rsidP="00714D57">
      <w:pPr>
        <w:rPr>
          <w:b/>
        </w:rPr>
      </w:pPr>
    </w:p>
    <w:p w:rsidR="00714D57" w:rsidRPr="00C9077D" w:rsidRDefault="0030430B" w:rsidP="00714D57">
      <w:pPr>
        <w:jc w:val="center"/>
      </w:pPr>
      <w:r w:rsidRPr="00C9077D">
        <w:rPr>
          <w:noProof/>
        </w:rPr>
        <w:drawing>
          <wp:anchor distT="0" distB="0" distL="114300" distR="114300" simplePos="0" relativeHeight="251658240" behindDoc="0" locked="0" layoutInCell="1" allowOverlap="1" wp14:anchorId="46F792DA" wp14:editId="237498B3">
            <wp:simplePos x="0" y="0"/>
            <wp:positionH relativeFrom="column">
              <wp:posOffset>-35860</wp:posOffset>
            </wp:positionH>
            <wp:positionV relativeFrom="paragraph">
              <wp:posOffset>31638</wp:posOffset>
            </wp:positionV>
            <wp:extent cx="5782235" cy="3227294"/>
            <wp:effectExtent l="0" t="0" r="0" b="0"/>
            <wp:wrapNone/>
            <wp:docPr id="2"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06148" cy="324064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4D57" w:rsidRPr="00714D57" w:rsidRDefault="00714D57" w:rsidP="00714D57">
      <w:pPr>
        <w:jc w:val="center"/>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30430B" w:rsidRDefault="0030430B" w:rsidP="0030430B">
      <w:pPr>
        <w:spacing w:line="480" w:lineRule="auto"/>
        <w:jc w:val="both"/>
        <w:rPr>
          <w:b/>
        </w:rPr>
      </w:pPr>
    </w:p>
    <w:p w:rsidR="00714D57" w:rsidRPr="00C9077D" w:rsidRDefault="00714D57" w:rsidP="0030430B">
      <w:pPr>
        <w:spacing w:line="480" w:lineRule="auto"/>
        <w:jc w:val="both"/>
        <w:rPr>
          <w:b/>
        </w:rPr>
      </w:pPr>
      <w:r w:rsidRPr="00714D57">
        <w:rPr>
          <w:b/>
        </w:rPr>
        <w:t>Figure S1: Overview</w:t>
      </w:r>
      <w:r w:rsidRPr="00C9077D">
        <w:rPr>
          <w:b/>
        </w:rPr>
        <w:t xml:space="preserve"> of holding tank and Aiptasia phenotype(s). </w:t>
      </w:r>
      <w:r w:rsidRPr="00C9077D">
        <w:t>(a) Aiptasia were</w:t>
      </w:r>
      <w:r w:rsidRPr="00C9077D">
        <w:rPr>
          <w:b/>
        </w:rPr>
        <w:t xml:space="preserve"> </w:t>
      </w:r>
      <w:r w:rsidRPr="00C9077D">
        <w:t xml:space="preserve">reared in a long-term mesocosm (left) with and automated RO </w:t>
      </w:r>
      <w:r w:rsidR="00F9247F">
        <w:t xml:space="preserve">(reverse-osmosis) </w:t>
      </w:r>
      <w:r w:rsidRPr="00C9077D">
        <w:t xml:space="preserve">water top-up system (right). After long-term culture without feeding or water exchanges, we started noticing the appearance of ‘Wurst’ Aiptasia (white arrows). (b) These ‘Wurst’ Aiptasia are smaller in size and show arrested tentacle growth as well as an elongated body shape compared to the </w:t>
      </w:r>
      <w:r w:rsidR="003D30E8">
        <w:t>wildtype</w:t>
      </w:r>
      <w:r w:rsidRPr="00C9077D">
        <w:t xml:space="preserve"> </w:t>
      </w:r>
      <w:r w:rsidRPr="00F9247F">
        <w:t>Aiptasia ph</w:t>
      </w:r>
      <w:r w:rsidR="00F9247F" w:rsidRPr="00F9247F">
        <w:t>e</w:t>
      </w:r>
      <w:r w:rsidRPr="00F9247F">
        <w:t>notype</w:t>
      </w:r>
      <w:r w:rsidRPr="00C9077D">
        <w:t xml:space="preserve">. While Aiptasia of the </w:t>
      </w:r>
      <w:r w:rsidR="003D30E8">
        <w:t>wil</w:t>
      </w:r>
      <w:r w:rsidR="00765F7F">
        <w:t>d</w:t>
      </w:r>
      <w:r w:rsidR="003D30E8">
        <w:t>type</w:t>
      </w:r>
      <w:r w:rsidRPr="00C9077D">
        <w:t xml:space="preserve"> phenotype do not lose their tentacles immediately, their asexually-produced offspring (c) show the ‘Wurst’ phenotype. </w:t>
      </w:r>
    </w:p>
    <w:p w:rsidR="00714D57" w:rsidRPr="00C9077D" w:rsidRDefault="00714D57" w:rsidP="00714D57">
      <w:pPr>
        <w:spacing w:line="480" w:lineRule="auto"/>
        <w:rPr>
          <w:b/>
        </w:rPr>
      </w:pPr>
    </w:p>
    <w:p w:rsidR="00714D57" w:rsidRPr="00C9077D" w:rsidRDefault="00714D57" w:rsidP="00714D57">
      <w:r w:rsidRPr="00C9077D">
        <w:br w:type="page"/>
      </w:r>
    </w:p>
    <w:p w:rsidR="00714D57" w:rsidRPr="00C9077D" w:rsidRDefault="00714D57" w:rsidP="0030430B">
      <w:pPr>
        <w:spacing w:line="480" w:lineRule="auto"/>
        <w:jc w:val="both"/>
        <w:rPr>
          <w:b/>
        </w:rPr>
      </w:pPr>
      <w:r w:rsidRPr="00714D57">
        <w:rPr>
          <w:b/>
        </w:rPr>
        <w:lastRenderedPageBreak/>
        <w:t>Table S1: Characteristics</w:t>
      </w:r>
      <w:r w:rsidRPr="00C9077D">
        <w:rPr>
          <w:b/>
        </w:rPr>
        <w:t xml:space="preserve"> of Aiptasia phenotypes. </w:t>
      </w:r>
      <w:r w:rsidRPr="00C9077D">
        <w:t xml:space="preserve">Overview of symbiont densities and protein content of Aiptasia, depending on their phenotype. While </w:t>
      </w:r>
      <w:r w:rsidR="00C74B4A">
        <w:t xml:space="preserve">the </w:t>
      </w:r>
      <w:bookmarkStart w:id="0" w:name="_GoBack"/>
      <w:bookmarkEnd w:id="0"/>
      <w:r w:rsidRPr="00C9077D">
        <w:t>phenotype had no effect on the symbiont densities of Aiptasia (</w:t>
      </w:r>
      <w:r w:rsidRPr="00C9077D">
        <w:rPr>
          <w:i/>
        </w:rPr>
        <w:t>t</w:t>
      </w:r>
      <w:r w:rsidRPr="00C9077D">
        <w:rPr>
          <w:vertAlign w:val="subscript"/>
        </w:rPr>
        <w:t>(8)</w:t>
      </w:r>
      <w:r w:rsidRPr="00C9077D">
        <w:t xml:space="preserve">= 0.15, </w:t>
      </w:r>
      <w:r w:rsidRPr="00C9077D">
        <w:rPr>
          <w:i/>
        </w:rPr>
        <w:t>p</w:t>
      </w:r>
      <w:r w:rsidRPr="00C9077D">
        <w:t xml:space="preserve"> = 0.887), the protein content of ‘Wurst’ Aiptasia was significantly lower than that of the </w:t>
      </w:r>
      <w:r w:rsidR="00692364">
        <w:t>wildtype</w:t>
      </w:r>
      <w:r w:rsidRPr="00C9077D">
        <w:t xml:space="preserve"> phenotype (</w:t>
      </w:r>
      <w:r w:rsidRPr="00C9077D">
        <w:rPr>
          <w:i/>
        </w:rPr>
        <w:t>t</w:t>
      </w:r>
      <w:r w:rsidRPr="00C9077D">
        <w:rPr>
          <w:vertAlign w:val="subscript"/>
        </w:rPr>
        <w:t>(8)</w:t>
      </w:r>
      <w:r w:rsidRPr="00C9077D">
        <w:t xml:space="preserve">= 2.98, </w:t>
      </w:r>
      <w:r w:rsidRPr="00C9077D">
        <w:rPr>
          <w:i/>
        </w:rPr>
        <w:t>p</w:t>
      </w:r>
      <w:r w:rsidRPr="00C9077D">
        <w:t xml:space="preserve"> = 0.017).</w:t>
      </w:r>
      <w:r w:rsidR="0047648C">
        <w:t xml:space="preserve"> </w:t>
      </w:r>
      <w:r w:rsidRPr="00C9077D">
        <w:t xml:space="preserve">DW = dry weight. </w:t>
      </w:r>
    </w:p>
    <w:p w:rsidR="00714D57" w:rsidRPr="00C9077D" w:rsidRDefault="00714D57" w:rsidP="00714D57">
      <w:pPr>
        <w:rPr>
          <w:b/>
        </w:rPr>
      </w:pPr>
    </w:p>
    <w:tbl>
      <w:tblPr>
        <w:tblW w:w="10099" w:type="dxa"/>
        <w:jc w:val="center"/>
        <w:tblLayout w:type="fixed"/>
        <w:tblLook w:val="0000" w:firstRow="0" w:lastRow="0" w:firstColumn="0" w:lastColumn="0" w:noHBand="0" w:noVBand="0"/>
      </w:tblPr>
      <w:tblGrid>
        <w:gridCol w:w="1066"/>
        <w:gridCol w:w="680"/>
        <w:gridCol w:w="236"/>
        <w:gridCol w:w="1191"/>
        <w:gridCol w:w="1191"/>
        <w:gridCol w:w="1191"/>
        <w:gridCol w:w="236"/>
        <w:gridCol w:w="2154"/>
        <w:gridCol w:w="2154"/>
      </w:tblGrid>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rPr>
                <w:rFonts w:eastAsia="Calibri"/>
                <w:b/>
                <w:bCs/>
                <w:sz w:val="18"/>
                <w:szCs w:val="18"/>
              </w:rPr>
            </w:pPr>
            <w:r w:rsidRPr="00C9077D">
              <w:rPr>
                <w:rFonts w:eastAsia="Calibri"/>
                <w:b/>
                <w:bCs/>
                <w:sz w:val="18"/>
                <w:szCs w:val="18"/>
              </w:rPr>
              <w:t>Phenotype</w:t>
            </w: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Rep</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p>
        </w:tc>
        <w:tc>
          <w:tcPr>
            <w:tcW w:w="1191"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 Symbionts</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Host protein</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Host DW</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Symbiont density</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Host protein content</w:t>
            </w:r>
          </w:p>
        </w:tc>
      </w:tr>
      <w:tr w:rsidR="00714D57" w:rsidRPr="00C9077D" w:rsidTr="00B435F5">
        <w:trPr>
          <w:trHeight w:val="20"/>
          <w:jc w:val="center"/>
        </w:trPr>
        <w:tc>
          <w:tcPr>
            <w:tcW w:w="1066"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p>
        </w:tc>
        <w:tc>
          <w:tcPr>
            <w:tcW w:w="680"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p>
        </w:tc>
        <w:tc>
          <w:tcPr>
            <w:tcW w:w="236"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p>
        </w:tc>
        <w:tc>
          <w:tcPr>
            <w:tcW w:w="1191"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[cells]</w:t>
            </w:r>
          </w:p>
        </w:tc>
        <w:tc>
          <w:tcPr>
            <w:tcW w:w="1191" w:type="dxa"/>
            <w:tcBorders>
              <w:top w:val="nil"/>
              <w:left w:val="nil"/>
              <w:bottom w:val="single" w:sz="12"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[µg]</w:t>
            </w:r>
          </w:p>
        </w:tc>
        <w:tc>
          <w:tcPr>
            <w:tcW w:w="1191" w:type="dxa"/>
            <w:tcBorders>
              <w:top w:val="nil"/>
              <w:left w:val="nil"/>
              <w:bottom w:val="single" w:sz="12"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[mg]</w:t>
            </w:r>
          </w:p>
        </w:tc>
        <w:tc>
          <w:tcPr>
            <w:tcW w:w="236"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[cells mg</w:t>
            </w:r>
            <w:r w:rsidRPr="00C9077D">
              <w:rPr>
                <w:rFonts w:eastAsia="Calibri"/>
                <w:sz w:val="18"/>
                <w:szCs w:val="18"/>
                <w:vertAlign w:val="superscript"/>
              </w:rPr>
              <w:t>-1</w:t>
            </w:r>
            <w:r w:rsidRPr="00C9077D">
              <w:rPr>
                <w:rFonts w:eastAsia="Calibri"/>
                <w:sz w:val="18"/>
                <w:szCs w:val="18"/>
              </w:rPr>
              <w:t xml:space="preserve"> DW host]</w:t>
            </w:r>
          </w:p>
        </w:tc>
        <w:tc>
          <w:tcPr>
            <w:tcW w:w="2154"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[µg protein mg</w:t>
            </w:r>
            <w:r w:rsidRPr="00C9077D">
              <w:rPr>
                <w:rFonts w:eastAsia="Calibri"/>
                <w:sz w:val="18"/>
                <w:szCs w:val="18"/>
                <w:vertAlign w:val="superscript"/>
              </w:rPr>
              <w:t>-1</w:t>
            </w:r>
            <w:r w:rsidRPr="00C9077D">
              <w:rPr>
                <w:rFonts w:eastAsia="Calibri"/>
                <w:sz w:val="18"/>
                <w:szCs w:val="18"/>
              </w:rPr>
              <w:t xml:space="preserve"> DW host]</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692364" w:rsidP="00B435F5">
            <w:pPr>
              <w:autoSpaceDE w:val="0"/>
              <w:autoSpaceDN w:val="0"/>
              <w:adjustRightInd w:val="0"/>
              <w:rPr>
                <w:rFonts w:eastAsia="Calibri"/>
                <w:sz w:val="18"/>
                <w:szCs w:val="18"/>
              </w:rPr>
            </w:pPr>
            <w:r>
              <w:rPr>
                <w:rFonts w:eastAsia="Calibri"/>
                <w:sz w:val="18"/>
                <w:szCs w:val="18"/>
              </w:rPr>
              <w:t>Wildtype</w:t>
            </w: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1</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2,500,000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57.33</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0.63</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4,000,000</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91.72</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2</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2,940,000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125.93</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0.88</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3,360,000</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143.92</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3</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3,040,000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108.06</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1.88</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1,621,333</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57.63</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4</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2,960,000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78.26</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1.00</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2,960,000</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78.26</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5</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3,670,000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119.23</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1.75</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2,097,143</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68.13</w:t>
            </w:r>
          </w:p>
        </w:tc>
      </w:tr>
      <w:tr w:rsidR="00714D57" w:rsidRPr="00C9077D" w:rsidTr="00B435F5">
        <w:trPr>
          <w:trHeight w:val="20"/>
          <w:jc w:val="center"/>
        </w:trPr>
        <w:tc>
          <w:tcPr>
            <w:tcW w:w="1066" w:type="dxa"/>
            <w:tcBorders>
              <w:top w:val="nil"/>
              <w:left w:val="nil"/>
              <w:bottom w:val="single" w:sz="6" w:space="0" w:color="auto"/>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single" w:sz="6" w:space="0" w:color="auto"/>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r w:rsidRPr="00C9077D">
              <w:rPr>
                <w:rFonts w:eastAsia="Calibri"/>
                <w:b/>
                <w:bCs/>
                <w:sz w:val="18"/>
                <w:szCs w:val="18"/>
              </w:rPr>
              <w:t>Mean</w:t>
            </w:r>
          </w:p>
        </w:tc>
        <w:tc>
          <w:tcPr>
            <w:tcW w:w="236" w:type="dxa"/>
            <w:tcBorders>
              <w:top w:val="nil"/>
              <w:left w:val="nil"/>
              <w:bottom w:val="single" w:sz="6" w:space="0" w:color="auto"/>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p>
        </w:tc>
        <w:tc>
          <w:tcPr>
            <w:tcW w:w="1191" w:type="dxa"/>
            <w:tcBorders>
              <w:top w:val="nil"/>
              <w:left w:val="nil"/>
              <w:bottom w:val="single" w:sz="6"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3,022,000</w:t>
            </w:r>
          </w:p>
        </w:tc>
        <w:tc>
          <w:tcPr>
            <w:tcW w:w="1191" w:type="dxa"/>
            <w:tcBorders>
              <w:top w:val="nil"/>
              <w:left w:val="nil"/>
              <w:bottom w:val="single" w:sz="6"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97.76</w:t>
            </w:r>
          </w:p>
        </w:tc>
        <w:tc>
          <w:tcPr>
            <w:tcW w:w="1191" w:type="dxa"/>
            <w:tcBorders>
              <w:top w:val="nil"/>
              <w:left w:val="nil"/>
              <w:bottom w:val="single" w:sz="6"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1.22</w:t>
            </w:r>
          </w:p>
        </w:tc>
        <w:tc>
          <w:tcPr>
            <w:tcW w:w="236" w:type="dxa"/>
            <w:tcBorders>
              <w:top w:val="nil"/>
              <w:left w:val="nil"/>
              <w:bottom w:val="single" w:sz="6" w:space="0" w:color="auto"/>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p>
        </w:tc>
        <w:tc>
          <w:tcPr>
            <w:tcW w:w="2154" w:type="dxa"/>
            <w:tcBorders>
              <w:top w:val="nil"/>
              <w:left w:val="nil"/>
              <w:bottom w:val="single" w:sz="6" w:space="0" w:color="auto"/>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2,807,695</w:t>
            </w:r>
          </w:p>
        </w:tc>
        <w:tc>
          <w:tcPr>
            <w:tcW w:w="2154" w:type="dxa"/>
            <w:tcBorders>
              <w:top w:val="nil"/>
              <w:left w:val="nil"/>
              <w:bottom w:val="single" w:sz="6" w:space="0" w:color="auto"/>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87.93</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rPr>
                <w:rFonts w:eastAsia="Calibri"/>
                <w:sz w:val="18"/>
                <w:szCs w:val="18"/>
              </w:rPr>
            </w:pPr>
            <w:r w:rsidRPr="00C9077D">
              <w:rPr>
                <w:rFonts w:eastAsia="Calibri"/>
                <w:sz w:val="18"/>
                <w:szCs w:val="18"/>
              </w:rPr>
              <w:t>‘Wurst’</w:t>
            </w: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1</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2,320,000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36.38</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0.50</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4,640,000</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72.75</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2</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1,820,000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19.73</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0.57</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3,185,000</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34.54</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3</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970,000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12.19</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0.83</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1,168,675</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14.68</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4</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1,810,000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17.73</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0.75</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2,413,333</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23.65</w:t>
            </w:r>
          </w:p>
        </w:tc>
      </w:tr>
      <w:tr w:rsidR="00714D57" w:rsidRPr="00C9077D" w:rsidTr="00B435F5">
        <w:trPr>
          <w:trHeight w:val="20"/>
          <w:jc w:val="center"/>
        </w:trPr>
        <w:tc>
          <w:tcPr>
            <w:tcW w:w="106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r w:rsidRPr="00C9077D">
              <w:rPr>
                <w:rFonts w:eastAsia="Calibri"/>
                <w:sz w:val="18"/>
                <w:szCs w:val="18"/>
              </w:rPr>
              <w:t>5</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1191" w:type="dxa"/>
            <w:tcBorders>
              <w:top w:val="nil"/>
              <w:left w:val="nil"/>
              <w:bottom w:val="nil"/>
              <w:right w:val="nil"/>
            </w:tcBorders>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1,970,000</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13.2</w:t>
            </w:r>
          </w:p>
        </w:tc>
        <w:tc>
          <w:tcPr>
            <w:tcW w:w="1191" w:type="dxa"/>
            <w:tcBorders>
              <w:top w:val="nil"/>
              <w:left w:val="nil"/>
              <w:bottom w:val="nil"/>
              <w:right w:val="nil"/>
            </w:tcBorders>
            <w:shd w:val="solid" w:color="FFFFFF" w:fill="auto"/>
            <w:vAlign w:val="center"/>
          </w:tcPr>
          <w:p w:rsidR="00714D57" w:rsidRPr="00C9077D" w:rsidRDefault="00714D57" w:rsidP="00B435F5">
            <w:pPr>
              <w:autoSpaceDE w:val="0"/>
              <w:autoSpaceDN w:val="0"/>
              <w:adjustRightInd w:val="0"/>
              <w:jc w:val="center"/>
              <w:rPr>
                <w:rFonts w:eastAsia="Calibri"/>
                <w:sz w:val="18"/>
                <w:szCs w:val="18"/>
              </w:rPr>
            </w:pPr>
            <w:r w:rsidRPr="00C9077D">
              <w:rPr>
                <w:sz w:val="18"/>
                <w:szCs w:val="18"/>
              </w:rPr>
              <w:t>0.63</w:t>
            </w:r>
          </w:p>
        </w:tc>
        <w:tc>
          <w:tcPr>
            <w:tcW w:w="236"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3,152,000</w:t>
            </w:r>
          </w:p>
        </w:tc>
        <w:tc>
          <w:tcPr>
            <w:tcW w:w="2154" w:type="dxa"/>
            <w:tcBorders>
              <w:top w:val="nil"/>
              <w:left w:val="nil"/>
              <w:bottom w:val="nil"/>
              <w:right w:val="nil"/>
            </w:tcBorders>
            <w:shd w:val="solid" w:color="FFFFFF" w:fill="auto"/>
          </w:tcPr>
          <w:p w:rsidR="00714D57" w:rsidRPr="00C9077D" w:rsidRDefault="00714D57" w:rsidP="00B435F5">
            <w:pPr>
              <w:autoSpaceDE w:val="0"/>
              <w:autoSpaceDN w:val="0"/>
              <w:adjustRightInd w:val="0"/>
              <w:jc w:val="center"/>
              <w:rPr>
                <w:rFonts w:eastAsia="Calibri"/>
                <w:sz w:val="18"/>
                <w:szCs w:val="18"/>
              </w:rPr>
            </w:pPr>
            <w:r w:rsidRPr="00C9077D">
              <w:rPr>
                <w:rFonts w:eastAsia="Calibri"/>
                <w:sz w:val="18"/>
                <w:szCs w:val="18"/>
              </w:rPr>
              <w:t>21.12</w:t>
            </w:r>
          </w:p>
        </w:tc>
      </w:tr>
      <w:tr w:rsidR="00714D57" w:rsidRPr="00C9077D" w:rsidTr="00B435F5">
        <w:trPr>
          <w:trHeight w:val="20"/>
          <w:jc w:val="center"/>
        </w:trPr>
        <w:tc>
          <w:tcPr>
            <w:tcW w:w="1066"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right"/>
              <w:rPr>
                <w:rFonts w:eastAsia="Calibri"/>
                <w:sz w:val="18"/>
                <w:szCs w:val="18"/>
              </w:rPr>
            </w:pPr>
          </w:p>
        </w:tc>
        <w:tc>
          <w:tcPr>
            <w:tcW w:w="680"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r w:rsidRPr="00C9077D">
              <w:rPr>
                <w:rFonts w:eastAsia="Calibri"/>
                <w:b/>
                <w:bCs/>
                <w:sz w:val="18"/>
                <w:szCs w:val="18"/>
              </w:rPr>
              <w:t>Mean</w:t>
            </w:r>
          </w:p>
        </w:tc>
        <w:tc>
          <w:tcPr>
            <w:tcW w:w="236"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right"/>
              <w:rPr>
                <w:rFonts w:eastAsia="Calibri"/>
                <w:b/>
                <w:bCs/>
                <w:sz w:val="18"/>
                <w:szCs w:val="18"/>
              </w:rPr>
            </w:pPr>
          </w:p>
        </w:tc>
        <w:tc>
          <w:tcPr>
            <w:tcW w:w="1191" w:type="dxa"/>
            <w:tcBorders>
              <w:top w:val="nil"/>
              <w:left w:val="nil"/>
              <w:bottom w:val="single" w:sz="12"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1,778,000</w:t>
            </w:r>
          </w:p>
        </w:tc>
        <w:tc>
          <w:tcPr>
            <w:tcW w:w="1191" w:type="dxa"/>
            <w:tcBorders>
              <w:top w:val="nil"/>
              <w:left w:val="nil"/>
              <w:bottom w:val="single" w:sz="12"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19.85</w:t>
            </w:r>
          </w:p>
        </w:tc>
        <w:tc>
          <w:tcPr>
            <w:tcW w:w="1191" w:type="dxa"/>
            <w:tcBorders>
              <w:top w:val="nil"/>
              <w:left w:val="nil"/>
              <w:bottom w:val="single" w:sz="12" w:space="0" w:color="auto"/>
              <w:right w:val="nil"/>
            </w:tcBorders>
            <w:shd w:val="solid" w:color="FFFFFF" w:fill="auto"/>
            <w:vAlign w:val="center"/>
          </w:tcPr>
          <w:p w:rsidR="00714D57" w:rsidRPr="00C9077D" w:rsidRDefault="00714D57" w:rsidP="00B435F5">
            <w:pPr>
              <w:autoSpaceDE w:val="0"/>
              <w:autoSpaceDN w:val="0"/>
              <w:adjustRightInd w:val="0"/>
              <w:jc w:val="center"/>
              <w:rPr>
                <w:rFonts w:eastAsia="Calibri"/>
                <w:b/>
                <w:bCs/>
                <w:sz w:val="18"/>
                <w:szCs w:val="18"/>
              </w:rPr>
            </w:pPr>
            <w:r w:rsidRPr="00C9077D">
              <w:rPr>
                <w:b/>
                <w:bCs/>
                <w:sz w:val="18"/>
                <w:szCs w:val="18"/>
              </w:rPr>
              <w:t>0.66</w:t>
            </w:r>
          </w:p>
        </w:tc>
        <w:tc>
          <w:tcPr>
            <w:tcW w:w="236"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p>
        </w:tc>
        <w:tc>
          <w:tcPr>
            <w:tcW w:w="2154"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2,911,802</w:t>
            </w:r>
          </w:p>
        </w:tc>
        <w:tc>
          <w:tcPr>
            <w:tcW w:w="2154" w:type="dxa"/>
            <w:tcBorders>
              <w:top w:val="nil"/>
              <w:left w:val="nil"/>
              <w:bottom w:val="single" w:sz="12" w:space="0" w:color="auto"/>
              <w:right w:val="nil"/>
            </w:tcBorders>
            <w:shd w:val="solid" w:color="FFFFFF" w:fill="auto"/>
          </w:tcPr>
          <w:p w:rsidR="00714D57" w:rsidRPr="00C9077D" w:rsidRDefault="00714D57" w:rsidP="00B435F5">
            <w:pPr>
              <w:autoSpaceDE w:val="0"/>
              <w:autoSpaceDN w:val="0"/>
              <w:adjustRightInd w:val="0"/>
              <w:jc w:val="center"/>
              <w:rPr>
                <w:rFonts w:eastAsia="Calibri"/>
                <w:b/>
                <w:bCs/>
                <w:sz w:val="18"/>
                <w:szCs w:val="18"/>
              </w:rPr>
            </w:pPr>
            <w:r w:rsidRPr="00C9077D">
              <w:rPr>
                <w:rFonts w:eastAsia="Calibri"/>
                <w:b/>
                <w:bCs/>
                <w:sz w:val="18"/>
                <w:szCs w:val="18"/>
              </w:rPr>
              <w:t>33.35</w:t>
            </w:r>
          </w:p>
        </w:tc>
      </w:tr>
    </w:tbl>
    <w:p w:rsidR="003509F8" w:rsidRDefault="003509F8"/>
    <w:sectPr w:rsidR="003509F8" w:rsidSect="002F7C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D57"/>
    <w:rsid w:val="002D2632"/>
    <w:rsid w:val="002F7CF8"/>
    <w:rsid w:val="0030430B"/>
    <w:rsid w:val="003509F8"/>
    <w:rsid w:val="003D30E8"/>
    <w:rsid w:val="0047648C"/>
    <w:rsid w:val="00692364"/>
    <w:rsid w:val="00714D57"/>
    <w:rsid w:val="00765F7F"/>
    <w:rsid w:val="0092187B"/>
    <w:rsid w:val="00C74B4A"/>
    <w:rsid w:val="00EC2384"/>
    <w:rsid w:val="00F924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40B9F"/>
  <w15:chartTrackingRefBased/>
  <w15:docId w15:val="{82096B8E-225B-D24D-89AF-C6665E53C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14D5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30B"/>
    <w:rPr>
      <w:sz w:val="18"/>
      <w:szCs w:val="18"/>
    </w:rPr>
  </w:style>
  <w:style w:type="character" w:customStyle="1" w:styleId="BalloonTextChar">
    <w:name w:val="Balloon Text Char"/>
    <w:basedOn w:val="DefaultParagraphFont"/>
    <w:link w:val="BalloonText"/>
    <w:uiPriority w:val="99"/>
    <w:semiHidden/>
    <w:rsid w:val="0030430B"/>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261</Words>
  <Characters>1493</Characters>
  <Application>Microsoft Office Word</Application>
  <DocSecurity>0</DocSecurity>
  <Lines>12</Lines>
  <Paragraphs>3</Paragraphs>
  <ScaleCrop>false</ScaleCrop>
  <Company>KAUST</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R Voolstra</dc:creator>
  <cp:keywords/>
  <dc:description/>
  <cp:lastModifiedBy>Christian R Voolstra</cp:lastModifiedBy>
  <cp:revision>2</cp:revision>
  <dcterms:created xsi:type="dcterms:W3CDTF">2019-01-27T10:08:00Z</dcterms:created>
  <dcterms:modified xsi:type="dcterms:W3CDTF">2019-01-27T10:11:00Z</dcterms:modified>
</cp:coreProperties>
</file>