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C72" w:rsidRDefault="00A942B0">
      <w:pPr>
        <w:keepLines/>
        <w:widowControl w:val="0"/>
        <w:jc w:val="center"/>
        <w:rPr>
          <w:rFonts w:asciiTheme="majorBidi" w:hAnsiTheme="majorBidi" w:cstheme="majorBidi"/>
          <w:b/>
          <w:bCs/>
          <w:sz w:val="20"/>
          <w:szCs w:val="20"/>
          <w:lang w:eastAsia="en-AU"/>
        </w:rPr>
      </w:pPr>
      <w:r>
        <w:rPr>
          <w:rFonts w:asciiTheme="majorBidi" w:hAnsiTheme="majorBidi" w:cstheme="majorBidi"/>
          <w:b/>
          <w:bCs/>
          <w:sz w:val="20"/>
          <w:szCs w:val="20"/>
          <w:lang w:eastAsia="en-AU"/>
        </w:rPr>
        <w:t>Supplementary</w:t>
      </w:r>
      <w:r>
        <w:rPr>
          <w:rFonts w:asciiTheme="majorBidi" w:hAnsiTheme="majorBidi" w:cstheme="majorBidi"/>
          <w:b/>
          <w:bCs/>
          <w:sz w:val="20"/>
          <w:szCs w:val="20"/>
          <w:lang w:eastAsia="en-AU"/>
        </w:rPr>
        <w:t xml:space="preserve"> Information</w:t>
      </w:r>
    </w:p>
    <w:p w:rsidR="00A47C72" w:rsidRDefault="00A942B0">
      <w:pPr>
        <w:keepLines/>
        <w:widowControl w:val="0"/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sz w:val="20"/>
          <w:szCs w:val="20"/>
          <w:lang w:eastAsia="en-AU"/>
        </w:rPr>
      </w:pPr>
      <w:r>
        <w:rPr>
          <w:rFonts w:asciiTheme="majorBidi" w:eastAsia="Times New Roman" w:hAnsiTheme="majorBidi" w:cstheme="majorBidi"/>
          <w:b/>
          <w:bCs/>
          <w:sz w:val="20"/>
          <w:szCs w:val="20"/>
          <w:lang w:eastAsia="en-AU"/>
        </w:rPr>
        <w:t xml:space="preserve">Removal of Lead (II) from Aqueous Solution using Date Seed -Derived </w:t>
      </w:r>
      <w:proofErr w:type="spellStart"/>
      <w:r>
        <w:rPr>
          <w:rFonts w:asciiTheme="majorBidi" w:eastAsia="Times New Roman" w:hAnsiTheme="majorBidi" w:cstheme="majorBidi"/>
          <w:b/>
          <w:bCs/>
          <w:sz w:val="20"/>
          <w:szCs w:val="20"/>
          <w:lang w:eastAsia="en-AU"/>
        </w:rPr>
        <w:t>Biochar</w:t>
      </w:r>
      <w:proofErr w:type="spellEnd"/>
      <w:r>
        <w:rPr>
          <w:rFonts w:asciiTheme="majorBidi" w:eastAsia="Times New Roman" w:hAnsiTheme="majorBidi" w:cstheme="majorBidi"/>
          <w:b/>
          <w:bCs/>
          <w:sz w:val="20"/>
          <w:szCs w:val="20"/>
          <w:lang w:eastAsia="en-AU"/>
        </w:rPr>
        <w:t>: Batch and Column Studies</w:t>
      </w:r>
    </w:p>
    <w:p w:rsidR="00A47C72" w:rsidRDefault="00A47C72">
      <w:pPr>
        <w:keepLines/>
        <w:widowControl w:val="0"/>
        <w:spacing w:after="0" w:line="480" w:lineRule="auto"/>
        <w:rPr>
          <w:rFonts w:asciiTheme="majorBidi" w:hAnsiTheme="majorBidi" w:cstheme="majorBidi"/>
          <w:sz w:val="20"/>
          <w:szCs w:val="20"/>
        </w:rPr>
      </w:pPr>
    </w:p>
    <w:p w:rsidR="00A47C72" w:rsidRDefault="00A47C72">
      <w:pPr>
        <w:keepLines/>
        <w:widowControl w:val="0"/>
        <w:spacing w:after="0" w:line="480" w:lineRule="auto"/>
        <w:rPr>
          <w:rFonts w:asciiTheme="majorBidi" w:hAnsiTheme="majorBidi" w:cstheme="majorBidi"/>
          <w:sz w:val="20"/>
          <w:szCs w:val="20"/>
        </w:rPr>
      </w:pPr>
    </w:p>
    <w:p w:rsidR="00A47C72" w:rsidRDefault="00A942B0">
      <w:pPr>
        <w:keepLines/>
        <w:widowControl w:val="0"/>
        <w:spacing w:after="0" w:line="480" w:lineRule="auto"/>
        <w:rPr>
          <w:rFonts w:asciiTheme="majorBidi" w:hAnsiTheme="majorBidi" w:cstheme="majorBidi"/>
          <w:sz w:val="20"/>
          <w:szCs w:val="20"/>
          <w:vertAlign w:val="superscript"/>
        </w:rPr>
      </w:pPr>
      <w:proofErr w:type="spellStart"/>
      <w:r>
        <w:rPr>
          <w:rFonts w:asciiTheme="majorBidi" w:hAnsiTheme="majorBidi" w:cstheme="majorBidi"/>
          <w:sz w:val="20"/>
          <w:szCs w:val="20"/>
        </w:rPr>
        <w:t>Zainab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Mahdi</w:t>
      </w:r>
      <w:r>
        <w:rPr>
          <w:rFonts w:asciiTheme="majorBidi" w:hAnsiTheme="majorBidi" w:cstheme="majorBidi"/>
          <w:sz w:val="20"/>
          <w:szCs w:val="20"/>
          <w:vertAlign w:val="superscript"/>
        </w:rPr>
        <w:t>*</w:t>
      </w:r>
    </w:p>
    <w:p w:rsidR="00A47C72" w:rsidRDefault="00A942B0">
      <w:pPr>
        <w:keepLines/>
        <w:widowControl w:val="0"/>
        <w:spacing w:after="0" w:line="480" w:lineRule="auto"/>
        <w:rPr>
          <w:rStyle w:val="country-name"/>
          <w:rFonts w:asciiTheme="majorBidi" w:hAnsiTheme="majorBidi" w:cstheme="majorBidi"/>
          <w:sz w:val="20"/>
          <w:szCs w:val="20"/>
        </w:rPr>
      </w:pPr>
      <w:r>
        <w:rPr>
          <w:rStyle w:val="street-address"/>
          <w:rFonts w:asciiTheme="majorBidi" w:hAnsiTheme="majorBidi" w:cstheme="majorBidi"/>
          <w:sz w:val="20"/>
          <w:szCs w:val="20"/>
        </w:rPr>
        <w:t>Griffith School of Engineering, Nathan campus, Griffith University, Nathan</w:t>
      </w:r>
      <w:r>
        <w:rPr>
          <w:rStyle w:val="work"/>
          <w:rFonts w:asciiTheme="majorBidi" w:hAnsiTheme="majorBidi" w:cstheme="majorBidi"/>
          <w:sz w:val="20"/>
          <w:szCs w:val="20"/>
        </w:rPr>
        <w:t xml:space="preserve"> </w:t>
      </w:r>
      <w:r>
        <w:rPr>
          <w:rStyle w:val="region"/>
          <w:rFonts w:asciiTheme="majorBidi" w:hAnsiTheme="majorBidi" w:cstheme="majorBidi"/>
          <w:sz w:val="20"/>
          <w:szCs w:val="20"/>
        </w:rPr>
        <w:t>QLD</w:t>
      </w:r>
      <w:r>
        <w:rPr>
          <w:rStyle w:val="work"/>
          <w:rFonts w:asciiTheme="majorBidi" w:hAnsiTheme="majorBidi" w:cstheme="majorBidi"/>
          <w:sz w:val="20"/>
          <w:szCs w:val="20"/>
        </w:rPr>
        <w:t xml:space="preserve"> </w:t>
      </w:r>
      <w:r>
        <w:rPr>
          <w:rStyle w:val="postal-code"/>
          <w:rFonts w:asciiTheme="majorBidi" w:hAnsiTheme="majorBidi" w:cstheme="majorBidi"/>
          <w:sz w:val="20"/>
          <w:szCs w:val="20"/>
        </w:rPr>
        <w:t>4111</w:t>
      </w:r>
      <w:r>
        <w:rPr>
          <w:rStyle w:val="work"/>
          <w:rFonts w:asciiTheme="majorBidi" w:hAnsiTheme="majorBidi" w:cstheme="majorBidi"/>
          <w:sz w:val="20"/>
          <w:szCs w:val="20"/>
        </w:rPr>
        <w:t xml:space="preserve">, </w:t>
      </w:r>
      <w:r>
        <w:rPr>
          <w:rStyle w:val="country-name"/>
          <w:rFonts w:asciiTheme="majorBidi" w:hAnsiTheme="majorBidi" w:cstheme="majorBidi"/>
          <w:sz w:val="20"/>
          <w:szCs w:val="20"/>
        </w:rPr>
        <w:t>Australia</w:t>
      </w:r>
    </w:p>
    <w:p w:rsidR="00A47C72" w:rsidRDefault="00A47C72">
      <w:pPr>
        <w:keepLines/>
        <w:widowControl w:val="0"/>
        <w:spacing w:after="0" w:line="480" w:lineRule="auto"/>
      </w:pPr>
      <w:hyperlink>
        <w:r w:rsidR="00A942B0">
          <w:rPr>
            <w:rStyle w:val="InternetLink"/>
            <w:rFonts w:asciiTheme="majorBidi" w:hAnsiTheme="majorBidi" w:cstheme="majorBidi"/>
            <w:color w:val="00000A"/>
            <w:sz w:val="20"/>
            <w:szCs w:val="20"/>
            <w:vertAlign w:val="superscript"/>
          </w:rPr>
          <w:t>*</w:t>
        </w:r>
        <w:r w:rsidR="00A942B0">
          <w:rPr>
            <w:rStyle w:val="InternetLink"/>
            <w:rFonts w:asciiTheme="majorBidi" w:hAnsiTheme="majorBidi" w:cstheme="majorBidi"/>
            <w:color w:val="00000A"/>
            <w:sz w:val="20"/>
            <w:szCs w:val="20"/>
          </w:rPr>
          <w:t>(Corresponding author) Zainab.mahdi@griffithuni.edu.au</w:t>
        </w:r>
      </w:hyperlink>
    </w:p>
    <w:p w:rsidR="00A47C72" w:rsidRDefault="00A942B0">
      <w:pPr>
        <w:keepLines/>
        <w:widowControl w:val="0"/>
        <w:spacing w:after="0" w:line="480" w:lineRule="auto"/>
        <w:rPr>
          <w:rStyle w:val="family-name"/>
          <w:rFonts w:asciiTheme="majorBidi" w:hAnsiTheme="majorBidi" w:cstheme="majorBidi"/>
          <w:sz w:val="20"/>
          <w:szCs w:val="20"/>
        </w:rPr>
      </w:pPr>
      <w:proofErr w:type="spellStart"/>
      <w:r>
        <w:rPr>
          <w:rFonts w:asciiTheme="majorBidi" w:hAnsiTheme="majorBidi" w:cstheme="majorBidi"/>
          <w:sz w:val="20"/>
          <w:szCs w:val="20"/>
        </w:rPr>
        <w:t>Qiming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j. Yu</w:t>
      </w:r>
    </w:p>
    <w:p w:rsidR="00A47C72" w:rsidRDefault="00A942B0">
      <w:pPr>
        <w:keepLines/>
        <w:widowControl w:val="0"/>
        <w:spacing w:after="0" w:line="480" w:lineRule="auto"/>
      </w:pPr>
      <w:r>
        <w:rPr>
          <w:rStyle w:val="street-address"/>
          <w:rFonts w:asciiTheme="majorBidi" w:hAnsiTheme="majorBidi" w:cstheme="majorBidi"/>
          <w:sz w:val="20"/>
          <w:szCs w:val="20"/>
        </w:rPr>
        <w:t>Griffith School of Engineering, Nathan campus, Griffith University, Nathan</w:t>
      </w:r>
      <w:r>
        <w:rPr>
          <w:rStyle w:val="work"/>
          <w:rFonts w:asciiTheme="majorBidi" w:hAnsiTheme="majorBidi" w:cstheme="majorBidi"/>
          <w:sz w:val="20"/>
          <w:szCs w:val="20"/>
        </w:rPr>
        <w:t xml:space="preserve"> </w:t>
      </w:r>
      <w:r>
        <w:rPr>
          <w:rStyle w:val="region"/>
          <w:rFonts w:asciiTheme="majorBidi" w:hAnsiTheme="majorBidi" w:cstheme="majorBidi"/>
          <w:sz w:val="20"/>
          <w:szCs w:val="20"/>
        </w:rPr>
        <w:t>QLD</w:t>
      </w:r>
      <w:r>
        <w:rPr>
          <w:rStyle w:val="work"/>
          <w:rFonts w:asciiTheme="majorBidi" w:hAnsiTheme="majorBidi" w:cstheme="majorBidi"/>
          <w:sz w:val="20"/>
          <w:szCs w:val="20"/>
        </w:rPr>
        <w:t xml:space="preserve"> </w:t>
      </w:r>
      <w:r>
        <w:rPr>
          <w:rStyle w:val="postal-code"/>
          <w:rFonts w:asciiTheme="majorBidi" w:hAnsiTheme="majorBidi" w:cstheme="majorBidi"/>
          <w:sz w:val="20"/>
          <w:szCs w:val="20"/>
        </w:rPr>
        <w:t>4111</w:t>
      </w:r>
      <w:r>
        <w:rPr>
          <w:rStyle w:val="work"/>
          <w:rFonts w:asciiTheme="majorBidi" w:hAnsiTheme="majorBidi" w:cstheme="majorBidi"/>
          <w:sz w:val="20"/>
          <w:szCs w:val="20"/>
        </w:rPr>
        <w:t xml:space="preserve">, </w:t>
      </w:r>
      <w:r>
        <w:rPr>
          <w:rStyle w:val="country-name"/>
          <w:rFonts w:asciiTheme="majorBidi" w:hAnsiTheme="majorBidi" w:cstheme="majorBidi"/>
          <w:sz w:val="20"/>
          <w:szCs w:val="20"/>
        </w:rPr>
        <w:t>Australia</w:t>
      </w:r>
      <w:r>
        <w:rPr>
          <w:rStyle w:val="email"/>
          <w:rFonts w:asciiTheme="majorBidi" w:hAnsiTheme="majorBidi" w:cstheme="majorBidi"/>
          <w:sz w:val="20"/>
          <w:szCs w:val="20"/>
        </w:rPr>
        <w:t xml:space="preserve">; </w:t>
      </w:r>
      <w:hyperlink r:id="rId6">
        <w:r>
          <w:rPr>
            <w:rStyle w:val="InternetLink"/>
            <w:rFonts w:asciiTheme="majorBidi" w:hAnsiTheme="majorBidi" w:cstheme="majorBidi"/>
            <w:color w:val="00000A"/>
            <w:sz w:val="20"/>
            <w:szCs w:val="20"/>
          </w:rPr>
          <w:t>jimmy.yu@griffith.edu.au</w:t>
        </w:r>
      </w:hyperlink>
    </w:p>
    <w:p w:rsidR="00A47C72" w:rsidRDefault="00A942B0">
      <w:pPr>
        <w:keepLines/>
        <w:widowControl w:val="0"/>
        <w:spacing w:after="0" w:line="480" w:lineRule="auto"/>
        <w:rPr>
          <w:rFonts w:asciiTheme="majorBidi" w:hAnsiTheme="majorBidi" w:cstheme="majorBidi"/>
          <w:sz w:val="20"/>
          <w:szCs w:val="20"/>
        </w:rPr>
      </w:pPr>
      <w:r>
        <w:rPr>
          <w:rStyle w:val="given-name"/>
          <w:rFonts w:asciiTheme="majorBidi" w:hAnsiTheme="majorBidi" w:cstheme="majorBidi"/>
          <w:sz w:val="20"/>
          <w:szCs w:val="20"/>
        </w:rPr>
        <w:t>Ali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Style w:val="family-name"/>
          <w:rFonts w:asciiTheme="majorBidi" w:hAnsiTheme="majorBidi" w:cstheme="majorBidi"/>
          <w:sz w:val="20"/>
          <w:szCs w:val="20"/>
        </w:rPr>
        <w:t xml:space="preserve">El </w:t>
      </w:r>
      <w:proofErr w:type="spellStart"/>
      <w:r>
        <w:rPr>
          <w:rStyle w:val="family-name"/>
          <w:rFonts w:asciiTheme="majorBidi" w:hAnsiTheme="majorBidi" w:cstheme="majorBidi"/>
          <w:sz w:val="20"/>
          <w:szCs w:val="20"/>
        </w:rPr>
        <w:t>Hanandeh</w:t>
      </w:r>
      <w:proofErr w:type="spellEnd"/>
    </w:p>
    <w:p w:rsidR="00A47C72" w:rsidRDefault="00A942B0">
      <w:pPr>
        <w:keepLines/>
        <w:widowControl w:val="0"/>
        <w:spacing w:after="0" w:line="480" w:lineRule="auto"/>
      </w:pPr>
      <w:r>
        <w:rPr>
          <w:rStyle w:val="street-address"/>
          <w:rFonts w:asciiTheme="majorBidi" w:hAnsiTheme="majorBidi" w:cstheme="majorBidi"/>
          <w:sz w:val="20"/>
          <w:szCs w:val="20"/>
        </w:rPr>
        <w:t>Griffith School of Engineering, Nathan campus, Griffith University, Nathan</w:t>
      </w:r>
      <w:r>
        <w:rPr>
          <w:rStyle w:val="locality"/>
          <w:rFonts w:asciiTheme="majorBidi" w:hAnsiTheme="majorBidi" w:cstheme="majorBidi"/>
          <w:sz w:val="20"/>
          <w:szCs w:val="20"/>
        </w:rPr>
        <w:t xml:space="preserve"> QLD</w:t>
      </w:r>
      <w:r>
        <w:rPr>
          <w:rStyle w:val="work"/>
          <w:rFonts w:asciiTheme="majorBidi" w:hAnsiTheme="majorBidi" w:cstheme="majorBidi"/>
          <w:sz w:val="20"/>
          <w:szCs w:val="20"/>
        </w:rPr>
        <w:t xml:space="preserve"> </w:t>
      </w:r>
      <w:r>
        <w:rPr>
          <w:rStyle w:val="postal-code"/>
          <w:rFonts w:asciiTheme="majorBidi" w:hAnsiTheme="majorBidi" w:cstheme="majorBidi"/>
          <w:sz w:val="20"/>
          <w:szCs w:val="20"/>
        </w:rPr>
        <w:t>4111</w:t>
      </w:r>
      <w:r>
        <w:rPr>
          <w:rStyle w:val="work"/>
          <w:rFonts w:asciiTheme="majorBidi" w:hAnsiTheme="majorBidi" w:cstheme="majorBidi"/>
          <w:sz w:val="20"/>
          <w:szCs w:val="20"/>
        </w:rPr>
        <w:t xml:space="preserve">, </w:t>
      </w:r>
      <w:r>
        <w:rPr>
          <w:rStyle w:val="country-name"/>
          <w:rFonts w:asciiTheme="majorBidi" w:hAnsiTheme="majorBidi" w:cstheme="majorBidi"/>
          <w:sz w:val="20"/>
          <w:szCs w:val="20"/>
        </w:rPr>
        <w:t xml:space="preserve">Australia; </w:t>
      </w:r>
      <w:hyperlink r:id="rId7">
        <w:r>
          <w:rPr>
            <w:rStyle w:val="InternetLink"/>
            <w:rFonts w:asciiTheme="majorBidi" w:hAnsiTheme="majorBidi" w:cstheme="majorBidi"/>
            <w:color w:val="00000A"/>
            <w:sz w:val="20"/>
            <w:szCs w:val="20"/>
          </w:rPr>
          <w:t>a.elhanandeh@griffith.edu.au</w:t>
        </w:r>
      </w:hyperlink>
    </w:p>
    <w:p w:rsidR="00A47C72" w:rsidRDefault="00A47C72">
      <w:pPr>
        <w:keepLines/>
        <w:widowControl w:val="0"/>
        <w:spacing w:after="0" w:line="480" w:lineRule="auto"/>
        <w:rPr>
          <w:rFonts w:asciiTheme="majorBidi" w:hAnsiTheme="majorBidi" w:cstheme="majorBidi"/>
          <w:sz w:val="20"/>
          <w:szCs w:val="20"/>
        </w:rPr>
      </w:pPr>
    </w:p>
    <w:p w:rsidR="00A47C72" w:rsidRDefault="00A47C72">
      <w:pPr>
        <w:keepLines/>
        <w:widowControl w:val="0"/>
        <w:spacing w:after="0" w:line="480" w:lineRule="auto"/>
        <w:rPr>
          <w:rStyle w:val="family-name"/>
          <w:rFonts w:asciiTheme="majorBidi" w:hAnsiTheme="majorBidi" w:cstheme="majorBidi"/>
          <w:sz w:val="20"/>
          <w:szCs w:val="20"/>
        </w:rPr>
      </w:pPr>
    </w:p>
    <w:p w:rsidR="00A47C72" w:rsidRDefault="00A47C72">
      <w:pPr>
        <w:keepLines/>
        <w:widowControl w:val="0"/>
        <w:rPr>
          <w:rFonts w:asciiTheme="majorBidi" w:hAnsiTheme="majorBidi" w:cstheme="majorBidi"/>
          <w:sz w:val="20"/>
          <w:szCs w:val="20"/>
          <w:lang w:eastAsia="en-AU"/>
        </w:rPr>
      </w:pPr>
    </w:p>
    <w:p w:rsidR="00A47C72" w:rsidRDefault="00A47C72">
      <w:pPr>
        <w:rPr>
          <w:rFonts w:asciiTheme="majorBidi" w:hAnsiTheme="majorBidi" w:cstheme="majorBidi"/>
          <w:sz w:val="20"/>
          <w:szCs w:val="20"/>
          <w:lang w:eastAsia="en-AU"/>
        </w:rPr>
      </w:pPr>
    </w:p>
    <w:p w:rsidR="00A47C72" w:rsidRDefault="00A47C72">
      <w:pPr>
        <w:rPr>
          <w:rFonts w:asciiTheme="majorBidi" w:hAnsiTheme="majorBidi" w:cstheme="majorBidi"/>
          <w:sz w:val="20"/>
          <w:szCs w:val="20"/>
          <w:lang w:eastAsia="en-AU"/>
        </w:rPr>
      </w:pPr>
    </w:p>
    <w:p w:rsidR="00A47C72" w:rsidRDefault="00A47C72">
      <w:pPr>
        <w:rPr>
          <w:rFonts w:asciiTheme="majorBidi" w:hAnsiTheme="majorBidi" w:cstheme="majorBidi"/>
          <w:sz w:val="20"/>
          <w:szCs w:val="20"/>
          <w:lang w:eastAsia="en-AU"/>
        </w:rPr>
      </w:pPr>
    </w:p>
    <w:p w:rsidR="00A47C72" w:rsidRDefault="00A47C72">
      <w:pPr>
        <w:rPr>
          <w:rFonts w:asciiTheme="majorBidi" w:hAnsiTheme="majorBidi" w:cstheme="majorBidi"/>
          <w:sz w:val="20"/>
          <w:szCs w:val="20"/>
          <w:lang w:eastAsia="en-AU"/>
        </w:rPr>
      </w:pPr>
    </w:p>
    <w:p w:rsidR="00A47C72" w:rsidRDefault="00A47C72">
      <w:pPr>
        <w:suppressLineNumbers/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A47C72" w:rsidRDefault="00A47C72">
      <w:pPr>
        <w:suppressLineNumbers/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A47C72" w:rsidRDefault="00A47C72">
      <w:pPr>
        <w:suppressLineNumbers/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A47C72" w:rsidRDefault="00A47C72">
      <w:pPr>
        <w:suppressLineNumbers/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A47C72" w:rsidRDefault="00A47C72">
      <w:pPr>
        <w:suppressLineNumbers/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A47C72" w:rsidRDefault="00A47C72">
      <w:pPr>
        <w:suppressLineNumbers/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A47C72" w:rsidRDefault="00A47C72">
      <w:pPr>
        <w:suppressLineNumbers/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A47C72" w:rsidRDefault="00A47C72">
      <w:pPr>
        <w:keepNext/>
        <w:keepLines/>
        <w:spacing w:after="0" w:line="480" w:lineRule="auto"/>
        <w:rPr>
          <w:rFonts w:asciiTheme="majorBidi" w:hAnsiTheme="majorBidi" w:cstheme="majorBidi"/>
          <w:sz w:val="20"/>
          <w:szCs w:val="20"/>
        </w:rPr>
      </w:pPr>
    </w:p>
    <w:p w:rsidR="00A47C72" w:rsidRDefault="00A47C72">
      <w:pPr>
        <w:keepNext/>
        <w:keepLines/>
        <w:widowControl w:val="0"/>
        <w:spacing w:after="0" w:line="48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A47C72" w:rsidRDefault="00A942B0">
      <w:pPr>
        <w:keepLines/>
        <w:widowControl w:val="0"/>
        <w:spacing w:after="0" w:line="480" w:lineRule="auto"/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0"/>
          <w:szCs w:val="20"/>
        </w:rPr>
        <w:t>Adsorption isotherm mathematical models:</w:t>
      </w:r>
    </w:p>
    <w:p w:rsidR="00A47C72" w:rsidRDefault="00A942B0">
      <w:pPr>
        <w:widowControl w:val="0"/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There are numbers of isotherm equations introduced in explaining the adsorption isotherm relationship between adsorbent and adsorbate including Langmuir isotherm, </w:t>
      </w:r>
      <w:proofErr w:type="spellStart"/>
      <w:r>
        <w:rPr>
          <w:rFonts w:asciiTheme="majorBidi" w:hAnsiTheme="majorBidi" w:cstheme="majorBidi"/>
          <w:sz w:val="20"/>
          <w:szCs w:val="20"/>
          <w:shd w:val="clear" w:color="auto" w:fill="FFFFFF"/>
        </w:rPr>
        <w:t>Freundlich</w:t>
      </w:r>
      <w:proofErr w:type="spellEnd"/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isotherm and the </w:t>
      </w:r>
      <w:proofErr w:type="spellStart"/>
      <w:r>
        <w:rPr>
          <w:rFonts w:asciiTheme="majorBidi" w:hAnsiTheme="majorBidi" w:cstheme="majorBidi"/>
          <w:sz w:val="20"/>
          <w:szCs w:val="20"/>
          <w:shd w:val="clear" w:color="auto" w:fill="FFFFFF"/>
        </w:rPr>
        <w:t>Temkin</w:t>
      </w:r>
      <w:proofErr w:type="spellEnd"/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isotherm. </w:t>
      </w:r>
      <w:r>
        <w:rPr>
          <w:rFonts w:asciiTheme="majorBidi" w:hAnsiTheme="majorBidi" w:cstheme="majorBidi"/>
          <w:sz w:val="20"/>
          <w:szCs w:val="20"/>
        </w:rPr>
        <w:t>Langmuir isotherm model assumes that binding sit</w:t>
      </w:r>
      <w:r>
        <w:rPr>
          <w:rFonts w:asciiTheme="majorBidi" w:hAnsiTheme="majorBidi" w:cstheme="majorBidi"/>
          <w:sz w:val="20"/>
          <w:szCs w:val="20"/>
        </w:rPr>
        <w:t>es are homogeneously distributed over the adsorbent surface with a finite number of identical sites. These binding sites have the same affinity for adsorption of a single molecular layer. Also, this model assumes that there is no interaction between adsorb</w:t>
      </w:r>
      <w:r>
        <w:rPr>
          <w:rFonts w:asciiTheme="majorBidi" w:hAnsiTheme="majorBidi" w:cstheme="majorBidi"/>
          <w:sz w:val="20"/>
          <w:szCs w:val="20"/>
        </w:rPr>
        <w:t>ed molecules (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Al-</w:t>
      </w:r>
      <w:proofErr w:type="spellStart"/>
      <w:r>
        <w:rPr>
          <w:rFonts w:asciiTheme="majorBidi" w:hAnsiTheme="majorBidi" w:cstheme="majorBidi"/>
          <w:sz w:val="20"/>
          <w:szCs w:val="20"/>
          <w:shd w:val="clear" w:color="auto" w:fill="FFFFFF"/>
        </w:rPr>
        <w:t>Asheh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et al. 2000) and it is represented as Eq. (1):  </w:t>
      </w:r>
    </w:p>
    <w:p w:rsidR="00A47C72" w:rsidRDefault="00A47C72">
      <w:pPr>
        <w:widowControl w:val="0"/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max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L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</m:num>
          <m:den>
            <m:r>
              <w:rPr>
                <w:rFonts w:ascii="Cambria Math" w:hAnsi="Cambria Math"/>
              </w:rPr>
              <m:t>1+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L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</m:den>
        </m:f>
      </m:oMath>
      <w:r w:rsidR="00A942B0">
        <w:rPr>
          <w:rFonts w:asciiTheme="majorBidi" w:eastAsiaTheme="minorEastAsia" w:hAnsiTheme="majorBidi" w:cstheme="majorBidi"/>
          <w:sz w:val="20"/>
          <w:szCs w:val="20"/>
        </w:rPr>
        <w:t xml:space="preserve">                         </w:t>
      </w:r>
      <w:r w:rsidR="00A942B0">
        <w:rPr>
          <w:rFonts w:asciiTheme="majorBidi" w:eastAsiaTheme="minorEastAsia" w:hAnsiTheme="majorBidi" w:cstheme="majorBidi"/>
          <w:sz w:val="20"/>
          <w:szCs w:val="20"/>
        </w:rPr>
        <w:tab/>
      </w:r>
      <w:r w:rsidR="00A942B0">
        <w:rPr>
          <w:rFonts w:asciiTheme="majorBidi" w:eastAsiaTheme="minorEastAsia" w:hAnsiTheme="majorBidi" w:cstheme="majorBidi"/>
          <w:sz w:val="20"/>
          <w:szCs w:val="20"/>
        </w:rPr>
        <w:tab/>
        <w:t xml:space="preserve">(1)                                         </w:t>
      </w:r>
    </w:p>
    <w:p w:rsidR="00A47C72" w:rsidRDefault="00A942B0">
      <w:pPr>
        <w:pStyle w:val="NormalWeb"/>
        <w:widowControl w:val="0"/>
        <w:spacing w:beforeAutospacing="0" w:after="0" w:afterAutospacing="0" w:line="360" w:lineRule="auto"/>
        <w:jc w:val="both"/>
        <w:rPr>
          <w:rFonts w:asciiTheme="majorBidi" w:hAnsiTheme="majorBidi" w:cstheme="majorBidi"/>
          <w:bCs/>
          <w:sz w:val="20"/>
          <w:szCs w:val="20"/>
          <w:highlight w:val="white"/>
        </w:rPr>
      </w:pPr>
      <w:r>
        <w:rPr>
          <w:rFonts w:cstheme="majorBidi"/>
          <w:bCs/>
          <w:sz w:val="20"/>
          <w:szCs w:val="20"/>
          <w:shd w:val="clear" w:color="auto" w:fill="FFFFFF"/>
        </w:rPr>
        <w:t>By linearizing Eq</w:t>
      </w:r>
      <w:proofErr w:type="gramStart"/>
      <w:r>
        <w:rPr>
          <w:rFonts w:cstheme="majorBidi"/>
          <w:bCs/>
          <w:sz w:val="20"/>
          <w:szCs w:val="20"/>
          <w:shd w:val="clear" w:color="auto" w:fill="FFFFFF"/>
        </w:rPr>
        <w:t>.(</w:t>
      </w:r>
      <w:proofErr w:type="gramEnd"/>
      <w:r>
        <w:rPr>
          <w:rFonts w:cstheme="majorBidi"/>
          <w:bCs/>
          <w:sz w:val="20"/>
          <w:szCs w:val="20"/>
          <w:shd w:val="clear" w:color="auto" w:fill="FFFFFF"/>
        </w:rPr>
        <w:t>1), the linear form of Langmuir isotherm becomes Eq.(2):</w:t>
      </w:r>
    </w:p>
    <w:p w:rsidR="00A47C72" w:rsidRDefault="00A47C72">
      <w:pPr>
        <w:pStyle w:val="NormalWeb"/>
        <w:widowControl w:val="0"/>
        <w:spacing w:beforeAutospacing="0" w:after="0" w:afterAutospacing="0" w:line="360" w:lineRule="auto"/>
        <w:jc w:val="both"/>
        <w:rPr>
          <w:rFonts w:asciiTheme="majorBidi" w:hAnsiTheme="majorBidi" w:cstheme="majorBidi"/>
          <w:bCs/>
          <w:sz w:val="20"/>
          <w:szCs w:val="20"/>
        </w:rPr>
      </w:pPr>
    </w:p>
    <w:p w:rsidR="00A47C72" w:rsidRDefault="00A47C72">
      <w:pPr>
        <w:pStyle w:val="NormalWeb"/>
        <w:widowControl w:val="0"/>
        <w:spacing w:beforeAutospacing="0" w:after="0" w:afterAutospacing="0" w:line="360" w:lineRule="auto"/>
        <w:jc w:val="both"/>
        <w:rPr>
          <w:rFonts w:asciiTheme="majorBidi" w:hAnsiTheme="majorBidi" w:cstheme="majorBidi"/>
          <w:bCs/>
          <w:sz w:val="20"/>
          <w:szCs w:val="20"/>
          <w:highlight w:val="white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L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</m:sSub>
          </m:den>
        </m:f>
      </m:oMath>
      <w:r w:rsidR="00A942B0">
        <w:rPr>
          <w:rFonts w:cstheme="majorBidi"/>
          <w:bCs/>
          <w:sz w:val="20"/>
          <w:szCs w:val="20"/>
          <w:shd w:val="clear" w:color="auto" w:fill="FFFFFF"/>
        </w:rPr>
        <w:t xml:space="preserve">                                </w:t>
      </w:r>
      <w:r w:rsidR="00A942B0">
        <w:rPr>
          <w:rFonts w:cstheme="majorBidi"/>
          <w:bCs/>
          <w:sz w:val="20"/>
          <w:szCs w:val="20"/>
          <w:shd w:val="clear" w:color="auto" w:fill="FFFFFF"/>
        </w:rPr>
        <w:tab/>
        <w:t>(2)</w:t>
      </w:r>
    </w:p>
    <w:p w:rsidR="00A47C72" w:rsidRDefault="00A47C72">
      <w:pPr>
        <w:pStyle w:val="NormalWeb"/>
        <w:widowControl w:val="0"/>
        <w:spacing w:beforeAutospacing="0" w:after="0" w:afterAutospacing="0" w:line="360" w:lineRule="auto"/>
        <w:jc w:val="both"/>
        <w:rPr>
          <w:rFonts w:asciiTheme="majorBidi" w:hAnsiTheme="majorBidi" w:cstheme="majorBidi"/>
          <w:bCs/>
          <w:sz w:val="20"/>
          <w:szCs w:val="20"/>
          <w:shd w:val="clear" w:color="auto" w:fill="FFFFFF"/>
        </w:rPr>
      </w:pPr>
    </w:p>
    <w:p w:rsidR="00A47C72" w:rsidRDefault="00A942B0">
      <w:pPr>
        <w:widowControl w:val="0"/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>
        <w:rPr>
          <w:rFonts w:asciiTheme="majorBidi" w:hAnsiTheme="majorBidi" w:cstheme="majorBidi"/>
          <w:sz w:val="20"/>
          <w:szCs w:val="20"/>
        </w:rPr>
        <w:t>where</w:t>
      </w:r>
      <w:proofErr w:type="gramEnd"/>
      <w:r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>
        <w:rPr>
          <w:rFonts w:asciiTheme="majorBidi" w:hAnsiTheme="majorBidi" w:cstheme="majorBidi"/>
          <w:i/>
          <w:iCs/>
          <w:sz w:val="20"/>
          <w:szCs w:val="20"/>
        </w:rPr>
        <w:t>q</w:t>
      </w:r>
      <w:r>
        <w:rPr>
          <w:rFonts w:asciiTheme="majorBidi" w:hAnsiTheme="majorBidi" w:cstheme="majorBidi"/>
          <w:i/>
          <w:iCs/>
          <w:sz w:val="20"/>
          <w:szCs w:val="20"/>
          <w:vertAlign w:val="subscript"/>
        </w:rPr>
        <w:t>e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is the amount of </w:t>
      </w:r>
      <w:proofErr w:type="spellStart"/>
      <w:r>
        <w:rPr>
          <w:rFonts w:asciiTheme="majorBidi" w:hAnsiTheme="majorBidi" w:cstheme="majorBidi"/>
          <w:sz w:val="20"/>
          <w:szCs w:val="20"/>
        </w:rPr>
        <w:t>Pb</w:t>
      </w:r>
      <w:r>
        <w:rPr>
          <w:rFonts w:asciiTheme="majorBidi" w:hAnsiTheme="majorBidi" w:cstheme="majorBidi"/>
          <w:sz w:val="20"/>
          <w:szCs w:val="20"/>
          <w:vertAlign w:val="superscript"/>
        </w:rPr>
        <w:t>2</w:t>
      </w:r>
      <w:proofErr w:type="spellEnd"/>
      <w:r>
        <w:rPr>
          <w:rFonts w:asciiTheme="majorBidi" w:hAnsiTheme="majorBidi" w:cstheme="majorBidi"/>
          <w:sz w:val="20"/>
          <w:szCs w:val="20"/>
          <w:vertAlign w:val="superscript"/>
        </w:rPr>
        <w:t>+</w:t>
      </w:r>
      <w:r>
        <w:rPr>
          <w:rFonts w:asciiTheme="majorBidi" w:hAnsiTheme="majorBidi" w:cstheme="majorBidi"/>
          <w:sz w:val="20"/>
          <w:szCs w:val="20"/>
        </w:rPr>
        <w:t xml:space="preserve"> adsorbed (mmol g</w:t>
      </w:r>
      <w:r>
        <w:rPr>
          <w:rFonts w:asciiTheme="majorBidi" w:hAnsiTheme="majorBidi" w:cstheme="majorBidi"/>
          <w:sz w:val="20"/>
          <w:szCs w:val="20"/>
          <w:vertAlign w:val="superscript"/>
        </w:rPr>
        <w:t>-1</w:t>
      </w:r>
      <w:r>
        <w:rPr>
          <w:rFonts w:asciiTheme="majorBidi" w:hAnsiTheme="majorBidi" w:cstheme="majorBidi"/>
          <w:sz w:val="20"/>
          <w:szCs w:val="20"/>
        </w:rPr>
        <w:t xml:space="preserve">), </w:t>
      </w:r>
      <w:r>
        <w:rPr>
          <w:rFonts w:asciiTheme="majorBidi" w:hAnsiTheme="majorBidi" w:cstheme="majorBidi"/>
          <w:i/>
          <w:iCs/>
          <w:sz w:val="20"/>
          <w:szCs w:val="20"/>
        </w:rPr>
        <w:t>C</w:t>
      </w:r>
      <w:r>
        <w:rPr>
          <w:rFonts w:asciiTheme="majorBidi" w:hAnsiTheme="majorBidi" w:cstheme="majorBidi"/>
          <w:i/>
          <w:iCs/>
          <w:sz w:val="20"/>
          <w:szCs w:val="20"/>
          <w:vertAlign w:val="subscript"/>
        </w:rPr>
        <w:t>e</w:t>
      </w:r>
      <w:r>
        <w:rPr>
          <w:rFonts w:asciiTheme="majorBidi" w:hAnsiTheme="majorBidi" w:cstheme="majorBidi"/>
          <w:sz w:val="20"/>
          <w:szCs w:val="20"/>
        </w:rPr>
        <w:t xml:space="preserve"> is the equilibrium concentration (mM), </w:t>
      </w:r>
      <w:proofErr w:type="spellStart"/>
      <w:r>
        <w:rPr>
          <w:rFonts w:asciiTheme="majorBidi" w:hAnsiTheme="majorBidi" w:cstheme="majorBidi"/>
          <w:i/>
          <w:iCs/>
          <w:sz w:val="20"/>
          <w:szCs w:val="20"/>
        </w:rPr>
        <w:t>q</w:t>
      </w:r>
      <w:r>
        <w:rPr>
          <w:rFonts w:asciiTheme="majorBidi" w:hAnsiTheme="majorBidi" w:cstheme="majorBidi"/>
          <w:i/>
          <w:iCs/>
          <w:sz w:val="20"/>
          <w:szCs w:val="20"/>
          <w:vertAlign w:val="subscript"/>
        </w:rPr>
        <w:t>max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is the maximum adsorption capacity (mmol g</w:t>
      </w:r>
      <w:r>
        <w:rPr>
          <w:rFonts w:asciiTheme="majorBidi" w:hAnsiTheme="majorBidi" w:cstheme="majorBidi"/>
          <w:sz w:val="20"/>
          <w:szCs w:val="20"/>
          <w:vertAlign w:val="superscript"/>
        </w:rPr>
        <w:t>-1</w:t>
      </w:r>
      <w:r>
        <w:rPr>
          <w:rFonts w:asciiTheme="majorBidi" w:hAnsiTheme="majorBidi" w:cstheme="majorBidi"/>
          <w:sz w:val="20"/>
          <w:szCs w:val="20"/>
        </w:rPr>
        <w:t xml:space="preserve">), and </w:t>
      </w:r>
      <w:r>
        <w:rPr>
          <w:rFonts w:asciiTheme="majorBidi" w:hAnsiTheme="majorBidi" w:cstheme="majorBidi"/>
          <w:i/>
          <w:iCs/>
          <w:sz w:val="20"/>
          <w:szCs w:val="20"/>
        </w:rPr>
        <w:t>K</w:t>
      </w:r>
      <w:r>
        <w:rPr>
          <w:rFonts w:asciiTheme="majorBidi" w:hAnsiTheme="majorBidi" w:cstheme="majorBidi"/>
          <w:i/>
          <w:iCs/>
          <w:sz w:val="20"/>
          <w:szCs w:val="20"/>
          <w:vertAlign w:val="subscript"/>
        </w:rPr>
        <w:t>L</w:t>
      </w:r>
      <w:r>
        <w:rPr>
          <w:rFonts w:asciiTheme="majorBidi" w:hAnsiTheme="majorBidi" w:cstheme="majorBidi"/>
          <w:sz w:val="20"/>
          <w:szCs w:val="20"/>
        </w:rPr>
        <w:t xml:space="preserve"> is the adsorption equilibrium constant (L mmol </w:t>
      </w:r>
      <w:r>
        <w:rPr>
          <w:rFonts w:asciiTheme="majorBidi" w:hAnsiTheme="majorBidi" w:cstheme="majorBidi"/>
          <w:sz w:val="20"/>
          <w:szCs w:val="20"/>
          <w:vertAlign w:val="superscript"/>
        </w:rPr>
        <w:t>-1</w:t>
      </w:r>
      <w:r>
        <w:rPr>
          <w:rFonts w:asciiTheme="majorBidi" w:hAnsiTheme="majorBidi" w:cstheme="majorBidi"/>
          <w:sz w:val="20"/>
          <w:szCs w:val="20"/>
        </w:rPr>
        <w:t xml:space="preserve">). The </w:t>
      </w:r>
      <w:proofErr w:type="spellStart"/>
      <w:r>
        <w:rPr>
          <w:rFonts w:asciiTheme="majorBidi" w:hAnsiTheme="majorBidi" w:cstheme="majorBidi"/>
          <w:i/>
          <w:iCs/>
          <w:sz w:val="20"/>
          <w:szCs w:val="20"/>
        </w:rPr>
        <w:t>q</w:t>
      </w:r>
      <w:r>
        <w:rPr>
          <w:rFonts w:asciiTheme="majorBidi" w:hAnsiTheme="majorBidi" w:cstheme="majorBidi"/>
          <w:i/>
          <w:iCs/>
          <w:sz w:val="20"/>
          <w:szCs w:val="20"/>
          <w:vertAlign w:val="subscript"/>
        </w:rPr>
        <w:t>max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and </w:t>
      </w:r>
      <w:r>
        <w:rPr>
          <w:rFonts w:asciiTheme="majorBidi" w:hAnsiTheme="majorBidi" w:cstheme="majorBidi"/>
          <w:i/>
          <w:iCs/>
          <w:sz w:val="20"/>
          <w:szCs w:val="20"/>
        </w:rPr>
        <w:t>K</w:t>
      </w:r>
      <w:r>
        <w:rPr>
          <w:rFonts w:asciiTheme="majorBidi" w:hAnsiTheme="majorBidi" w:cstheme="majorBidi"/>
          <w:i/>
          <w:iCs/>
          <w:sz w:val="20"/>
          <w:szCs w:val="20"/>
          <w:vertAlign w:val="subscript"/>
        </w:rPr>
        <w:t>L</w:t>
      </w:r>
      <w:r>
        <w:rPr>
          <w:rFonts w:asciiTheme="majorBidi" w:hAnsiTheme="majorBidi" w:cstheme="majorBidi"/>
          <w:sz w:val="20"/>
          <w:szCs w:val="20"/>
        </w:rPr>
        <w:t xml:space="preserve"> can be obtained from the intercept and slope of the linear plot between </w:t>
      </w:r>
      <w:r>
        <w:rPr>
          <w:rFonts w:asciiTheme="majorBidi" w:hAnsiTheme="majorBidi" w:cstheme="majorBidi"/>
          <w:i/>
          <w:iCs/>
          <w:sz w:val="20"/>
          <w:szCs w:val="20"/>
        </w:rPr>
        <w:t>1/</w:t>
      </w:r>
      <w:proofErr w:type="spellStart"/>
      <w:r>
        <w:rPr>
          <w:rFonts w:asciiTheme="majorBidi" w:hAnsiTheme="majorBidi" w:cstheme="majorBidi"/>
          <w:i/>
          <w:iCs/>
          <w:sz w:val="20"/>
          <w:szCs w:val="20"/>
        </w:rPr>
        <w:t>q</w:t>
      </w:r>
      <w:r>
        <w:rPr>
          <w:rFonts w:asciiTheme="majorBidi" w:hAnsiTheme="majorBidi" w:cstheme="majorBidi"/>
          <w:i/>
          <w:iCs/>
          <w:sz w:val="20"/>
          <w:szCs w:val="20"/>
          <w:vertAlign w:val="subscript"/>
        </w:rPr>
        <w:t>e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and 1/</w:t>
      </w:r>
      <w:r>
        <w:rPr>
          <w:rFonts w:asciiTheme="majorBidi" w:hAnsiTheme="majorBidi" w:cstheme="majorBidi"/>
          <w:i/>
          <w:iCs/>
          <w:sz w:val="20"/>
          <w:szCs w:val="20"/>
        </w:rPr>
        <w:t>C</w:t>
      </w:r>
      <w:r>
        <w:rPr>
          <w:rFonts w:asciiTheme="majorBidi" w:hAnsiTheme="majorBidi" w:cstheme="majorBidi"/>
          <w:i/>
          <w:iCs/>
          <w:sz w:val="20"/>
          <w:szCs w:val="20"/>
          <w:vertAlign w:val="subscript"/>
        </w:rPr>
        <w:t>e</w:t>
      </w:r>
      <w:r>
        <w:rPr>
          <w:rFonts w:asciiTheme="majorBidi" w:hAnsiTheme="majorBidi" w:cstheme="majorBidi"/>
          <w:sz w:val="20"/>
          <w:szCs w:val="20"/>
        </w:rPr>
        <w:t>.</w:t>
      </w:r>
    </w:p>
    <w:p w:rsidR="00A47C72" w:rsidRDefault="00A942B0">
      <w:pPr>
        <w:widowControl w:val="0"/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Cs/>
          <w:sz w:val="20"/>
          <w:szCs w:val="20"/>
          <w:shd w:val="clear" w:color="auto" w:fill="FFFFFF"/>
        </w:rPr>
        <w:t xml:space="preserve">The </w:t>
      </w:r>
      <w:proofErr w:type="spellStart"/>
      <w:r>
        <w:rPr>
          <w:rFonts w:asciiTheme="majorBidi" w:hAnsiTheme="majorBidi" w:cstheme="majorBidi"/>
          <w:bCs/>
          <w:sz w:val="20"/>
          <w:szCs w:val="20"/>
          <w:shd w:val="clear" w:color="auto" w:fill="FFFFFF"/>
        </w:rPr>
        <w:t>Freundlich</w:t>
      </w:r>
      <w:proofErr w:type="spellEnd"/>
      <w:r>
        <w:rPr>
          <w:rFonts w:asciiTheme="majorBidi" w:hAnsiTheme="majorBidi" w:cstheme="majorBidi"/>
          <w:bCs/>
          <w:sz w:val="20"/>
          <w:szCs w:val="20"/>
          <w:shd w:val="clear" w:color="auto" w:fill="FFFFFF"/>
        </w:rPr>
        <w:t xml:space="preserve"> isotherm is an empirical model that is based on adsorption on heterogeneous surface a</w:t>
      </w:r>
      <w:r>
        <w:rPr>
          <w:rFonts w:asciiTheme="majorBidi" w:hAnsiTheme="majorBidi" w:cstheme="majorBidi"/>
          <w:bCs/>
          <w:sz w:val="20"/>
          <w:szCs w:val="20"/>
          <w:shd w:val="clear" w:color="auto" w:fill="FFFFFF"/>
        </w:rPr>
        <w:t xml:space="preserve">nd active sites with different energy. </w:t>
      </w:r>
      <w:proofErr w:type="spellStart"/>
      <w:r>
        <w:rPr>
          <w:rFonts w:asciiTheme="majorBidi" w:hAnsiTheme="majorBidi" w:cstheme="majorBidi"/>
          <w:bCs/>
          <w:sz w:val="20"/>
          <w:szCs w:val="20"/>
          <w:shd w:val="clear" w:color="auto" w:fill="FFFFFF"/>
        </w:rPr>
        <w:t>Freundlich</w:t>
      </w:r>
      <w:proofErr w:type="spellEnd"/>
      <w:r>
        <w:rPr>
          <w:rFonts w:asciiTheme="majorBidi" w:hAnsiTheme="majorBidi" w:cstheme="majorBidi"/>
          <w:bCs/>
          <w:sz w:val="20"/>
          <w:szCs w:val="20"/>
          <w:shd w:val="clear" w:color="auto" w:fill="FFFFFF"/>
        </w:rPr>
        <w:t xml:space="preserve"> isotherm equation is represented by the following Eq</w:t>
      </w:r>
      <w:proofErr w:type="gramStart"/>
      <w:r>
        <w:rPr>
          <w:rFonts w:asciiTheme="majorBidi" w:hAnsiTheme="majorBidi" w:cstheme="majorBidi"/>
          <w:bCs/>
          <w:sz w:val="20"/>
          <w:szCs w:val="20"/>
          <w:shd w:val="clear" w:color="auto" w:fill="FFFFFF"/>
        </w:rPr>
        <w:t>.(</w:t>
      </w:r>
      <w:proofErr w:type="gramEnd"/>
      <w:r>
        <w:rPr>
          <w:rFonts w:asciiTheme="majorBidi" w:hAnsiTheme="majorBidi" w:cstheme="majorBidi"/>
          <w:bCs/>
          <w:sz w:val="20"/>
          <w:szCs w:val="20"/>
          <w:shd w:val="clear" w:color="auto" w:fill="FFFFFF"/>
        </w:rPr>
        <w:t xml:space="preserve">3) </w:t>
      </w:r>
      <w:r>
        <w:rPr>
          <w:rFonts w:asciiTheme="majorBidi" w:hAnsiTheme="majorBidi" w:cstheme="majorBidi"/>
          <w:sz w:val="20"/>
          <w:szCs w:val="20"/>
        </w:rPr>
        <w:t>(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Yap et al. 2017</w:t>
      </w:r>
      <w:r>
        <w:rPr>
          <w:rFonts w:asciiTheme="majorBidi" w:hAnsiTheme="majorBidi" w:cstheme="majorBidi"/>
          <w:sz w:val="20"/>
          <w:szCs w:val="20"/>
        </w:rPr>
        <w:t>):</w:t>
      </w:r>
    </w:p>
    <w:p w:rsidR="00A47C72" w:rsidRDefault="00A47C72">
      <w:pPr>
        <w:pStyle w:val="NormalWeb"/>
        <w:widowControl w:val="0"/>
        <w:spacing w:beforeAutospacing="0" w:after="0" w:afterAutospacing="0" w:line="360" w:lineRule="auto"/>
        <w:jc w:val="both"/>
        <w:rPr>
          <w:rFonts w:asciiTheme="majorBidi" w:hAnsiTheme="majorBidi" w:cstheme="majorBidi"/>
          <w:bCs/>
          <w:sz w:val="20"/>
          <w:szCs w:val="20"/>
          <w:highlight w:val="white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e</m:t>
            </m:r>
          </m:sub>
          <m:sup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sup>
        </m:sSubSup>
      </m:oMath>
      <w:r w:rsidR="00A942B0">
        <w:rPr>
          <w:rFonts w:cstheme="majorBidi"/>
          <w:bCs/>
          <w:sz w:val="20"/>
          <w:szCs w:val="20"/>
          <w:shd w:val="clear" w:color="auto" w:fill="FFFFFF"/>
        </w:rPr>
        <w:t xml:space="preserve">             </w:t>
      </w:r>
      <w:r w:rsidR="00A942B0">
        <w:rPr>
          <w:rFonts w:cstheme="majorBidi"/>
          <w:bCs/>
          <w:sz w:val="20"/>
          <w:szCs w:val="20"/>
          <w:shd w:val="clear" w:color="auto" w:fill="FFFFFF"/>
        </w:rPr>
        <w:tab/>
      </w:r>
      <w:r w:rsidR="00A942B0">
        <w:rPr>
          <w:rFonts w:cstheme="majorBidi"/>
          <w:bCs/>
          <w:sz w:val="20"/>
          <w:szCs w:val="20"/>
          <w:shd w:val="clear" w:color="auto" w:fill="FFFFFF"/>
        </w:rPr>
        <w:tab/>
        <w:t xml:space="preserve">             (3)</w:t>
      </w:r>
    </w:p>
    <w:p w:rsidR="00A47C72" w:rsidRDefault="00A47C72">
      <w:pPr>
        <w:pStyle w:val="NormalWeb"/>
        <w:widowControl w:val="0"/>
        <w:spacing w:beforeAutospacing="0" w:after="0" w:afterAutospacing="0" w:line="360" w:lineRule="auto"/>
        <w:jc w:val="both"/>
        <w:rPr>
          <w:rFonts w:asciiTheme="majorBidi" w:hAnsiTheme="majorBidi" w:cstheme="majorBidi"/>
          <w:bCs/>
          <w:sz w:val="20"/>
          <w:szCs w:val="20"/>
          <w:shd w:val="clear" w:color="auto" w:fill="FFFFFF"/>
        </w:rPr>
      </w:pPr>
    </w:p>
    <w:p w:rsidR="00A47C72" w:rsidRDefault="00A942B0">
      <w:pPr>
        <w:pStyle w:val="Default"/>
        <w:widowControl w:val="0"/>
        <w:spacing w:line="480" w:lineRule="auto"/>
        <w:jc w:val="both"/>
        <w:rPr>
          <w:rFonts w:asciiTheme="majorBidi" w:eastAsiaTheme="minorEastAsia" w:hAnsiTheme="majorBidi" w:cstheme="majorBidi"/>
          <w:color w:val="00000A"/>
          <w:sz w:val="20"/>
          <w:szCs w:val="20"/>
        </w:rPr>
      </w:pPr>
      <w:proofErr w:type="gramStart"/>
      <w:r>
        <w:rPr>
          <w:rFonts w:asciiTheme="majorBidi" w:hAnsiTheme="majorBidi" w:cstheme="majorBidi"/>
          <w:color w:val="00000A"/>
          <w:sz w:val="20"/>
          <w:szCs w:val="20"/>
        </w:rPr>
        <w:t>where</w:t>
      </w:r>
      <w:proofErr w:type="gramEnd"/>
      <w:r>
        <w:rPr>
          <w:rFonts w:asciiTheme="majorBidi" w:hAnsiTheme="majorBidi" w:cstheme="majorBidi"/>
          <w:color w:val="00000A"/>
          <w:sz w:val="20"/>
          <w:szCs w:val="20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color w:val="00000A"/>
          <w:sz w:val="20"/>
          <w:szCs w:val="20"/>
        </w:rPr>
        <w:t>K</w:t>
      </w:r>
      <w:r>
        <w:rPr>
          <w:rFonts w:asciiTheme="majorBidi" w:hAnsiTheme="majorBidi" w:cstheme="majorBidi"/>
          <w:i/>
          <w:iCs/>
          <w:color w:val="00000A"/>
          <w:sz w:val="20"/>
          <w:szCs w:val="20"/>
          <w:vertAlign w:val="subscript"/>
        </w:rPr>
        <w:t>F</w:t>
      </w:r>
      <w:proofErr w:type="spellEnd"/>
      <w:r>
        <w:rPr>
          <w:rFonts w:asciiTheme="majorBidi" w:hAnsiTheme="majorBidi" w:cstheme="majorBidi"/>
          <w:i/>
          <w:iCs/>
          <w:color w:val="00000A"/>
          <w:sz w:val="20"/>
          <w:szCs w:val="20"/>
        </w:rPr>
        <w:t xml:space="preserve"> </w:t>
      </w:r>
      <w:r>
        <w:rPr>
          <w:rFonts w:asciiTheme="majorBidi" w:hAnsiTheme="majorBidi" w:cstheme="majorBidi"/>
          <w:color w:val="00000A"/>
          <w:sz w:val="20"/>
          <w:szCs w:val="20"/>
        </w:rPr>
        <w:t xml:space="preserve">is </w:t>
      </w:r>
      <w:proofErr w:type="spellStart"/>
      <w:r>
        <w:rPr>
          <w:rFonts w:asciiTheme="majorBidi" w:hAnsiTheme="majorBidi" w:cstheme="majorBidi"/>
          <w:color w:val="00000A"/>
          <w:sz w:val="20"/>
          <w:szCs w:val="20"/>
        </w:rPr>
        <w:t>Freundlich</w:t>
      </w:r>
      <w:proofErr w:type="spellEnd"/>
      <w:r>
        <w:rPr>
          <w:rFonts w:asciiTheme="majorBidi" w:hAnsiTheme="majorBidi" w:cstheme="majorBidi"/>
          <w:color w:val="00000A"/>
          <w:sz w:val="20"/>
          <w:szCs w:val="20"/>
        </w:rPr>
        <w:t xml:space="preserve"> adsorption capacity (mmol g</w:t>
      </w:r>
      <w:r>
        <w:rPr>
          <w:rFonts w:asciiTheme="majorBidi" w:hAnsiTheme="majorBidi" w:cstheme="majorBidi"/>
          <w:color w:val="00000A"/>
          <w:sz w:val="20"/>
          <w:szCs w:val="20"/>
          <w:vertAlign w:val="superscript"/>
        </w:rPr>
        <w:t>-1</w:t>
      </w:r>
      <w:r>
        <w:rPr>
          <w:rFonts w:asciiTheme="majorBidi" w:hAnsiTheme="majorBidi" w:cstheme="majorBidi"/>
          <w:color w:val="00000A"/>
          <w:sz w:val="20"/>
          <w:szCs w:val="20"/>
        </w:rPr>
        <w:t>) (L mmol</w:t>
      </w:r>
      <w:r>
        <w:rPr>
          <w:rFonts w:asciiTheme="majorBidi" w:hAnsiTheme="majorBidi" w:cstheme="majorBidi"/>
          <w:color w:val="00000A"/>
          <w:sz w:val="20"/>
          <w:szCs w:val="20"/>
          <w:vertAlign w:val="superscript"/>
        </w:rPr>
        <w:t>-1</w:t>
      </w:r>
      <w:r>
        <w:rPr>
          <w:rFonts w:asciiTheme="majorBidi" w:hAnsiTheme="majorBidi" w:cstheme="majorBidi"/>
          <w:color w:val="00000A"/>
          <w:sz w:val="20"/>
          <w:szCs w:val="20"/>
        </w:rPr>
        <w:t>)</w:t>
      </w:r>
      <w:r>
        <w:rPr>
          <w:rFonts w:asciiTheme="majorBidi" w:hAnsiTheme="majorBidi" w:cstheme="majorBidi"/>
          <w:color w:val="00000A"/>
          <w:sz w:val="20"/>
          <w:szCs w:val="20"/>
          <w:vertAlign w:val="superscript"/>
        </w:rPr>
        <w:t>1/n</w:t>
      </w:r>
      <w:r>
        <w:rPr>
          <w:rFonts w:asciiTheme="majorBidi" w:hAnsiTheme="majorBidi" w:cstheme="majorBidi"/>
          <w:color w:val="00000A"/>
          <w:sz w:val="20"/>
          <w:szCs w:val="20"/>
        </w:rPr>
        <w:t xml:space="preserve">, and </w:t>
      </w:r>
      <w:r>
        <w:rPr>
          <w:rFonts w:asciiTheme="majorBidi" w:hAnsiTheme="majorBidi" w:cstheme="majorBidi"/>
          <w:i/>
          <w:iCs/>
          <w:color w:val="00000A"/>
          <w:sz w:val="20"/>
          <w:szCs w:val="20"/>
        </w:rPr>
        <w:t>n</w:t>
      </w:r>
      <w:r>
        <w:rPr>
          <w:rFonts w:asciiTheme="majorBidi" w:hAnsiTheme="majorBidi" w:cstheme="majorBidi"/>
          <w:color w:val="00000A"/>
          <w:sz w:val="20"/>
          <w:szCs w:val="20"/>
        </w:rPr>
        <w:t xml:space="preserve"> (</w:t>
      </w:r>
      <w:proofErr w:type="spellStart"/>
      <w:r>
        <w:rPr>
          <w:rFonts w:asciiTheme="majorBidi" w:hAnsiTheme="majorBidi" w:cstheme="majorBidi"/>
          <w:color w:val="00000A"/>
          <w:sz w:val="20"/>
          <w:szCs w:val="20"/>
        </w:rPr>
        <w:t>unitless</w:t>
      </w:r>
      <w:proofErr w:type="spellEnd"/>
      <w:r>
        <w:rPr>
          <w:rFonts w:asciiTheme="majorBidi" w:hAnsiTheme="majorBidi" w:cstheme="majorBidi"/>
          <w:color w:val="00000A"/>
          <w:sz w:val="20"/>
          <w:szCs w:val="20"/>
        </w:rPr>
        <w:t xml:space="preserve">) is the adsorption intensity which varies with the heterogeneity of the material. The values of </w:t>
      </w:r>
      <w:proofErr w:type="spellStart"/>
      <w:r>
        <w:rPr>
          <w:rFonts w:asciiTheme="majorBidi" w:hAnsiTheme="majorBidi" w:cstheme="majorBidi"/>
          <w:i/>
          <w:iCs/>
          <w:color w:val="00000A"/>
          <w:sz w:val="20"/>
          <w:szCs w:val="20"/>
        </w:rPr>
        <w:t>K</w:t>
      </w:r>
      <w:r>
        <w:rPr>
          <w:rFonts w:asciiTheme="majorBidi" w:hAnsiTheme="majorBidi" w:cstheme="majorBidi"/>
          <w:i/>
          <w:iCs/>
          <w:color w:val="00000A"/>
          <w:sz w:val="20"/>
          <w:szCs w:val="20"/>
          <w:vertAlign w:val="subscript"/>
        </w:rPr>
        <w:t>F</w:t>
      </w:r>
      <w:proofErr w:type="spellEnd"/>
      <w:r>
        <w:rPr>
          <w:rFonts w:asciiTheme="majorBidi" w:hAnsiTheme="majorBidi" w:cstheme="majorBidi"/>
          <w:color w:val="00000A"/>
          <w:sz w:val="20"/>
          <w:szCs w:val="20"/>
        </w:rPr>
        <w:t xml:space="preserve"> and </w:t>
      </w:r>
      <w:r>
        <w:rPr>
          <w:rFonts w:asciiTheme="majorBidi" w:hAnsiTheme="majorBidi" w:cstheme="majorBidi"/>
          <w:i/>
          <w:iCs/>
          <w:color w:val="00000A"/>
          <w:sz w:val="20"/>
          <w:szCs w:val="20"/>
        </w:rPr>
        <w:t>n</w:t>
      </w:r>
      <w:r>
        <w:rPr>
          <w:rFonts w:asciiTheme="majorBidi" w:hAnsiTheme="majorBidi" w:cstheme="majorBidi"/>
          <w:color w:val="00000A"/>
          <w:sz w:val="20"/>
          <w:szCs w:val="20"/>
        </w:rPr>
        <w:t xml:space="preserve"> can be calculated from the </w:t>
      </w:r>
      <w:r>
        <w:rPr>
          <w:rFonts w:asciiTheme="majorBidi" w:hAnsiTheme="majorBidi" w:cstheme="majorBidi"/>
          <w:bCs/>
          <w:color w:val="00000A"/>
          <w:sz w:val="20"/>
          <w:szCs w:val="20"/>
          <w:shd w:val="clear" w:color="auto" w:fill="FFFFFF"/>
        </w:rPr>
        <w:t xml:space="preserve">intercept and slope of the </w:t>
      </w:r>
      <w:r>
        <w:rPr>
          <w:rFonts w:asciiTheme="majorBidi" w:hAnsiTheme="majorBidi" w:cstheme="majorBidi"/>
          <w:color w:val="00000A"/>
          <w:sz w:val="20"/>
          <w:szCs w:val="20"/>
        </w:rPr>
        <w:t xml:space="preserve">linear plot </w:t>
      </w:r>
      <w:r>
        <w:rPr>
          <w:rFonts w:asciiTheme="majorBidi" w:hAnsiTheme="majorBidi" w:cstheme="majorBidi"/>
          <w:bCs/>
          <w:color w:val="00000A"/>
          <w:sz w:val="20"/>
          <w:szCs w:val="20"/>
          <w:shd w:val="clear" w:color="auto" w:fill="FFFFFF"/>
        </w:rPr>
        <w:t xml:space="preserve">form of </w:t>
      </w:r>
      <w:proofErr w:type="spellStart"/>
      <w:r>
        <w:rPr>
          <w:rFonts w:asciiTheme="majorBidi" w:hAnsiTheme="majorBidi" w:cstheme="majorBidi"/>
          <w:bCs/>
          <w:color w:val="00000A"/>
          <w:sz w:val="20"/>
          <w:szCs w:val="20"/>
          <w:shd w:val="clear" w:color="auto" w:fill="FFFFFF"/>
        </w:rPr>
        <w:t>Freundlich</w:t>
      </w:r>
      <w:proofErr w:type="spellEnd"/>
      <w:r>
        <w:rPr>
          <w:rFonts w:asciiTheme="majorBidi" w:hAnsiTheme="majorBidi" w:cstheme="majorBidi"/>
          <w:bCs/>
          <w:color w:val="00000A"/>
          <w:sz w:val="20"/>
          <w:szCs w:val="20"/>
          <w:shd w:val="clear" w:color="auto" w:fill="FFFFFF"/>
        </w:rPr>
        <w:t xml:space="preserve"> model Eq</w:t>
      </w:r>
      <w:proofErr w:type="gramStart"/>
      <w:r>
        <w:rPr>
          <w:rFonts w:asciiTheme="majorBidi" w:hAnsiTheme="majorBidi" w:cstheme="majorBidi"/>
          <w:bCs/>
          <w:color w:val="00000A"/>
          <w:sz w:val="20"/>
          <w:szCs w:val="20"/>
          <w:shd w:val="clear" w:color="auto" w:fill="FFFFFF"/>
        </w:rPr>
        <w:t>.(</w:t>
      </w:r>
      <w:proofErr w:type="gramEnd"/>
      <w:r>
        <w:rPr>
          <w:rFonts w:asciiTheme="majorBidi" w:hAnsiTheme="majorBidi" w:cstheme="majorBidi"/>
          <w:bCs/>
          <w:color w:val="00000A"/>
          <w:sz w:val="20"/>
          <w:szCs w:val="20"/>
          <w:shd w:val="clear" w:color="auto" w:fill="FFFFFF"/>
        </w:rPr>
        <w:t xml:space="preserve">4) </w:t>
      </w:r>
      <w:r>
        <w:rPr>
          <w:rFonts w:asciiTheme="majorBidi" w:hAnsiTheme="majorBidi" w:cstheme="majorBidi"/>
          <w:color w:val="00000A"/>
          <w:sz w:val="20"/>
          <w:szCs w:val="20"/>
        </w:rPr>
        <w:t xml:space="preserve">of </w:t>
      </w:r>
      <w:proofErr w:type="spellStart"/>
      <w:r>
        <w:rPr>
          <w:rFonts w:asciiTheme="majorBidi" w:hAnsiTheme="majorBidi" w:cstheme="majorBidi"/>
          <w:i/>
          <w:iCs/>
          <w:color w:val="00000A"/>
          <w:sz w:val="20"/>
          <w:szCs w:val="20"/>
          <w:lang w:bidi="ar-IQ"/>
        </w:rPr>
        <w:t>lnq</w:t>
      </w:r>
      <w:r>
        <w:rPr>
          <w:rFonts w:asciiTheme="majorBidi" w:hAnsiTheme="majorBidi" w:cstheme="majorBidi"/>
          <w:i/>
          <w:iCs/>
          <w:color w:val="00000A"/>
          <w:sz w:val="20"/>
          <w:szCs w:val="20"/>
          <w:vertAlign w:val="subscript"/>
          <w:lang w:bidi="ar-IQ"/>
        </w:rPr>
        <w:t>e</w:t>
      </w:r>
      <w:proofErr w:type="spellEnd"/>
      <w:r>
        <w:rPr>
          <w:rFonts w:asciiTheme="majorBidi" w:hAnsiTheme="majorBidi" w:cstheme="majorBidi"/>
          <w:color w:val="00000A"/>
          <w:sz w:val="20"/>
          <w:szCs w:val="20"/>
          <w:lang w:bidi="ar-IQ"/>
        </w:rPr>
        <w:t xml:space="preserve"> against the </w:t>
      </w:r>
      <w:proofErr w:type="spellStart"/>
      <w:r>
        <w:rPr>
          <w:rFonts w:asciiTheme="majorBidi" w:hAnsiTheme="majorBidi" w:cstheme="majorBidi"/>
          <w:i/>
          <w:iCs/>
          <w:color w:val="00000A"/>
          <w:sz w:val="20"/>
          <w:szCs w:val="20"/>
          <w:lang w:bidi="ar-IQ"/>
        </w:rPr>
        <w:t>lnC</w:t>
      </w:r>
      <w:r>
        <w:rPr>
          <w:rFonts w:asciiTheme="majorBidi" w:hAnsiTheme="majorBidi" w:cstheme="majorBidi"/>
          <w:i/>
          <w:iCs/>
          <w:color w:val="00000A"/>
          <w:sz w:val="20"/>
          <w:szCs w:val="20"/>
          <w:vertAlign w:val="subscript"/>
          <w:lang w:bidi="ar-IQ"/>
        </w:rPr>
        <w:t>e</w:t>
      </w:r>
      <w:proofErr w:type="spellEnd"/>
      <w:r>
        <w:rPr>
          <w:rFonts w:asciiTheme="majorBidi" w:hAnsiTheme="majorBidi" w:cstheme="majorBidi"/>
          <w:color w:val="00000A"/>
          <w:sz w:val="20"/>
          <w:szCs w:val="20"/>
          <w:lang w:bidi="ar-IQ"/>
        </w:rPr>
        <w:t xml:space="preserve">. </w:t>
      </w:r>
    </w:p>
    <w:p w:rsidR="00A47C72" w:rsidRDefault="00A942B0">
      <w:pPr>
        <w:widowControl w:val="0"/>
        <w:spacing w:line="360" w:lineRule="auto"/>
        <w:jc w:val="both"/>
        <w:rPr>
          <w:rFonts w:asciiTheme="majorBidi" w:hAnsiTheme="majorBidi" w:cstheme="majorBidi"/>
          <w:bCs/>
          <w:sz w:val="20"/>
          <w:szCs w:val="20"/>
        </w:rPr>
      </w:pPr>
      <m:oMath>
        <m:r>
          <w:rPr>
            <w:rFonts w:ascii="Cambria Math" w:hAnsi="Cambria Math"/>
          </w:rPr>
          <m:t>ln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ln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w:rPr>
            <w:rFonts w:ascii="Cambria Math" w:hAnsi="Cambria Math"/>
          </w:rPr>
          <m:t>ln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</m:oMath>
      <w:r>
        <w:rPr>
          <w:rFonts w:asciiTheme="majorBidi" w:hAnsiTheme="majorBidi" w:cstheme="majorBidi"/>
          <w:bCs/>
          <w:sz w:val="20"/>
          <w:szCs w:val="20"/>
        </w:rPr>
        <w:t xml:space="preserve">                                 (4)</w:t>
      </w:r>
    </w:p>
    <w:p w:rsidR="00A47C72" w:rsidRDefault="00A942B0">
      <w:pPr>
        <w:widowControl w:val="0"/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>
        <w:rPr>
          <w:rFonts w:asciiTheme="majorBidi" w:hAnsiTheme="majorBidi" w:cstheme="majorBidi"/>
          <w:sz w:val="20"/>
          <w:szCs w:val="20"/>
        </w:rPr>
        <w:t>Temkin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isotherm is used to study the adsorption heat and the adsorbent-adsorbate interactions on adsorption isotherm. It proposes that the adsorption heat of all the molecules in the layer would decrease linearly with coverage due to adsorbent-adsorbate in</w:t>
      </w:r>
      <w:r>
        <w:rPr>
          <w:rFonts w:asciiTheme="majorBidi" w:hAnsiTheme="majorBidi" w:cstheme="majorBidi"/>
          <w:sz w:val="20"/>
          <w:szCs w:val="20"/>
        </w:rPr>
        <w:t xml:space="preserve">teractions. </w:t>
      </w:r>
      <w:proofErr w:type="spellStart"/>
      <w:r>
        <w:rPr>
          <w:rFonts w:asciiTheme="majorBidi" w:hAnsiTheme="majorBidi" w:cstheme="majorBidi"/>
          <w:sz w:val="20"/>
          <w:szCs w:val="20"/>
          <w:shd w:val="clear" w:color="auto" w:fill="FFFFFF"/>
        </w:rPr>
        <w:t>Temkin</w:t>
      </w:r>
      <w:proofErr w:type="spellEnd"/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isotherm is given as below (Yap et al. 2017):</w:t>
      </w:r>
    </w:p>
    <w:p w:rsidR="00A47C72" w:rsidRDefault="00A47C72">
      <w:pPr>
        <w:widowControl w:val="0"/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RT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>
          <w:rPr>
            <w:rFonts w:ascii="Cambria Math" w:hAnsi="Cambria Math"/>
          </w:rPr>
          <m:t>ln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A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</m:e>
        </m:d>
      </m:oMath>
      <w:r w:rsidR="00A942B0">
        <w:rPr>
          <w:rFonts w:asciiTheme="majorBidi" w:eastAsiaTheme="minorEastAsia" w:hAnsiTheme="majorBidi" w:cstheme="majorBidi"/>
          <w:sz w:val="20"/>
          <w:szCs w:val="20"/>
        </w:rPr>
        <w:t xml:space="preserve">                                          (5)</w:t>
      </w:r>
    </w:p>
    <w:p w:rsidR="00A47C72" w:rsidRDefault="00A942B0">
      <w:pPr>
        <w:widowControl w:val="0"/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>
        <w:rPr>
          <w:rFonts w:asciiTheme="majorBidi" w:hAnsiTheme="majorBidi" w:cstheme="majorBidi"/>
          <w:sz w:val="20"/>
          <w:szCs w:val="20"/>
          <w:shd w:val="clear" w:color="auto" w:fill="FFFFFF"/>
        </w:rPr>
        <w:t>and</w:t>
      </w:r>
      <w:proofErr w:type="gramEnd"/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linearized as</w:t>
      </w:r>
      <w:r>
        <w:rPr>
          <w:rFonts w:asciiTheme="majorBidi" w:hAnsiTheme="majorBidi" w:cstheme="majorBidi"/>
          <w:sz w:val="20"/>
          <w:szCs w:val="20"/>
        </w:rPr>
        <w:t>:</w:t>
      </w:r>
    </w:p>
    <w:p w:rsidR="00A47C72" w:rsidRDefault="00A942B0">
      <w:pPr>
        <w:widowControl w:val="0"/>
        <w:shd w:val="clear" w:color="auto" w:fill="FFFFFF"/>
        <w:spacing w:line="360" w:lineRule="auto"/>
        <w:jc w:val="both"/>
        <w:textAlignment w:val="baseline"/>
        <w:rPr>
          <w:rFonts w:asciiTheme="majorBidi" w:hAnsiTheme="majorBidi" w:cstheme="majorBidi"/>
          <w:sz w:val="20"/>
          <w:szCs w:val="20"/>
        </w:rPr>
      </w:pPr>
      <w:proofErr w:type="spellStart"/>
      <w:proofErr w:type="gramStart"/>
      <w:r>
        <w:rPr>
          <w:rStyle w:val="formulatext"/>
          <w:rFonts w:asciiTheme="majorBidi" w:hAnsiTheme="majorBidi" w:cstheme="majorBidi"/>
          <w:i/>
          <w:iCs/>
          <w:spacing w:val="24"/>
          <w:sz w:val="20"/>
          <w:szCs w:val="20"/>
        </w:rPr>
        <w:t>q</w:t>
      </w:r>
      <w:r>
        <w:rPr>
          <w:rStyle w:val="formulatext"/>
          <w:rFonts w:asciiTheme="majorBidi" w:hAnsiTheme="majorBidi" w:cstheme="majorBidi"/>
          <w:i/>
          <w:iCs/>
          <w:spacing w:val="24"/>
          <w:sz w:val="20"/>
          <w:szCs w:val="20"/>
          <w:vertAlign w:val="subscript"/>
        </w:rPr>
        <w:t>e</w:t>
      </w:r>
      <w:proofErr w:type="spellEnd"/>
      <w:r>
        <w:rPr>
          <w:rStyle w:val="formulatext"/>
          <w:rFonts w:asciiTheme="majorBidi" w:hAnsiTheme="majorBidi" w:cstheme="majorBidi"/>
          <w:i/>
          <w:iCs/>
          <w:spacing w:val="24"/>
          <w:sz w:val="20"/>
          <w:szCs w:val="20"/>
        </w:rPr>
        <w:t>=</w:t>
      </w:r>
      <w:proofErr w:type="spellStart"/>
      <w:proofErr w:type="gramEnd"/>
      <w:r>
        <w:rPr>
          <w:rStyle w:val="formulatext"/>
          <w:rFonts w:asciiTheme="majorBidi" w:hAnsiTheme="majorBidi" w:cstheme="majorBidi"/>
          <w:i/>
          <w:iCs/>
          <w:spacing w:val="24"/>
          <w:sz w:val="20"/>
          <w:szCs w:val="20"/>
        </w:rPr>
        <w:t>Bln</w:t>
      </w:r>
      <w:proofErr w:type="spellEnd"/>
      <w:r>
        <w:rPr>
          <w:rStyle w:val="formulatext"/>
          <w:rFonts w:asciiTheme="majorBidi" w:hAnsiTheme="majorBidi" w:cstheme="majorBidi"/>
          <w:i/>
          <w:iCs/>
          <w:spacing w:val="24"/>
          <w:sz w:val="20"/>
          <w:szCs w:val="20"/>
        </w:rPr>
        <w:t> </w:t>
      </w:r>
      <w:proofErr w:type="spellStart"/>
      <w:r>
        <w:rPr>
          <w:rStyle w:val="formulatext"/>
          <w:rFonts w:asciiTheme="majorBidi" w:hAnsiTheme="majorBidi" w:cstheme="majorBidi"/>
          <w:i/>
          <w:iCs/>
          <w:spacing w:val="24"/>
          <w:sz w:val="20"/>
          <w:szCs w:val="20"/>
        </w:rPr>
        <w:t>A+BlnC</w:t>
      </w:r>
      <w:r>
        <w:rPr>
          <w:rStyle w:val="formulatext"/>
          <w:rFonts w:asciiTheme="majorBidi" w:hAnsiTheme="majorBidi" w:cstheme="majorBidi"/>
          <w:i/>
          <w:iCs/>
          <w:spacing w:val="24"/>
          <w:sz w:val="20"/>
          <w:szCs w:val="20"/>
          <w:vertAlign w:val="subscript"/>
        </w:rPr>
        <w:t>e</w:t>
      </w:r>
      <w:proofErr w:type="spellEnd"/>
      <w:r>
        <w:rPr>
          <w:rStyle w:val="formulatext"/>
          <w:rFonts w:asciiTheme="majorBidi" w:hAnsiTheme="majorBidi" w:cstheme="majorBidi"/>
          <w:i/>
          <w:iCs/>
          <w:noProof/>
          <w:spacing w:val="24"/>
          <w:sz w:val="20"/>
          <w:szCs w:val="20"/>
          <w:vertAlign w:val="subscript"/>
          <w:lang w:val="en-IN" w:eastAsia="en-IN"/>
        </w:rPr>
        <w:drawing>
          <wp:inline distT="0" distB="0" distL="0" distR="0">
            <wp:extent cx="14605" cy="14605"/>
            <wp:effectExtent l="0" t="0" r="0" b="0"/>
            <wp:docPr id="1" name="Picture 9" descr="http://www.sciencedirect.com/sd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 descr="http://www.sciencedirect.com/sd/blank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formulatext"/>
          <w:rFonts w:asciiTheme="majorBidi" w:hAnsiTheme="majorBidi" w:cstheme="majorBidi"/>
          <w:spacing w:val="24"/>
          <w:sz w:val="20"/>
          <w:szCs w:val="20"/>
          <w:vertAlign w:val="subscript"/>
        </w:rPr>
        <w:t xml:space="preserve">                                           </w:t>
      </w:r>
      <w:r>
        <w:rPr>
          <w:rStyle w:val="formulatext"/>
          <w:rFonts w:asciiTheme="majorBidi" w:hAnsiTheme="majorBidi" w:cstheme="majorBidi"/>
          <w:spacing w:val="24"/>
          <w:sz w:val="20"/>
          <w:szCs w:val="20"/>
        </w:rPr>
        <w:t>(6)</w:t>
      </w:r>
    </w:p>
    <w:p w:rsidR="00A47C72" w:rsidRDefault="00A942B0">
      <w:pPr>
        <w:widowControl w:val="0"/>
        <w:spacing w:after="0" w:line="480" w:lineRule="auto"/>
        <w:jc w:val="both"/>
        <w:rPr>
          <w:rFonts w:asciiTheme="majorBidi" w:hAnsiTheme="majorBidi" w:cstheme="majorBidi"/>
          <w:sz w:val="20"/>
          <w:szCs w:val="20"/>
          <w:highlight w:val="white"/>
        </w:rPr>
      </w:pPr>
      <w:proofErr w:type="gramStart"/>
      <w:r>
        <w:rPr>
          <w:rFonts w:asciiTheme="majorBidi" w:hAnsiTheme="majorBidi" w:cstheme="majorBidi"/>
          <w:sz w:val="20"/>
          <w:szCs w:val="20"/>
          <w:shd w:val="clear" w:color="auto" w:fill="FFFFFF"/>
        </w:rPr>
        <w:t>where</w:t>
      </w:r>
      <w:proofErr w:type="gramEnd"/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>
        <w:rPr>
          <w:rFonts w:asciiTheme="majorBidi" w:hAnsiTheme="majorBidi" w:cstheme="majorBidi"/>
          <w:i/>
          <w:iCs/>
          <w:sz w:val="20"/>
          <w:szCs w:val="20"/>
          <w:shd w:val="clear" w:color="auto" w:fill="FFFFFF"/>
        </w:rPr>
        <w:t>B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 is </w:t>
      </w:r>
      <w:proofErr w:type="spellStart"/>
      <w:r>
        <w:rPr>
          <w:rFonts w:asciiTheme="majorBidi" w:hAnsiTheme="majorBidi" w:cstheme="majorBidi"/>
          <w:sz w:val="20"/>
          <w:szCs w:val="20"/>
        </w:rPr>
        <w:t>Temkin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isotherm constant related</w:t>
      </w:r>
      <w:r>
        <w:rPr>
          <w:rFonts w:asciiTheme="majorBidi" w:hAnsiTheme="majorBidi" w:cstheme="majorBidi"/>
          <w:sz w:val="20"/>
          <w:szCs w:val="20"/>
        </w:rPr>
        <w:t xml:space="preserve"> to adsorption heat (J mol</w:t>
      </w:r>
      <w:r>
        <w:rPr>
          <w:rFonts w:asciiTheme="majorBidi" w:hAnsiTheme="majorBidi" w:cstheme="majorBidi"/>
          <w:sz w:val="20"/>
          <w:szCs w:val="20"/>
          <w:vertAlign w:val="superscript"/>
        </w:rPr>
        <w:t>-1</w:t>
      </w:r>
      <w:r>
        <w:rPr>
          <w:rFonts w:asciiTheme="majorBidi" w:hAnsiTheme="majorBidi" w:cstheme="majorBidi"/>
          <w:sz w:val="20"/>
          <w:szCs w:val="20"/>
        </w:rPr>
        <w:t>)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, </w:t>
      </w:r>
      <w:r>
        <w:rPr>
          <w:rFonts w:asciiTheme="majorBidi" w:hAnsiTheme="majorBidi" w:cstheme="majorBidi"/>
          <w:i/>
          <w:iCs/>
          <w:sz w:val="20"/>
          <w:szCs w:val="20"/>
          <w:shd w:val="clear" w:color="auto" w:fill="FFFFFF"/>
        </w:rPr>
        <w:t>R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is the gas constant (8.314 J K</w:t>
      </w:r>
      <w:r>
        <w:rPr>
          <w:rFonts w:asciiTheme="majorBidi" w:hAnsiTheme="majorBidi" w:cstheme="majorBidi"/>
          <w:sz w:val="20"/>
          <w:szCs w:val="20"/>
          <w:shd w:val="clear" w:color="auto" w:fill="FFFFFF"/>
          <w:vertAlign w:val="superscript"/>
        </w:rPr>
        <w:t>−</w:t>
      </w:r>
      <w:r>
        <w:rPr>
          <w:rFonts w:asciiTheme="majorBidi" w:hAnsiTheme="majorBidi" w:cstheme="majorBidi"/>
          <w:sz w:val="20"/>
          <w:szCs w:val="20"/>
          <w:shd w:val="clear" w:color="auto" w:fill="FFFFFF"/>
          <w:vertAlign w:val="superscript"/>
        </w:rPr>
        <w:t>1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mol</w:t>
      </w:r>
      <w:r>
        <w:rPr>
          <w:rFonts w:asciiTheme="majorBidi" w:hAnsiTheme="majorBidi" w:cstheme="majorBidi"/>
          <w:sz w:val="20"/>
          <w:szCs w:val="20"/>
          <w:shd w:val="clear" w:color="auto" w:fill="FFFFFF"/>
          <w:vertAlign w:val="superscript"/>
        </w:rPr>
        <w:t>−</w:t>
      </w:r>
      <w:r>
        <w:rPr>
          <w:rFonts w:asciiTheme="majorBidi" w:hAnsiTheme="majorBidi" w:cstheme="majorBidi"/>
          <w:sz w:val="20"/>
          <w:szCs w:val="20"/>
          <w:shd w:val="clear" w:color="auto" w:fill="FFFFFF"/>
          <w:vertAlign w:val="superscript"/>
        </w:rPr>
        <w:t>1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), </w:t>
      </w:r>
      <w:r>
        <w:rPr>
          <w:rFonts w:asciiTheme="majorBidi" w:hAnsiTheme="majorBidi" w:cstheme="majorBidi"/>
          <w:i/>
          <w:iCs/>
          <w:sz w:val="20"/>
          <w:szCs w:val="20"/>
          <w:shd w:val="clear" w:color="auto" w:fill="FFFFFF"/>
        </w:rPr>
        <w:t>T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is the absolute temperature (K), and </w:t>
      </w:r>
      <w:r>
        <w:rPr>
          <w:rFonts w:asciiTheme="majorBidi" w:hAnsiTheme="majorBidi" w:cstheme="majorBidi"/>
          <w:i/>
          <w:iCs/>
          <w:sz w:val="20"/>
          <w:szCs w:val="20"/>
          <w:shd w:val="clear" w:color="auto" w:fill="FFFFFF"/>
        </w:rPr>
        <w:t>A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the </w:t>
      </w:r>
      <w:proofErr w:type="spellStart"/>
      <w:r>
        <w:rPr>
          <w:rFonts w:asciiTheme="majorBidi" w:hAnsiTheme="majorBidi" w:cstheme="majorBidi"/>
          <w:sz w:val="20"/>
          <w:szCs w:val="20"/>
          <w:shd w:val="clear" w:color="auto" w:fill="FFFFFF"/>
        </w:rPr>
        <w:t>Temkin</w:t>
      </w:r>
      <w:proofErr w:type="spellEnd"/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 xml:space="preserve">equilibrium binding 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constant (L g</w:t>
      </w:r>
      <w:r>
        <w:rPr>
          <w:rFonts w:asciiTheme="majorBidi" w:hAnsiTheme="majorBidi" w:cstheme="majorBidi"/>
          <w:sz w:val="20"/>
          <w:szCs w:val="20"/>
          <w:shd w:val="clear" w:color="auto" w:fill="FFFFFF"/>
          <w:vertAlign w:val="superscript"/>
        </w:rPr>
        <w:t>-1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).</w:t>
      </w:r>
    </w:p>
    <w:p w:rsidR="00A47C72" w:rsidRDefault="00A47C72">
      <w:pPr>
        <w:widowControl w:val="0"/>
        <w:rPr>
          <w:rFonts w:asciiTheme="majorBidi" w:hAnsiTheme="majorBidi" w:cstheme="majorBidi"/>
          <w:sz w:val="20"/>
          <w:szCs w:val="20"/>
        </w:rPr>
      </w:pPr>
    </w:p>
    <w:p w:rsidR="00A47C72" w:rsidRDefault="00A47C72">
      <w:pPr>
        <w:rPr>
          <w:rFonts w:asciiTheme="majorBidi" w:hAnsiTheme="majorBidi" w:cstheme="majorBidi"/>
          <w:b/>
          <w:bCs/>
          <w:sz w:val="20"/>
          <w:szCs w:val="20"/>
        </w:rPr>
      </w:pPr>
    </w:p>
    <w:p w:rsidR="00A47C72" w:rsidRDefault="00A942B0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References:</w:t>
      </w:r>
    </w:p>
    <w:p w:rsidR="00A47C72" w:rsidRDefault="00A942B0">
      <w:pPr>
        <w:pStyle w:val="FootnoteText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hd w:val="clear" w:color="auto" w:fill="FFFFFF"/>
        </w:rPr>
        <w:t>Al-</w:t>
      </w:r>
      <w:proofErr w:type="spellStart"/>
      <w:r>
        <w:rPr>
          <w:rFonts w:asciiTheme="majorBidi" w:hAnsiTheme="majorBidi" w:cstheme="majorBidi"/>
          <w:shd w:val="clear" w:color="auto" w:fill="FFFFFF"/>
        </w:rPr>
        <w:t>Asheh</w:t>
      </w:r>
      <w:proofErr w:type="spellEnd"/>
      <w:r>
        <w:rPr>
          <w:rFonts w:asciiTheme="majorBidi" w:hAnsiTheme="majorBidi" w:cstheme="majorBidi"/>
          <w:shd w:val="clear" w:color="auto" w:fill="FFFFFF"/>
        </w:rPr>
        <w:t>, S., Banat, F., Al-</w:t>
      </w:r>
      <w:proofErr w:type="spellStart"/>
      <w:r>
        <w:rPr>
          <w:rFonts w:asciiTheme="majorBidi" w:hAnsiTheme="majorBidi" w:cstheme="majorBidi"/>
          <w:shd w:val="clear" w:color="auto" w:fill="FFFFFF"/>
        </w:rPr>
        <w:t>Omari</w:t>
      </w:r>
      <w:proofErr w:type="spellEnd"/>
      <w:r>
        <w:rPr>
          <w:rFonts w:asciiTheme="majorBidi" w:hAnsiTheme="majorBidi" w:cstheme="majorBidi"/>
          <w:shd w:val="clear" w:color="auto" w:fill="FFFFFF"/>
        </w:rPr>
        <w:t xml:space="preserve">, R., &amp; </w:t>
      </w:r>
      <w:proofErr w:type="spellStart"/>
      <w:r>
        <w:rPr>
          <w:rFonts w:asciiTheme="majorBidi" w:hAnsiTheme="majorBidi" w:cstheme="majorBidi"/>
          <w:shd w:val="clear" w:color="auto" w:fill="FFFFFF"/>
        </w:rPr>
        <w:t>Duvnjak</w:t>
      </w:r>
      <w:proofErr w:type="spellEnd"/>
      <w:r>
        <w:rPr>
          <w:rFonts w:asciiTheme="majorBidi" w:hAnsiTheme="majorBidi" w:cstheme="majorBidi"/>
          <w:shd w:val="clear" w:color="auto" w:fill="FFFFFF"/>
        </w:rPr>
        <w:t>, Z. (2000). Predictions of bi</w:t>
      </w:r>
      <w:r>
        <w:rPr>
          <w:rFonts w:asciiTheme="majorBidi" w:hAnsiTheme="majorBidi" w:cstheme="majorBidi"/>
          <w:shd w:val="clear" w:color="auto" w:fill="FFFFFF"/>
        </w:rPr>
        <w:t>nary sorption isotherms for the sorption of heavy metals by pine bark using single isotherm data.</w:t>
      </w:r>
      <w:r>
        <w:rPr>
          <w:rStyle w:val="apple-converted-space"/>
          <w:rFonts w:asciiTheme="majorBidi" w:hAnsiTheme="majorBidi" w:cstheme="majorBidi"/>
          <w:shd w:val="clear" w:color="auto" w:fill="FFFFFF"/>
        </w:rPr>
        <w:t> </w:t>
      </w:r>
      <w:r>
        <w:rPr>
          <w:rFonts w:asciiTheme="majorBidi" w:hAnsiTheme="majorBidi" w:cstheme="majorBidi"/>
          <w:i/>
          <w:iCs/>
          <w:shd w:val="clear" w:color="auto" w:fill="FFFFFF"/>
        </w:rPr>
        <w:t>Chemosphere</w:t>
      </w:r>
      <w:r>
        <w:rPr>
          <w:rFonts w:asciiTheme="majorBidi" w:hAnsiTheme="majorBidi" w:cstheme="majorBidi"/>
          <w:shd w:val="clear" w:color="auto" w:fill="FFFFFF"/>
        </w:rPr>
        <w:t>,</w:t>
      </w:r>
      <w:r>
        <w:rPr>
          <w:rStyle w:val="apple-converted-space"/>
          <w:rFonts w:asciiTheme="majorBidi" w:hAnsiTheme="majorBidi" w:cstheme="majorBidi"/>
          <w:shd w:val="clear" w:color="auto" w:fill="FFFFFF"/>
        </w:rPr>
        <w:t> </w:t>
      </w:r>
      <w:r>
        <w:rPr>
          <w:rFonts w:asciiTheme="majorBidi" w:hAnsiTheme="majorBidi" w:cstheme="majorBidi"/>
          <w:i/>
          <w:iCs/>
          <w:shd w:val="clear" w:color="auto" w:fill="FFFFFF"/>
        </w:rPr>
        <w:t>41</w:t>
      </w:r>
      <w:r>
        <w:rPr>
          <w:rFonts w:asciiTheme="majorBidi" w:hAnsiTheme="majorBidi" w:cstheme="majorBidi"/>
          <w:shd w:val="clear" w:color="auto" w:fill="FFFFFF"/>
        </w:rPr>
        <w:t>(5), 659-665.</w:t>
      </w:r>
    </w:p>
    <w:p w:rsidR="00A47C72" w:rsidRDefault="00A942B0">
      <w:pPr>
        <w:pStyle w:val="FootnoteText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hd w:val="clear" w:color="auto" w:fill="FFFFFF"/>
        </w:rPr>
        <w:t xml:space="preserve">Yap, M. W., Mubarak, N. M., </w:t>
      </w:r>
      <w:proofErr w:type="spellStart"/>
      <w:r>
        <w:rPr>
          <w:rFonts w:asciiTheme="majorBidi" w:hAnsiTheme="majorBidi" w:cstheme="majorBidi"/>
          <w:shd w:val="clear" w:color="auto" w:fill="FFFFFF"/>
        </w:rPr>
        <w:t>Sahu</w:t>
      </w:r>
      <w:proofErr w:type="spellEnd"/>
      <w:r>
        <w:rPr>
          <w:rFonts w:asciiTheme="majorBidi" w:hAnsiTheme="majorBidi" w:cstheme="majorBidi"/>
          <w:shd w:val="clear" w:color="auto" w:fill="FFFFFF"/>
        </w:rPr>
        <w:t xml:space="preserve">, J. N., &amp; Abdullah, E. C. (2017). Microwave induced synthesis of magnetic </w:t>
      </w:r>
      <w:proofErr w:type="spellStart"/>
      <w:r>
        <w:rPr>
          <w:rFonts w:asciiTheme="majorBidi" w:hAnsiTheme="majorBidi" w:cstheme="majorBidi"/>
          <w:shd w:val="clear" w:color="auto" w:fill="FFFFFF"/>
        </w:rPr>
        <w:t>biochar</w:t>
      </w:r>
      <w:proofErr w:type="spellEnd"/>
      <w:r>
        <w:rPr>
          <w:rFonts w:asciiTheme="majorBidi" w:hAnsiTheme="majorBidi" w:cstheme="majorBidi"/>
          <w:shd w:val="clear" w:color="auto" w:fill="FFFFFF"/>
        </w:rPr>
        <w:t xml:space="preserve"> from </w:t>
      </w:r>
      <w:r>
        <w:rPr>
          <w:rFonts w:asciiTheme="majorBidi" w:hAnsiTheme="majorBidi" w:cstheme="majorBidi"/>
          <w:shd w:val="clear" w:color="auto" w:fill="FFFFFF"/>
        </w:rPr>
        <w:t>agricultural biomass for removal of lead and cadmium from wastewater.</w:t>
      </w:r>
      <w:r>
        <w:rPr>
          <w:rStyle w:val="apple-converted-space"/>
          <w:rFonts w:asciiTheme="majorBidi" w:hAnsiTheme="majorBidi" w:cstheme="majorBidi"/>
          <w:shd w:val="clear" w:color="auto" w:fill="FFFFFF"/>
        </w:rPr>
        <w:t> </w:t>
      </w:r>
      <w:r>
        <w:rPr>
          <w:rFonts w:asciiTheme="majorBidi" w:hAnsiTheme="majorBidi" w:cstheme="majorBidi"/>
          <w:i/>
          <w:iCs/>
          <w:shd w:val="clear" w:color="auto" w:fill="FFFFFF"/>
        </w:rPr>
        <w:t>Journal of Industrial and Engineering Chemistry</w:t>
      </w:r>
      <w:r>
        <w:rPr>
          <w:rFonts w:asciiTheme="majorBidi" w:hAnsiTheme="majorBidi" w:cstheme="majorBidi"/>
          <w:shd w:val="clear" w:color="auto" w:fill="FFFFFF"/>
        </w:rPr>
        <w:t>,</w:t>
      </w:r>
      <w:r>
        <w:rPr>
          <w:rStyle w:val="apple-converted-space"/>
          <w:rFonts w:asciiTheme="majorBidi" w:hAnsiTheme="majorBidi" w:cstheme="majorBidi"/>
          <w:shd w:val="clear" w:color="auto" w:fill="FFFFFF"/>
        </w:rPr>
        <w:t> </w:t>
      </w:r>
      <w:r>
        <w:rPr>
          <w:rFonts w:asciiTheme="majorBidi" w:hAnsiTheme="majorBidi" w:cstheme="majorBidi"/>
          <w:i/>
          <w:iCs/>
          <w:shd w:val="clear" w:color="auto" w:fill="FFFFFF"/>
        </w:rPr>
        <w:t>45</w:t>
      </w:r>
      <w:r>
        <w:rPr>
          <w:rFonts w:asciiTheme="majorBidi" w:hAnsiTheme="majorBidi" w:cstheme="majorBidi"/>
          <w:shd w:val="clear" w:color="auto" w:fill="FFFFFF"/>
        </w:rPr>
        <w:t>, 287-295.</w:t>
      </w:r>
    </w:p>
    <w:p w:rsidR="00A47C72" w:rsidRDefault="00A47C72">
      <w:pPr>
        <w:rPr>
          <w:rFonts w:asciiTheme="majorBidi" w:hAnsiTheme="majorBidi" w:cstheme="majorBidi"/>
          <w:sz w:val="20"/>
          <w:szCs w:val="20"/>
        </w:rPr>
      </w:pPr>
    </w:p>
    <w:p w:rsidR="00A47C72" w:rsidRDefault="00A47C72">
      <w:pPr>
        <w:jc w:val="center"/>
        <w:rPr>
          <w:rFonts w:asciiTheme="majorBidi" w:hAnsiTheme="majorBidi" w:cstheme="majorBidi"/>
          <w:sz w:val="20"/>
          <w:szCs w:val="20"/>
        </w:rPr>
      </w:pPr>
    </w:p>
    <w:p w:rsidR="00A47C72" w:rsidRDefault="00A47C72">
      <w:pPr>
        <w:rPr>
          <w:rFonts w:asciiTheme="majorBidi" w:hAnsiTheme="majorBidi" w:cstheme="majorBidi"/>
          <w:sz w:val="20"/>
          <w:szCs w:val="20"/>
        </w:rPr>
      </w:pPr>
    </w:p>
    <w:p w:rsidR="00A47C72" w:rsidRDefault="00A47C72"/>
    <w:sectPr w:rsidR="00A47C72" w:rsidSect="00A47C72">
      <w:pgSz w:w="11906" w:h="16838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C4DD9"/>
    <w:multiLevelType w:val="multilevel"/>
    <w:tmpl w:val="AAEE18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A5F2C30"/>
    <w:multiLevelType w:val="multilevel"/>
    <w:tmpl w:val="E842E2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47C72"/>
    <w:rsid w:val="00A47C72"/>
    <w:rsid w:val="00A94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8A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4668AA"/>
    <w:rPr>
      <w:color w:val="0563C1" w:themeColor="hyperlink"/>
      <w:u w:val="single"/>
    </w:rPr>
  </w:style>
  <w:style w:type="character" w:customStyle="1" w:styleId="work">
    <w:name w:val="work"/>
    <w:basedOn w:val="DefaultParagraphFont"/>
    <w:qFormat/>
    <w:rsid w:val="004668AA"/>
  </w:style>
  <w:style w:type="character" w:customStyle="1" w:styleId="street-address">
    <w:name w:val="street-address"/>
    <w:basedOn w:val="DefaultParagraphFont"/>
    <w:qFormat/>
    <w:rsid w:val="004668AA"/>
  </w:style>
  <w:style w:type="character" w:customStyle="1" w:styleId="locality">
    <w:name w:val="locality"/>
    <w:basedOn w:val="DefaultParagraphFont"/>
    <w:qFormat/>
    <w:rsid w:val="004668AA"/>
  </w:style>
  <w:style w:type="character" w:customStyle="1" w:styleId="region">
    <w:name w:val="region"/>
    <w:basedOn w:val="DefaultParagraphFont"/>
    <w:qFormat/>
    <w:rsid w:val="004668AA"/>
  </w:style>
  <w:style w:type="character" w:customStyle="1" w:styleId="postal-code">
    <w:name w:val="postal-code"/>
    <w:basedOn w:val="DefaultParagraphFont"/>
    <w:qFormat/>
    <w:rsid w:val="004668AA"/>
  </w:style>
  <w:style w:type="character" w:customStyle="1" w:styleId="country-name">
    <w:name w:val="country-name"/>
    <w:basedOn w:val="DefaultParagraphFont"/>
    <w:qFormat/>
    <w:rsid w:val="004668AA"/>
  </w:style>
  <w:style w:type="character" w:customStyle="1" w:styleId="email">
    <w:name w:val="email"/>
    <w:basedOn w:val="DefaultParagraphFont"/>
    <w:qFormat/>
    <w:rsid w:val="004668AA"/>
  </w:style>
  <w:style w:type="character" w:customStyle="1" w:styleId="given-name">
    <w:name w:val="given-name"/>
    <w:basedOn w:val="DefaultParagraphFont"/>
    <w:qFormat/>
    <w:rsid w:val="004668AA"/>
  </w:style>
  <w:style w:type="character" w:customStyle="1" w:styleId="family-name">
    <w:name w:val="family-name"/>
    <w:basedOn w:val="DefaultParagraphFont"/>
    <w:qFormat/>
    <w:rsid w:val="004668AA"/>
  </w:style>
  <w:style w:type="character" w:customStyle="1" w:styleId="apple-converted-space">
    <w:name w:val="apple-converted-space"/>
    <w:basedOn w:val="DefaultParagraphFont"/>
    <w:qFormat/>
    <w:rsid w:val="004668AA"/>
  </w:style>
  <w:style w:type="character" w:customStyle="1" w:styleId="formulatext">
    <w:name w:val="formulatext"/>
    <w:basedOn w:val="DefaultParagraphFont"/>
    <w:qFormat/>
    <w:rsid w:val="004668AA"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4668A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7279F1"/>
    <w:rPr>
      <w:vertAlign w:val="superscript"/>
    </w:rPr>
  </w:style>
  <w:style w:type="paragraph" w:customStyle="1" w:styleId="Heading">
    <w:name w:val="Heading"/>
    <w:basedOn w:val="Normal"/>
    <w:next w:val="BodyText"/>
    <w:qFormat/>
    <w:rsid w:val="00A47C72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rsid w:val="00A47C72"/>
    <w:pPr>
      <w:spacing w:after="140" w:line="288" w:lineRule="auto"/>
    </w:pPr>
  </w:style>
  <w:style w:type="paragraph" w:styleId="List">
    <w:name w:val="List"/>
    <w:basedOn w:val="BodyText"/>
    <w:rsid w:val="00A47C72"/>
    <w:rPr>
      <w:rFonts w:cs="FreeSans"/>
    </w:rPr>
  </w:style>
  <w:style w:type="paragraph" w:styleId="Caption">
    <w:name w:val="caption"/>
    <w:basedOn w:val="Normal"/>
    <w:qFormat/>
    <w:rsid w:val="00A47C7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rsid w:val="00A47C72"/>
    <w:pPr>
      <w:suppressLineNumbers/>
    </w:pPr>
    <w:rPr>
      <w:rFonts w:cs="FreeSans"/>
    </w:rPr>
  </w:style>
  <w:style w:type="paragraph" w:customStyle="1" w:styleId="Default">
    <w:name w:val="Default"/>
    <w:qFormat/>
    <w:rsid w:val="004668AA"/>
    <w:pPr>
      <w:spacing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4668AA"/>
    <w:pPr>
      <w:spacing w:after="0"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71338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2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hyperlink" Target="mailto:a.elhanandeh@griffith.edu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immy.yu@griffith.edu.a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9E0FB-912B-466F-BB4F-AFEB2B828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562</Words>
  <Characters>3206</Characters>
  <Application>Microsoft Office Word</Application>
  <DocSecurity>0</DocSecurity>
  <Lines>26</Lines>
  <Paragraphs>7</Paragraphs>
  <ScaleCrop>false</ScaleCrop>
  <Company>Microsoft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zaza zaza</dc:creator>
  <cp:lastModifiedBy>0004777</cp:lastModifiedBy>
  <cp:revision>1</cp:revision>
  <dcterms:created xsi:type="dcterms:W3CDTF">2017-05-07T06:18:00Z</dcterms:created>
  <dcterms:modified xsi:type="dcterms:W3CDTF">2018-09-21T05:27:00Z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