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0413B" w14:textId="77777777" w:rsidR="004F363F" w:rsidRPr="009C5AC9" w:rsidRDefault="004F363F" w:rsidP="004F363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C5AC9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SUPPLEMENTAL DATA</w:t>
      </w:r>
    </w:p>
    <w:p w14:paraId="3B236C52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8FF513E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5AC9">
        <w:rPr>
          <w:rFonts w:ascii="Times New Roman" w:eastAsia="Calibri" w:hAnsi="Times New Roman" w:cs="Times New Roman"/>
          <w:sz w:val="20"/>
          <w:szCs w:val="20"/>
        </w:rPr>
        <w:object w:dxaOrig="6278" w:dyaOrig="4997" w14:anchorId="66E641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1" type="#_x0000_t75" style="width:314.25pt;height:249.75pt" o:ole="">
            <v:imagedata r:id="rId4" o:title=""/>
          </v:shape>
          <o:OLEObject Type="Embed" ProgID="Origin50.Graph" ShapeID="_x0000_i1081" DrawAspect="Content" ObjectID="_1608461019" r:id="rId5"/>
        </w:object>
      </w:r>
    </w:p>
    <w:p w14:paraId="55DC8DFD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>Fig. 1: Plot of Ct/Co versus contact time of CuO-kaolinite composite used for the calculation of mass transfer rates</w:t>
      </w:r>
    </w:p>
    <w:p w14:paraId="09401448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A63C02B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>Table 1: Mass transfer rates for CuO-kaolinite composite derived from Fig.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440"/>
        <w:gridCol w:w="2070"/>
        <w:gridCol w:w="1439"/>
        <w:gridCol w:w="1596"/>
      </w:tblGrid>
      <w:tr w:rsidR="004F363F" w:rsidRPr="009C5AC9" w14:paraId="22E33E43" w14:textId="77777777" w:rsidTr="00895369">
        <w:tc>
          <w:tcPr>
            <w:tcW w:w="1435" w:type="dxa"/>
            <w:shd w:val="clear" w:color="auto" w:fill="auto"/>
          </w:tcPr>
          <w:p w14:paraId="7FCFFD98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Slope I(hr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-1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6940B776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SlopeII</w:t>
            </w:r>
            <w:proofErr w:type="spellEnd"/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(hr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-1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070" w:type="dxa"/>
            <w:shd w:val="clear" w:color="auto" w:fill="auto"/>
          </w:tcPr>
          <w:p w14:paraId="72CB24D2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Exposed Surface</w:t>
            </w:r>
          </w:p>
          <w:p w14:paraId="76508F43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Area (cm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-1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0B94EAAA" w14:textId="77777777" w:rsidR="004F363F" w:rsidRPr="009C5AC9" w:rsidRDefault="004F363F" w:rsidP="004F363F">
            <w:pPr>
              <w:spacing w:after="0" w:line="48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1439" w:type="dxa"/>
            <w:shd w:val="clear" w:color="auto" w:fill="auto"/>
          </w:tcPr>
          <w:p w14:paraId="6AFB2FD5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bscript"/>
              </w:rPr>
              <w:t>fI</w:t>
            </w:r>
            <w:proofErr w:type="spellEnd"/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(cmhr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-1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596" w:type="dxa"/>
            <w:shd w:val="clear" w:color="auto" w:fill="auto"/>
          </w:tcPr>
          <w:p w14:paraId="4166E16F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bscript"/>
              </w:rPr>
              <w:t>fII</w:t>
            </w:r>
            <w:proofErr w:type="spellEnd"/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(cmhr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-1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4F363F" w:rsidRPr="009C5AC9" w14:paraId="4D418419" w14:textId="77777777" w:rsidTr="00895369">
        <w:tc>
          <w:tcPr>
            <w:tcW w:w="1435" w:type="dxa"/>
            <w:shd w:val="clear" w:color="auto" w:fill="auto"/>
          </w:tcPr>
          <w:p w14:paraId="02D84924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C5AC9">
              <w:rPr>
                <w:rFonts w:ascii="Times New Roman" w:eastAsia="Times New Roman" w:hAnsi="Times New Roman" w:cs="Times New Roman"/>
                <w:sz w:val="20"/>
                <w:szCs w:val="20"/>
              </w:rPr>
              <w:t>0.0345</w:t>
            </w:r>
          </w:p>
        </w:tc>
        <w:tc>
          <w:tcPr>
            <w:tcW w:w="1440" w:type="dxa"/>
            <w:shd w:val="clear" w:color="auto" w:fill="auto"/>
          </w:tcPr>
          <w:p w14:paraId="3E7A916A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0.0184</w:t>
            </w:r>
          </w:p>
        </w:tc>
        <w:tc>
          <w:tcPr>
            <w:tcW w:w="2070" w:type="dxa"/>
            <w:shd w:val="clear" w:color="auto" w:fill="auto"/>
          </w:tcPr>
          <w:p w14:paraId="7F297735" w14:textId="77777777" w:rsidR="004F363F" w:rsidRPr="009C5AC9" w:rsidRDefault="004F363F" w:rsidP="004F363F">
            <w:pPr>
              <w:spacing w:after="0" w:line="48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4700</w:t>
            </w:r>
          </w:p>
        </w:tc>
        <w:tc>
          <w:tcPr>
            <w:tcW w:w="1439" w:type="dxa"/>
            <w:shd w:val="clear" w:color="auto" w:fill="auto"/>
          </w:tcPr>
          <w:p w14:paraId="74CF2C14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7.34^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-6</w:t>
            </w:r>
          </w:p>
        </w:tc>
        <w:tc>
          <w:tcPr>
            <w:tcW w:w="1596" w:type="dxa"/>
            <w:shd w:val="clear" w:color="auto" w:fill="auto"/>
          </w:tcPr>
          <w:p w14:paraId="4ADAF6F9" w14:textId="77777777" w:rsidR="004F363F" w:rsidRPr="009C5AC9" w:rsidRDefault="004F363F" w:rsidP="004F363F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3.91^</w:t>
            </w:r>
            <w:r w:rsidRPr="009C5AC9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-6</w:t>
            </w:r>
          </w:p>
        </w:tc>
      </w:tr>
    </w:tbl>
    <w:p w14:paraId="6575A486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6D3582AB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38E2B9BB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6CFC0C14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1C68509B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68E90F2A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4FF7BBB0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6DE82B52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7ED2E790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7C0A8C66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3BB92675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490524A7" w14:textId="7BBCD1BB" w:rsidR="004F363F" w:rsidRPr="009C5AC9" w:rsidRDefault="009C5AC9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  <w:r>
        <w:object w:dxaOrig="6278" w:dyaOrig="4997" w14:anchorId="0F243974">
          <v:shape id="_x0000_i1085" type="#_x0000_t75" style="width:314.25pt;height:249.75pt" o:ole="">
            <v:imagedata r:id="rId6" o:title=""/>
          </v:shape>
          <o:OLEObject Type="Embed" ProgID="Origin50.Graph" ShapeID="_x0000_i1085" DrawAspect="Content" ObjectID="_1608461020" r:id="rId7"/>
        </w:object>
      </w:r>
    </w:p>
    <w:p w14:paraId="655C05D0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47130DB0" w14:textId="29C58060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C5A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</w:t>
      </w:r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 xml:space="preserve">Fig. 2: Adsorption capacity versus initial metal concentration of </w:t>
      </w:r>
      <w:proofErr w:type="spellStart"/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>CuO</w:t>
      </w:r>
      <w:proofErr w:type="spellEnd"/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>-kaolinite composite [pH=4,</w:t>
      </w:r>
      <w:r w:rsidR="009C5AC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>2g/L solid concentration, 10 mg/L Pb</w:t>
      </w:r>
      <w:r w:rsidRPr="009C5AC9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2+</w:t>
      </w:r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 xml:space="preserve"> concentration]</w:t>
      </w:r>
    </w:p>
    <w:p w14:paraId="4100F0FA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14:paraId="5C299111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AF28BF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BAEC9E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5AC9">
        <w:rPr>
          <w:rFonts w:ascii="Times New Roman" w:eastAsia="Calibri" w:hAnsi="Times New Roman" w:cs="Times New Roman"/>
          <w:sz w:val="20"/>
          <w:szCs w:val="20"/>
        </w:rPr>
        <w:object w:dxaOrig="6278" w:dyaOrig="4997" w14:anchorId="2A5D6ED3">
          <v:shape id="_x0000_i1082" type="#_x0000_t75" style="width:314.25pt;height:249.75pt" o:ole="">
            <v:imagedata r:id="rId8" o:title=""/>
          </v:shape>
          <o:OLEObject Type="Embed" ProgID="Origin50.Graph" ShapeID="_x0000_i1082" DrawAspect="Content" ObjectID="_1608461021" r:id="rId9"/>
        </w:object>
      </w:r>
    </w:p>
    <w:p w14:paraId="5914634E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t xml:space="preserve">Fig. 3: </w:t>
      </w:r>
      <w:r w:rsidRPr="009C5AC9">
        <w:rPr>
          <w:rFonts w:ascii="Times New Roman" w:eastAsia="Times New Roman" w:hAnsi="Times New Roman" w:cs="Times New Roman"/>
          <w:sz w:val="20"/>
          <w:szCs w:val="20"/>
        </w:rPr>
        <w:t>Plot of adsorption capacity versus particle concentration (Cp) [pH=4]</w:t>
      </w:r>
    </w:p>
    <w:p w14:paraId="7E32958D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A049D7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13DB49E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746E072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lk488606314"/>
    </w:p>
    <w:bookmarkEnd w:id="1"/>
    <w:p w14:paraId="551D6774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5AC9">
        <w:rPr>
          <w:rFonts w:ascii="Times New Roman" w:eastAsia="Calibri" w:hAnsi="Times New Roman" w:cs="Times New Roman"/>
          <w:sz w:val="20"/>
          <w:szCs w:val="20"/>
        </w:rPr>
        <w:object w:dxaOrig="6278" w:dyaOrig="4997" w14:anchorId="5D715FCE">
          <v:shape id="_x0000_i1083" type="#_x0000_t75" style="width:314.25pt;height:249.75pt" o:ole="">
            <v:imagedata r:id="rId10" o:title=""/>
          </v:shape>
          <o:OLEObject Type="Embed" ProgID="Origin50.Graph" ShapeID="_x0000_i1083" DrawAspect="Content" ObjectID="_1608461022" r:id="rId11"/>
        </w:object>
      </w:r>
    </w:p>
    <w:p w14:paraId="6416B883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5AC9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Fig. 4:</w:t>
      </w:r>
      <w:r w:rsidRPr="009C5A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2" w:name="_Hlk488331620"/>
      <w:r w:rsidRPr="009C5AC9">
        <w:rPr>
          <w:rFonts w:ascii="Times New Roman" w:eastAsia="Times New Roman" w:hAnsi="Times New Roman" w:cs="Times New Roman"/>
          <w:sz w:val="20"/>
          <w:szCs w:val="20"/>
        </w:rPr>
        <w:t>Adsorption capacity versus residence time for CuO-kaolinite composite [pH=4,2 g/L solid concentration, 10mgL</w:t>
      </w:r>
      <w:r w:rsidRPr="009C5AC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</w:t>
      </w:r>
      <w:r w:rsidRPr="009C5AC9">
        <w:rPr>
          <w:rFonts w:ascii="Times New Roman" w:eastAsia="Times New Roman" w:hAnsi="Times New Roman" w:cs="Times New Roman"/>
          <w:sz w:val="20"/>
          <w:szCs w:val="20"/>
        </w:rPr>
        <w:t xml:space="preserve"> Pb</w:t>
      </w:r>
      <w:r w:rsidRPr="009C5AC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2+</w:t>
      </w:r>
      <w:r w:rsidRPr="009C5AC9">
        <w:rPr>
          <w:rFonts w:ascii="Times New Roman" w:eastAsia="Times New Roman" w:hAnsi="Times New Roman" w:cs="Times New Roman"/>
          <w:sz w:val="20"/>
          <w:szCs w:val="20"/>
        </w:rPr>
        <w:t xml:space="preserve"> concentration]</w:t>
      </w:r>
    </w:p>
    <w:bookmarkEnd w:id="2"/>
    <w:p w14:paraId="56B15E98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86C15C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B4E5F3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E67B1C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00DC73A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5AC9">
        <w:rPr>
          <w:rFonts w:ascii="Times New Roman" w:eastAsia="Calibri" w:hAnsi="Times New Roman" w:cs="Times New Roman"/>
          <w:sz w:val="20"/>
          <w:szCs w:val="20"/>
        </w:rPr>
        <w:object w:dxaOrig="6278" w:dyaOrig="4997" w14:anchorId="617542CB">
          <v:shape id="_x0000_i1084" type="#_x0000_t75" style="width:314.25pt;height:249.75pt" o:ole="">
            <v:imagedata r:id="rId12" o:title=""/>
          </v:shape>
          <o:OLEObject Type="Embed" ProgID="Origin50.Graph" ShapeID="_x0000_i1084" DrawAspect="Content" ObjectID="_1608461023" r:id="rId13"/>
        </w:object>
      </w:r>
    </w:p>
    <w:p w14:paraId="7BA0BEAE" w14:textId="77777777" w:rsidR="004F363F" w:rsidRPr="009C5AC9" w:rsidRDefault="004F363F" w:rsidP="004F36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5A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Fig. 5: </w:t>
      </w:r>
      <w:r w:rsidRPr="009C5AC9">
        <w:rPr>
          <w:rFonts w:ascii="Times New Roman" w:eastAsia="Times New Roman" w:hAnsi="Times New Roman" w:cs="Times New Roman"/>
          <w:sz w:val="20"/>
          <w:szCs w:val="20"/>
        </w:rPr>
        <w:t>Plot of adsorption capacity versus initial pH for CuO-kaolinite composite [2 g/L solid concentration, 10mgL</w:t>
      </w:r>
      <w:r w:rsidRPr="009C5AC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</w:t>
      </w:r>
      <w:r w:rsidRPr="009C5AC9">
        <w:rPr>
          <w:rFonts w:ascii="Times New Roman" w:eastAsia="Times New Roman" w:hAnsi="Times New Roman" w:cs="Times New Roman"/>
          <w:sz w:val="20"/>
          <w:szCs w:val="20"/>
        </w:rPr>
        <w:t xml:space="preserve"> Pb</w:t>
      </w:r>
      <w:r w:rsidRPr="009C5AC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2+</w:t>
      </w:r>
      <w:r w:rsidRPr="009C5AC9">
        <w:rPr>
          <w:rFonts w:ascii="Times New Roman" w:eastAsia="Times New Roman" w:hAnsi="Times New Roman" w:cs="Times New Roman"/>
          <w:sz w:val="20"/>
          <w:szCs w:val="20"/>
        </w:rPr>
        <w:t xml:space="preserve"> concentration]</w:t>
      </w:r>
    </w:p>
    <w:p w14:paraId="60C00568" w14:textId="77777777" w:rsidR="004F363F" w:rsidRPr="009C5AC9" w:rsidRDefault="004F363F" w:rsidP="004F363F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AECA745" w14:textId="77777777" w:rsidR="004F363F" w:rsidRPr="009C5AC9" w:rsidRDefault="004F363F">
      <w:pPr>
        <w:rPr>
          <w:rFonts w:ascii="Times New Roman" w:hAnsi="Times New Roman" w:cs="Times New Roman"/>
          <w:sz w:val="20"/>
          <w:szCs w:val="20"/>
        </w:rPr>
      </w:pPr>
    </w:p>
    <w:sectPr w:rsidR="004F363F" w:rsidRPr="009C5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3F"/>
    <w:rsid w:val="004F363F"/>
    <w:rsid w:val="009C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7C599"/>
  <w15:chartTrackingRefBased/>
  <w15:docId w15:val="{F63A182B-90A1-425F-9749-2FF2B0D0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Egirani</dc:creator>
  <cp:keywords/>
  <dc:description/>
  <cp:lastModifiedBy>David Egirani</cp:lastModifiedBy>
  <cp:revision>2</cp:revision>
  <dcterms:created xsi:type="dcterms:W3CDTF">2018-11-08T22:29:00Z</dcterms:created>
  <dcterms:modified xsi:type="dcterms:W3CDTF">2019-01-08T12:57:00Z</dcterms:modified>
</cp:coreProperties>
</file>