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BFE0" w14:textId="4A07F000" w:rsidR="008F1DC7" w:rsidRPr="00D93703" w:rsidRDefault="007C47B1" w:rsidP="00D9370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C47B1">
        <w:rPr>
          <w:rFonts w:asciiTheme="majorBidi" w:hAnsiTheme="majorBidi" w:cstheme="majorBidi"/>
          <w:b/>
          <w:bCs/>
          <w:sz w:val="32"/>
          <w:szCs w:val="32"/>
        </w:rPr>
        <w:t>Supplementary Information (S</w:t>
      </w:r>
      <w:r w:rsidR="008272DD">
        <w:rPr>
          <w:rFonts w:asciiTheme="majorBidi" w:hAnsiTheme="majorBidi" w:cstheme="majorBidi"/>
          <w:b/>
          <w:bCs/>
          <w:sz w:val="32"/>
          <w:szCs w:val="32"/>
        </w:rPr>
        <w:t>1</w:t>
      </w:r>
      <w:r w:rsidRPr="007C47B1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14:paraId="066FAA07" w14:textId="79F78D03" w:rsidR="00613E5D" w:rsidRPr="00EF50DD" w:rsidRDefault="00C6214E" w:rsidP="00613E5D">
      <w:pPr>
        <w:spacing w:after="0" w:line="360" w:lineRule="auto"/>
        <w:jc w:val="both"/>
        <w:rPr>
          <w:rFonts w:asciiTheme="majorBidi" w:eastAsia="Calibri" w:hAnsiTheme="majorBidi" w:cstheme="majorBidi"/>
          <w:color w:val="FF0000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S</w:t>
      </w:r>
      <w:r w:rsidR="008272DD">
        <w:rPr>
          <w:rFonts w:asciiTheme="majorBidi" w:eastAsia="Calibri" w:hAnsiTheme="majorBidi" w:cstheme="majorBidi"/>
          <w:b/>
          <w:bCs/>
          <w:sz w:val="24"/>
          <w:szCs w:val="24"/>
        </w:rPr>
        <w:t>1</w:t>
      </w:r>
      <w:r w:rsidR="00613E5D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  <w:r w:rsidR="00613E5D" w:rsidRPr="00EF50DD">
        <w:rPr>
          <w:rFonts w:asciiTheme="majorBidi" w:eastAsia="Calibri" w:hAnsiTheme="majorBidi" w:cstheme="majorBidi"/>
          <w:color w:val="FF0000"/>
          <w:sz w:val="24"/>
          <w:szCs w:val="24"/>
        </w:rPr>
        <w:t xml:space="preserve"> </w:t>
      </w:r>
      <w:r w:rsidR="00613E5D" w:rsidRPr="007D6689">
        <w:rPr>
          <w:rFonts w:asciiTheme="majorBidi" w:eastAsia="Calibri" w:hAnsiTheme="majorBidi" w:cstheme="majorBidi"/>
          <w:sz w:val="24"/>
          <w:szCs w:val="24"/>
        </w:rPr>
        <w:t xml:space="preserve">Potential kinetic and isotherm models for CV and </w:t>
      </w:r>
      <w:proofErr w:type="spellStart"/>
      <w:r w:rsidR="00613E5D" w:rsidRPr="007D6689">
        <w:rPr>
          <w:rFonts w:asciiTheme="majorBidi" w:eastAsia="Calibri" w:hAnsiTheme="majorBidi" w:cstheme="majorBidi"/>
          <w:sz w:val="24"/>
          <w:szCs w:val="24"/>
        </w:rPr>
        <w:t>Imida</w:t>
      </w:r>
      <w:proofErr w:type="spellEnd"/>
      <w:r w:rsidR="00613E5D" w:rsidRPr="007D6689">
        <w:rPr>
          <w:rFonts w:asciiTheme="majorBidi" w:eastAsia="Calibri" w:hAnsiTheme="majorBidi" w:cstheme="majorBidi"/>
          <w:sz w:val="24"/>
          <w:szCs w:val="24"/>
        </w:rPr>
        <w:t xml:space="preserve"> eradication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6"/>
        <w:gridCol w:w="1982"/>
        <w:gridCol w:w="2826"/>
        <w:gridCol w:w="1222"/>
        <w:gridCol w:w="2290"/>
      </w:tblGrid>
      <w:tr w:rsidR="00613E5D" w:rsidRPr="00EF50DD" w14:paraId="4E0B47DE" w14:textId="77777777" w:rsidTr="00DA6518">
        <w:trPr>
          <w:trHeight w:val="312"/>
        </w:trPr>
        <w:tc>
          <w:tcPr>
            <w:tcW w:w="5000" w:type="pct"/>
            <w:gridSpan w:val="5"/>
          </w:tcPr>
          <w:p w14:paraId="04DA841F" w14:textId="77777777" w:rsidR="00613E5D" w:rsidRPr="00EF50DD" w:rsidRDefault="00613E5D" w:rsidP="00DA6518">
            <w:pPr>
              <w:bidi/>
              <w:jc w:val="center"/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  <w:t>Kinetics Models</w:t>
            </w:r>
          </w:p>
        </w:tc>
      </w:tr>
      <w:tr w:rsidR="00613E5D" w:rsidRPr="00EF50DD" w14:paraId="33390C68" w14:textId="77777777" w:rsidTr="00DA6518">
        <w:trPr>
          <w:trHeight w:val="312"/>
        </w:trPr>
        <w:tc>
          <w:tcPr>
            <w:tcW w:w="591" w:type="pct"/>
          </w:tcPr>
          <w:p w14:paraId="21D0E8BE" w14:textId="77777777" w:rsidR="00613E5D" w:rsidRPr="00EF50DD" w:rsidRDefault="00613E5D" w:rsidP="00DA6518">
            <w:pPr>
              <w:bidi/>
              <w:jc w:val="center"/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  <w:t>Models</w:t>
            </w:r>
          </w:p>
        </w:tc>
        <w:tc>
          <w:tcPr>
            <w:tcW w:w="1051" w:type="pct"/>
          </w:tcPr>
          <w:p w14:paraId="667D7360" w14:textId="77777777" w:rsidR="00613E5D" w:rsidRPr="00EF50DD" w:rsidRDefault="00613E5D" w:rsidP="00DA6518">
            <w:pPr>
              <w:bidi/>
              <w:jc w:val="center"/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  <w:t>Equations</w:t>
            </w:r>
          </w:p>
        </w:tc>
        <w:tc>
          <w:tcPr>
            <w:tcW w:w="1492" w:type="pct"/>
          </w:tcPr>
          <w:p w14:paraId="75C0061C" w14:textId="77777777" w:rsidR="00613E5D" w:rsidRPr="00EF50DD" w:rsidRDefault="00613E5D" w:rsidP="00DA6518">
            <w:pPr>
              <w:bidi/>
              <w:jc w:val="center"/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654" w:type="pct"/>
          </w:tcPr>
          <w:p w14:paraId="62B75103" w14:textId="77777777" w:rsidR="00613E5D" w:rsidRPr="00EF50DD" w:rsidRDefault="00613E5D" w:rsidP="00DA6518">
            <w:pPr>
              <w:bidi/>
              <w:jc w:val="center"/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  <w:t>Graph</w:t>
            </w:r>
          </w:p>
        </w:tc>
        <w:tc>
          <w:tcPr>
            <w:tcW w:w="1212" w:type="pct"/>
            <w:vAlign w:val="center"/>
          </w:tcPr>
          <w:p w14:paraId="2DABCF36" w14:textId="77777777" w:rsidR="00613E5D" w:rsidRPr="00EF50DD" w:rsidRDefault="00613E5D" w:rsidP="00DA6518">
            <w:pPr>
              <w:bidi/>
              <w:jc w:val="center"/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  <w:t>Remarks</w:t>
            </w:r>
          </w:p>
        </w:tc>
      </w:tr>
      <w:tr w:rsidR="00613E5D" w:rsidRPr="00EF50DD" w14:paraId="3FFA23F3" w14:textId="77777777" w:rsidTr="00DA6518">
        <w:trPr>
          <w:trHeight w:val="1628"/>
        </w:trPr>
        <w:tc>
          <w:tcPr>
            <w:tcW w:w="591" w:type="pct"/>
          </w:tcPr>
          <w:p w14:paraId="2E9DB7B1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Pseudo-first-order</w:t>
            </w:r>
          </w:p>
        </w:tc>
        <w:tc>
          <w:tcPr>
            <w:tcW w:w="1051" w:type="pct"/>
          </w:tcPr>
          <w:p w14:paraId="739CC6D5" w14:textId="77777777" w:rsidR="00613E5D" w:rsidRPr="00EF50DD" w:rsidRDefault="00613E5D" w:rsidP="00DA6518">
            <w:pPr>
              <w:bidi/>
              <w:jc w:val="right"/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Log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t xml:space="preserve"> (</w:t>
            </w:r>
            <w:proofErr w:type="spellStart"/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e</w:t>
            </w:r>
            <w:proofErr w:type="spellEnd"/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t xml:space="preserve">- 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t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t xml:space="preserve">) = 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log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e</w:t>
            </w:r>
            <w:proofErr w:type="spellEnd"/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t xml:space="preserve"> – (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k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1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t>/2.303)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 xml:space="preserve"> t</w:t>
            </w:r>
          </w:p>
          <w:p w14:paraId="6084C8CC" w14:textId="77777777" w:rsidR="00613E5D" w:rsidRPr="00EF50DD" w:rsidRDefault="00613E5D" w:rsidP="00DA6518">
            <w:pPr>
              <w:bidi/>
              <w:jc w:val="right"/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Here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;</w:t>
            </w:r>
          </w:p>
          <w:p w14:paraId="611817D8" w14:textId="77777777" w:rsidR="00613E5D" w:rsidRPr="00EF50DD" w:rsidRDefault="00613E5D" w:rsidP="00DA6518">
            <w:pPr>
              <w:bidi/>
              <w:jc w:val="right"/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t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 xml:space="preserve"> = (C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0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 xml:space="preserve"> – C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t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 xml:space="preserve">) * (V/M)  </w:t>
            </w:r>
          </w:p>
          <w:p w14:paraId="74579C39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fldChar w:fldCharType="begin"/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instrText xml:space="preserve"> QUOTE </w:instrTex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instrText>log qe-qt=logqe-k12.303t</w:instrTex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instrText xml:space="preserve"> </w:instrTex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fldChar w:fldCharType="end"/>
            </w:r>
          </w:p>
        </w:tc>
        <w:tc>
          <w:tcPr>
            <w:tcW w:w="1492" w:type="pct"/>
          </w:tcPr>
          <w:p w14:paraId="60111FFB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  <w:proofErr w:type="spellEnd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: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 xml:space="preserve">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equilibrium sorption capacity (mg/g)</w:t>
            </w:r>
          </w:p>
          <w:p w14:paraId="0C04C1F8" w14:textId="77777777" w:rsidR="00613E5D" w:rsidRPr="00EF50DD" w:rsidRDefault="00613E5D" w:rsidP="00DA6518">
            <w:pPr>
              <w:bidi/>
              <w:jc w:val="right"/>
              <w:rPr>
                <w:rFonts w:asciiTheme="majorBidi" w:eastAsia="Cambria" w:hAnsiTheme="majorBidi" w:cstheme="majorBidi"/>
                <w:sz w:val="24"/>
                <w:szCs w:val="24"/>
                <w:vertAlign w:val="subscript"/>
                <w:lang w:bidi="ar-EG"/>
              </w:rPr>
            </w:pP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t: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capacity of sorption (mg/g) at a time (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t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, min)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vertAlign w:val="subscript"/>
                <w:lang w:bidi="ar-EG"/>
              </w:rPr>
              <w:t xml:space="preserve"> </w:t>
            </w:r>
          </w:p>
          <w:p w14:paraId="2D91FC25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k</w:t>
            </w:r>
            <w:proofErr w:type="gramStart"/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1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vertAlign w:val="subscript"/>
                <w:lang w:bidi="ar-EG"/>
              </w:rPr>
              <w:t xml:space="preserve"> :</w:t>
            </w:r>
            <w:proofErr w:type="gramEnd"/>
            <w:r w:rsidRPr="00EF50DD">
              <w:rPr>
                <w:rFonts w:asciiTheme="majorBidi" w:eastAsia="Cambria" w:hAnsiTheme="majorBidi" w:cstheme="majorBidi"/>
                <w:sz w:val="24"/>
                <w:szCs w:val="24"/>
                <w:vertAlign w:val="subscript"/>
                <w:lang w:bidi="ar-EG"/>
              </w:rPr>
              <w:t xml:space="preserve">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the rate constant (min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-1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  <w:p w14:paraId="5482E1FE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V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: volume of solution (L)</w:t>
            </w:r>
          </w:p>
          <w:p w14:paraId="3C24C336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M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: mass of the sorbent added (g)</w:t>
            </w:r>
          </w:p>
        </w:tc>
        <w:tc>
          <w:tcPr>
            <w:tcW w:w="654" w:type="pct"/>
          </w:tcPr>
          <w:p w14:paraId="6961C4B5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14:paraId="66C448A4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14:paraId="1323A335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log (</w:t>
            </w:r>
            <w:proofErr w:type="spellStart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  <w:proofErr w:type="spellEnd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– 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t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) Vs 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t</w:t>
            </w:r>
          </w:p>
          <w:p w14:paraId="5938E3BF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</w:p>
          <w:p w14:paraId="7685F8C4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1212" w:type="pct"/>
            <w:vAlign w:val="center"/>
          </w:tcPr>
          <w:p w14:paraId="0CA56401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-----</w:t>
            </w:r>
          </w:p>
        </w:tc>
      </w:tr>
      <w:tr w:rsidR="00613E5D" w:rsidRPr="00EF50DD" w14:paraId="61CC6E0E" w14:textId="77777777" w:rsidTr="00DA6518">
        <w:trPr>
          <w:trHeight w:val="548"/>
        </w:trPr>
        <w:tc>
          <w:tcPr>
            <w:tcW w:w="591" w:type="pct"/>
          </w:tcPr>
          <w:p w14:paraId="7A41F3D8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Pseudo-second-order</w:t>
            </w:r>
          </w:p>
        </w:tc>
        <w:tc>
          <w:tcPr>
            <w:tcW w:w="1051" w:type="pct"/>
          </w:tcPr>
          <w:p w14:paraId="4F34AC1D" w14:textId="77777777" w:rsidR="00613E5D" w:rsidRPr="00EF50DD" w:rsidRDefault="00613E5D" w:rsidP="00DA6518">
            <w:pPr>
              <w:bidi/>
              <w:jc w:val="right"/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lang w:bidi="ar-EG"/>
              </w:rPr>
            </w:pP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lang w:bidi="ar-EG"/>
              </w:rPr>
              <w:t>t</w:t>
            </w:r>
            <w:r w:rsidRPr="00EF50DD">
              <w:rPr>
                <w:rFonts w:asciiTheme="majorBidi" w:eastAsia="Cambria" w:hAnsiTheme="majorBidi" w:cstheme="majorBidi"/>
                <w:bCs/>
                <w:sz w:val="24"/>
                <w:szCs w:val="24"/>
                <w:lang w:bidi="ar-EG"/>
              </w:rPr>
              <w:t>/</w:t>
            </w: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vertAlign w:val="subscript"/>
                <w:lang w:bidi="ar-EG"/>
              </w:rPr>
              <w:t>t</w:t>
            </w: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lang w:bidi="ar-EG"/>
              </w:rPr>
              <w:t xml:space="preserve"> </w:t>
            </w:r>
            <w:r w:rsidRPr="00EF50DD">
              <w:rPr>
                <w:rFonts w:asciiTheme="majorBidi" w:eastAsia="Cambria" w:hAnsiTheme="majorBidi" w:cstheme="majorBidi"/>
                <w:bCs/>
                <w:sz w:val="24"/>
                <w:szCs w:val="24"/>
                <w:lang w:bidi="ar-EG"/>
              </w:rPr>
              <w:t>= 1/</w:t>
            </w: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lang w:bidi="ar-EG"/>
              </w:rPr>
              <w:t>k</w:t>
            </w: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vertAlign w:val="subscript"/>
                <w:lang w:bidi="ar-EG"/>
              </w:rPr>
              <w:t>2</w:t>
            </w: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vertAlign w:val="subscript"/>
                <w:lang w:bidi="ar-EG"/>
              </w:rPr>
              <w:t>e</w:t>
            </w:r>
            <w:r w:rsidRPr="00EF50DD">
              <w:rPr>
                <w:rFonts w:asciiTheme="majorBidi" w:eastAsia="Cambria" w:hAnsiTheme="majorBidi" w:cstheme="majorBidi"/>
                <w:bCs/>
                <w:sz w:val="24"/>
                <w:szCs w:val="24"/>
                <w:vertAlign w:val="subscript"/>
                <w:lang w:bidi="ar-EG"/>
              </w:rPr>
              <w:t xml:space="preserve"> </w:t>
            </w:r>
            <w:r w:rsidRPr="00EF50DD">
              <w:rPr>
                <w:rFonts w:asciiTheme="majorBidi" w:eastAsia="Cambria" w:hAnsiTheme="majorBidi" w:cstheme="majorBidi"/>
                <w:bCs/>
                <w:sz w:val="24"/>
                <w:szCs w:val="24"/>
                <w:lang w:bidi="ar-EG"/>
              </w:rPr>
              <w:t>+ (1/</w:t>
            </w:r>
            <w:proofErr w:type="spellStart"/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vertAlign w:val="subscript"/>
                <w:lang w:bidi="ar-EG"/>
              </w:rPr>
              <w:t>e</w:t>
            </w:r>
            <w:proofErr w:type="spellEnd"/>
            <w:r w:rsidRPr="00EF50DD">
              <w:rPr>
                <w:rFonts w:asciiTheme="majorBidi" w:eastAsia="Cambria" w:hAnsiTheme="majorBidi" w:cstheme="majorBidi"/>
                <w:bCs/>
                <w:sz w:val="24"/>
                <w:szCs w:val="24"/>
                <w:lang w:bidi="ar-EG"/>
              </w:rPr>
              <w:t xml:space="preserve">) </w:t>
            </w:r>
            <w:r w:rsidRPr="00EF50DD">
              <w:rPr>
                <w:rFonts w:asciiTheme="majorBidi" w:eastAsia="Cambria" w:hAnsiTheme="majorBidi" w:cstheme="majorBidi"/>
                <w:bCs/>
                <w:i/>
                <w:iCs/>
                <w:sz w:val="24"/>
                <w:szCs w:val="24"/>
                <w:lang w:bidi="ar-EG"/>
              </w:rPr>
              <w:t>t</w:t>
            </w:r>
            <w:r w:rsidRPr="00EF50DD">
              <w:rPr>
                <w:rFonts w:asciiTheme="majorBidi" w:eastAsia="Cambria" w:hAnsiTheme="majorBidi" w:cstheme="majorBidi"/>
                <w:bCs/>
                <w:sz w:val="24"/>
                <w:szCs w:val="24"/>
                <w:lang w:bidi="ar-EG"/>
              </w:rPr>
              <w:fldChar w:fldCharType="begin"/>
            </w:r>
            <w:r w:rsidRPr="00EF50DD">
              <w:rPr>
                <w:rFonts w:asciiTheme="majorBidi" w:eastAsia="Cambria" w:hAnsiTheme="majorBidi" w:cstheme="majorBidi"/>
                <w:bCs/>
                <w:sz w:val="24"/>
                <w:szCs w:val="24"/>
                <w:lang w:bidi="ar-EG"/>
              </w:rPr>
              <w:instrText xml:space="preserve"> QUOTE </w:instrTex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instrText>tqt=1K2qe+1qet</w:instrText>
            </w:r>
            <w:r w:rsidRPr="00EF50DD">
              <w:rPr>
                <w:rFonts w:asciiTheme="majorBidi" w:eastAsia="Cambria" w:hAnsiTheme="majorBidi" w:cstheme="majorBidi"/>
                <w:bCs/>
                <w:sz w:val="24"/>
                <w:szCs w:val="24"/>
                <w:lang w:bidi="ar-EG"/>
              </w:rPr>
              <w:instrText xml:space="preserve"> </w:instrText>
            </w:r>
            <w:r w:rsidRPr="00EF50DD">
              <w:rPr>
                <w:rFonts w:asciiTheme="majorBidi" w:eastAsia="Cambria" w:hAnsiTheme="majorBidi" w:cstheme="majorBidi"/>
                <w:bCs/>
                <w:sz w:val="24"/>
                <w:szCs w:val="24"/>
                <w:lang w:bidi="ar-EG"/>
              </w:rPr>
              <w:fldChar w:fldCharType="end"/>
            </w:r>
          </w:p>
        </w:tc>
        <w:tc>
          <w:tcPr>
            <w:tcW w:w="1492" w:type="pct"/>
          </w:tcPr>
          <w:p w14:paraId="32BBBE1C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k</w:t>
            </w: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2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 xml:space="preserve">: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the rate constant (g/mg. min)</w:t>
            </w:r>
          </w:p>
        </w:tc>
        <w:tc>
          <w:tcPr>
            <w:tcW w:w="654" w:type="pct"/>
          </w:tcPr>
          <w:p w14:paraId="67790F63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t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/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t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Vs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t</w:t>
            </w:r>
          </w:p>
        </w:tc>
        <w:tc>
          <w:tcPr>
            <w:tcW w:w="1212" w:type="pct"/>
            <w:vAlign w:val="center"/>
          </w:tcPr>
          <w:p w14:paraId="2A50334A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------</w:t>
            </w:r>
          </w:p>
        </w:tc>
      </w:tr>
      <w:tr w:rsidR="00613E5D" w:rsidRPr="00EF50DD" w14:paraId="1BA8457B" w14:textId="77777777" w:rsidTr="00DA6518">
        <w:trPr>
          <w:trHeight w:val="822"/>
        </w:trPr>
        <w:tc>
          <w:tcPr>
            <w:tcW w:w="591" w:type="pct"/>
          </w:tcPr>
          <w:p w14:paraId="7AA6F68F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Intra-particle diffusion model</w:t>
            </w:r>
          </w:p>
        </w:tc>
        <w:tc>
          <w:tcPr>
            <w:tcW w:w="1051" w:type="pct"/>
          </w:tcPr>
          <w:p w14:paraId="724DC63B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t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= </w:t>
            </w:r>
            <w:proofErr w:type="spellStart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k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p</w:t>
            </w:r>
            <w:proofErr w:type="spellEnd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(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t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 xml:space="preserve">0.5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+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c</w:t>
            </w:r>
          </w:p>
        </w:tc>
        <w:tc>
          <w:tcPr>
            <w:tcW w:w="1492" w:type="pct"/>
          </w:tcPr>
          <w:p w14:paraId="2CBAB00F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k</w:t>
            </w: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p</w:t>
            </w:r>
            <w:proofErr w:type="spellEnd"/>
            <w:r w:rsidRPr="00EF50DD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: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intra-particle diffusion rate (mg. g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-1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min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1/2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) </w:t>
            </w:r>
          </w:p>
          <w:p w14:paraId="1100F536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C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: constant</w:t>
            </w:r>
          </w:p>
        </w:tc>
        <w:tc>
          <w:tcPr>
            <w:tcW w:w="654" w:type="pct"/>
          </w:tcPr>
          <w:p w14:paraId="6CCBD036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t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Vs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t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perscript"/>
              </w:rPr>
              <w:t>0.5</w:t>
            </w:r>
          </w:p>
          <w:p w14:paraId="61FF9F47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</w:p>
          <w:p w14:paraId="268E43C8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1212" w:type="pct"/>
            <w:vAlign w:val="center"/>
          </w:tcPr>
          <w:p w14:paraId="3ACB1318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------</w:t>
            </w:r>
          </w:p>
        </w:tc>
      </w:tr>
      <w:tr w:rsidR="00613E5D" w:rsidRPr="00EF50DD" w14:paraId="6AEA9C2D" w14:textId="77777777" w:rsidTr="00DA6518">
        <w:trPr>
          <w:trHeight w:val="838"/>
        </w:trPr>
        <w:tc>
          <w:tcPr>
            <w:tcW w:w="591" w:type="pct"/>
          </w:tcPr>
          <w:p w14:paraId="217E3748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Elovich</w:t>
            </w:r>
            <w:proofErr w:type="spellEnd"/>
          </w:p>
        </w:tc>
        <w:tc>
          <w:tcPr>
            <w:tcW w:w="1051" w:type="pct"/>
          </w:tcPr>
          <w:p w14:paraId="021B9675" w14:textId="77777777" w:rsidR="00613E5D" w:rsidRPr="00EF50DD" w:rsidRDefault="00613E5D" w:rsidP="00DA6518">
            <w:pPr>
              <w:bidi/>
              <w:jc w:val="right"/>
              <w:rPr>
                <w:rFonts w:asciiTheme="majorBidi" w:eastAsia="Cambria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</w:rPr>
              <w:t>t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>= (1/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β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 xml:space="preserve">) 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ln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 xml:space="preserve"> (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αβ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>) + (1/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β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 xml:space="preserve">) 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ln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 xml:space="preserve"> (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t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492" w:type="pct"/>
          </w:tcPr>
          <w:p w14:paraId="7767BD0C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β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: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the desorption constant (mg. g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-1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.min)</w:t>
            </w:r>
          </w:p>
          <w:p w14:paraId="61CC7E8E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α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: the initial adsorption rate (mg. g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-1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.min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-1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654" w:type="pct"/>
          </w:tcPr>
          <w:p w14:paraId="7D1FEE77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t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Vs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ln t</w:t>
            </w:r>
          </w:p>
        </w:tc>
        <w:tc>
          <w:tcPr>
            <w:tcW w:w="1212" w:type="pct"/>
            <w:vAlign w:val="center"/>
          </w:tcPr>
          <w:p w14:paraId="4D0C461D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------</w:t>
            </w:r>
          </w:p>
        </w:tc>
      </w:tr>
      <w:tr w:rsidR="00613E5D" w:rsidRPr="00EF50DD" w14:paraId="68AC2E85" w14:textId="77777777" w:rsidTr="00DA6518">
        <w:trPr>
          <w:trHeight w:val="326"/>
        </w:trPr>
        <w:tc>
          <w:tcPr>
            <w:tcW w:w="5000" w:type="pct"/>
            <w:gridSpan w:val="5"/>
            <w:vAlign w:val="center"/>
          </w:tcPr>
          <w:p w14:paraId="45765BCA" w14:textId="77777777" w:rsidR="00613E5D" w:rsidRPr="00EF50DD" w:rsidRDefault="00613E5D" w:rsidP="00DA6518">
            <w:pPr>
              <w:bidi/>
              <w:jc w:val="center"/>
              <w:rPr>
                <w:rFonts w:asciiTheme="majorBidi" w:eastAsia="Cambria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F50DD">
              <w:rPr>
                <w:rFonts w:asciiTheme="majorBidi" w:eastAsia="Cambria" w:hAnsiTheme="majorBidi" w:cstheme="majorBidi"/>
                <w:b/>
                <w:bCs/>
                <w:sz w:val="24"/>
                <w:szCs w:val="24"/>
              </w:rPr>
              <w:t>Isotherms Models</w:t>
            </w:r>
          </w:p>
        </w:tc>
      </w:tr>
      <w:tr w:rsidR="00613E5D" w:rsidRPr="00EF50DD" w14:paraId="555E389D" w14:textId="77777777" w:rsidTr="00DA6518">
        <w:trPr>
          <w:trHeight w:val="838"/>
        </w:trPr>
        <w:tc>
          <w:tcPr>
            <w:tcW w:w="591" w:type="pct"/>
          </w:tcPr>
          <w:p w14:paraId="308191DD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Langmuir isotherm</w:t>
            </w:r>
          </w:p>
        </w:tc>
        <w:tc>
          <w:tcPr>
            <w:tcW w:w="1051" w:type="pct"/>
          </w:tcPr>
          <w:p w14:paraId="75C59430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lang w:bidi="ar-EG"/>
              </w:rPr>
              <w:t>C</w:t>
            </w:r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vertAlign w:val="subscript"/>
                <w:lang w:bidi="ar-EG"/>
              </w:rPr>
              <w:t>e</w:t>
            </w:r>
            <w:r w:rsidRPr="00EF50DD">
              <w:rPr>
                <w:rFonts w:asciiTheme="majorBidi" w:eastAsia="Calibri" w:hAnsiTheme="majorBidi" w:cstheme="majorBidi"/>
                <w:bCs/>
                <w:sz w:val="24"/>
                <w:szCs w:val="24"/>
                <w:lang w:bidi="ar-EG"/>
              </w:rPr>
              <w:t>/</w:t>
            </w:r>
            <w:proofErr w:type="spellStart"/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vertAlign w:val="subscript"/>
                <w:lang w:bidi="ar-EG"/>
              </w:rPr>
              <w:t>e</w:t>
            </w:r>
            <w:proofErr w:type="spellEnd"/>
            <w:r w:rsidRPr="00EF50DD">
              <w:rPr>
                <w:rFonts w:asciiTheme="majorBidi" w:eastAsia="Calibri" w:hAnsiTheme="majorBidi" w:cstheme="majorBidi"/>
                <w:bCs/>
                <w:sz w:val="24"/>
                <w:szCs w:val="24"/>
                <w:lang w:bidi="ar-EG"/>
              </w:rPr>
              <w:t xml:space="preserve"> = 1/</w:t>
            </w:r>
            <w:proofErr w:type="spellStart"/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lang w:bidi="ar-EG"/>
              </w:rPr>
              <w:t>bq</w:t>
            </w:r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vertAlign w:val="subscript"/>
                <w:lang w:bidi="ar-EG"/>
              </w:rPr>
              <w:t>max</w:t>
            </w:r>
            <w:proofErr w:type="spellEnd"/>
            <w:r w:rsidRPr="00EF50DD">
              <w:rPr>
                <w:rFonts w:asciiTheme="majorBidi" w:eastAsia="Calibri" w:hAnsiTheme="majorBidi" w:cstheme="majorBidi"/>
                <w:bCs/>
                <w:sz w:val="24"/>
                <w:szCs w:val="24"/>
                <w:lang w:bidi="ar-EG"/>
              </w:rPr>
              <w:t xml:space="preserve"> + (1/</w:t>
            </w:r>
            <w:proofErr w:type="spellStart"/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vertAlign w:val="subscript"/>
                <w:lang w:bidi="ar-EG"/>
              </w:rPr>
              <w:t>max</w:t>
            </w:r>
            <w:proofErr w:type="spellEnd"/>
            <w:r w:rsidRPr="00EF50DD">
              <w:rPr>
                <w:rFonts w:asciiTheme="majorBidi" w:eastAsia="Calibri" w:hAnsiTheme="majorBidi" w:cstheme="majorBidi"/>
                <w:bCs/>
                <w:sz w:val="24"/>
                <w:szCs w:val="24"/>
                <w:lang w:bidi="ar-EG"/>
              </w:rPr>
              <w:t xml:space="preserve">) </w:t>
            </w:r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lang w:bidi="ar-EG"/>
              </w:rPr>
              <w:t>C</w:t>
            </w:r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  <w:vertAlign w:val="subscript"/>
                <w:lang w:bidi="ar-EG"/>
              </w:rPr>
              <w:t>e</w:t>
            </w:r>
          </w:p>
          <w:p w14:paraId="37D2EB86" w14:textId="77777777" w:rsidR="00613E5D" w:rsidRPr="00EF50DD" w:rsidRDefault="00613E5D" w:rsidP="00DA6518">
            <w:pPr>
              <w:bidi/>
              <w:jc w:val="right"/>
              <w:rPr>
                <w:rFonts w:asciiTheme="majorBidi" w:eastAsia="Cambria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fldChar w:fldCharType="begin"/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instrText xml:space="preserve"> QUOTE </w:instrTex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instrText xml:space="preserve">RL=11+bCo   </w:instrTex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instrText xml:space="preserve"> </w:instrTex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  <w:lang w:bidi="ar-EG"/>
              </w:rPr>
              <w:fldChar w:fldCharType="end"/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R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</w:rPr>
              <w:t>L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 xml:space="preserve"> = 1/(1+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bC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</w:rPr>
              <w:t>0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492" w:type="pct"/>
          </w:tcPr>
          <w:p w14:paraId="31A257B6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lang w:bidi="ar-EG"/>
              </w:rPr>
              <w:t>b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: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the Langmuir constant (l/mg)</w:t>
            </w:r>
          </w:p>
          <w:p w14:paraId="3C0BA767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q</w:t>
            </w: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max</w:t>
            </w:r>
            <w:proofErr w:type="spellEnd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: the maximum sorption capacity (mg/g)</w:t>
            </w:r>
          </w:p>
          <w:p w14:paraId="2621DC6F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gramStart"/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R</w:t>
            </w: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L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:</w:t>
            </w:r>
            <w:proofErr w:type="gramEnd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separation factor </w:t>
            </w:r>
          </w:p>
        </w:tc>
        <w:tc>
          <w:tcPr>
            <w:tcW w:w="654" w:type="pct"/>
          </w:tcPr>
          <w:p w14:paraId="7C1242C5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</w:p>
          <w:p w14:paraId="63988576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</w:p>
          <w:p w14:paraId="6D44F07B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rtl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C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/</w:t>
            </w:r>
            <w:proofErr w:type="spellStart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  <w:proofErr w:type="spellEnd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 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Vs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C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</w:p>
          <w:p w14:paraId="08CA9F1D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212" w:type="pct"/>
            <w:vAlign w:val="center"/>
          </w:tcPr>
          <w:p w14:paraId="6046DBE6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L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 xml:space="preserve">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= 1: shows linear adsorption</w:t>
            </w:r>
          </w:p>
          <w:p w14:paraId="196EE185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L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= 0: illustrates irreversible</w:t>
            </w:r>
          </w:p>
          <w:p w14:paraId="4DCE726C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L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&gt; 1: represents unfavorable adsorption</w:t>
            </w:r>
          </w:p>
          <w:p w14:paraId="0408818A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0&lt;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L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&lt; </w:t>
            </w:r>
            <w:proofErr w:type="gramStart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1 :</w:t>
            </w:r>
            <w:proofErr w:type="gramEnd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indicated good adsorption</w:t>
            </w:r>
          </w:p>
        </w:tc>
      </w:tr>
      <w:tr w:rsidR="00613E5D" w:rsidRPr="00EF50DD" w14:paraId="337570BC" w14:textId="77777777" w:rsidTr="00DA6518">
        <w:trPr>
          <w:trHeight w:val="673"/>
        </w:trPr>
        <w:tc>
          <w:tcPr>
            <w:tcW w:w="591" w:type="pct"/>
          </w:tcPr>
          <w:p w14:paraId="1AAEC2B1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Freundlich isotherm</w:t>
            </w:r>
          </w:p>
        </w:tc>
        <w:tc>
          <w:tcPr>
            <w:tcW w:w="1051" w:type="pct"/>
          </w:tcPr>
          <w:p w14:paraId="3D6FCA1B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fldChar w:fldCharType="begin"/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instrText xml:space="preserve"> QUOTE lnqe=lnkf+1nlnCe </w:instrTex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fldChar w:fldCharType="end"/>
            </w: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ln</w:t>
            </w:r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</w:t>
            </w:r>
            <w:proofErr w:type="spellStart"/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  <w:vertAlign w:val="subscript"/>
              </w:rPr>
              <w:t>e</w:t>
            </w:r>
            <w:proofErr w:type="spellEnd"/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= </w:t>
            </w: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ln</w:t>
            </w:r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</w:t>
            </w:r>
            <w:proofErr w:type="spellStart"/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k</w:t>
            </w: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  <w:vertAlign w:val="subscript"/>
              </w:rPr>
              <w:t>f</w:t>
            </w:r>
            <w:proofErr w:type="spellEnd"/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+ (1/</w:t>
            </w: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n</w:t>
            </w:r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) </w:t>
            </w: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ln</w:t>
            </w:r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</w:t>
            </w: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C</w:t>
            </w: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492" w:type="pct"/>
          </w:tcPr>
          <w:p w14:paraId="04A9446E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k</w:t>
            </w: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f</w:t>
            </w:r>
            <w:proofErr w:type="spellEnd"/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: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the Freundlich constant</w:t>
            </w:r>
          </w:p>
          <w:p w14:paraId="6CB2E289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n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: the strength of adsorption</w:t>
            </w:r>
          </w:p>
        </w:tc>
        <w:tc>
          <w:tcPr>
            <w:tcW w:w="654" w:type="pct"/>
          </w:tcPr>
          <w:p w14:paraId="25A992EA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</w:p>
          <w:p w14:paraId="7575D945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ln </w:t>
            </w:r>
            <w:proofErr w:type="spellStart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  <w:proofErr w:type="spellEnd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Vs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ln C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</w:p>
          <w:p w14:paraId="451D2A19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1212" w:type="pct"/>
            <w:vAlign w:val="center"/>
          </w:tcPr>
          <w:p w14:paraId="0AE4C8A4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n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=1: characterizes linear adsorption</w:t>
            </w:r>
          </w:p>
          <w:p w14:paraId="05F200F7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n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&lt;1: represents the chemical process</w:t>
            </w:r>
          </w:p>
          <w:p w14:paraId="301BBEDA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n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&gt;1: designates the physical process</w:t>
            </w:r>
          </w:p>
        </w:tc>
      </w:tr>
      <w:tr w:rsidR="00613E5D" w:rsidRPr="00EF50DD" w14:paraId="41A70E60" w14:textId="77777777" w:rsidTr="00DA6518">
        <w:trPr>
          <w:trHeight w:val="838"/>
        </w:trPr>
        <w:tc>
          <w:tcPr>
            <w:tcW w:w="591" w:type="pct"/>
          </w:tcPr>
          <w:p w14:paraId="3B72B756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Temkin isotherm</w:t>
            </w:r>
          </w:p>
        </w:tc>
        <w:tc>
          <w:tcPr>
            <w:tcW w:w="1051" w:type="pct"/>
          </w:tcPr>
          <w:p w14:paraId="3AF02C51" w14:textId="77777777" w:rsidR="00613E5D" w:rsidRPr="00EF50DD" w:rsidRDefault="00613E5D" w:rsidP="00DA6518">
            <w:pPr>
              <w:bidi/>
              <w:jc w:val="right"/>
              <w:rPr>
                <w:rFonts w:asciiTheme="majorBidi" w:eastAsia="Cambria" w:hAnsiTheme="majorBidi" w:cstheme="majorBidi"/>
                <w:sz w:val="24"/>
                <w:szCs w:val="24"/>
              </w:rPr>
            </w:pPr>
            <w:proofErr w:type="spellStart"/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</w:rPr>
              <w:t>q</w:t>
            </w:r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  <w:vertAlign w:val="subscript"/>
              </w:rPr>
              <w:t>e</w:t>
            </w:r>
            <w:proofErr w:type="spellEnd"/>
            <w:r w:rsidRPr="00EF50DD">
              <w:rPr>
                <w:rFonts w:asciiTheme="majorBidi" w:eastAsia="Cambria" w:hAnsiTheme="majorBidi" w:cstheme="majorBidi"/>
                <w:iCs/>
                <w:sz w:val="24"/>
                <w:szCs w:val="24"/>
              </w:rPr>
              <w:t xml:space="preserve"> = (</w:t>
            </w:r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</w:rPr>
              <w:t>RT/b</w:t>
            </w:r>
            <w:r w:rsidRPr="00EF50DD">
              <w:rPr>
                <w:rFonts w:asciiTheme="majorBidi" w:eastAsia="Cambria" w:hAnsiTheme="majorBidi" w:cstheme="majorBidi"/>
                <w:iCs/>
                <w:sz w:val="24"/>
                <w:szCs w:val="24"/>
              </w:rPr>
              <w:t xml:space="preserve">) </w:t>
            </w:r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</w:rPr>
              <w:t>ln</w:t>
            </w:r>
            <w:r w:rsidRPr="00EF50DD">
              <w:rPr>
                <w:rFonts w:asciiTheme="majorBidi" w:eastAsia="Cambria" w:hAnsiTheme="majorBidi" w:cstheme="majorBidi"/>
                <w:iCs/>
                <w:sz w:val="24"/>
                <w:szCs w:val="24"/>
              </w:rPr>
              <w:t xml:space="preserve"> </w:t>
            </w:r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</w:rPr>
              <w:t>k</w:t>
            </w:r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  <w:vertAlign w:val="subscript"/>
              </w:rPr>
              <w:t>t</w:t>
            </w:r>
            <w:r w:rsidRPr="00EF50DD">
              <w:rPr>
                <w:rFonts w:asciiTheme="majorBidi" w:eastAsia="Cambria" w:hAnsiTheme="majorBidi" w:cstheme="majorBidi"/>
                <w:iCs/>
                <w:sz w:val="24"/>
                <w:szCs w:val="24"/>
                <w:vertAlign w:val="subscript"/>
              </w:rPr>
              <w:t xml:space="preserve"> </w:t>
            </w:r>
            <w:r w:rsidRPr="00EF50DD">
              <w:rPr>
                <w:rFonts w:asciiTheme="majorBidi" w:eastAsia="Cambria" w:hAnsiTheme="majorBidi" w:cstheme="majorBidi"/>
                <w:iCs/>
                <w:sz w:val="24"/>
                <w:szCs w:val="24"/>
              </w:rPr>
              <w:t>+ (</w:t>
            </w:r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</w:rPr>
              <w:t>RT/b</w:t>
            </w:r>
            <w:r w:rsidRPr="00EF50DD">
              <w:rPr>
                <w:rFonts w:asciiTheme="majorBidi" w:eastAsia="Cambria" w:hAnsiTheme="majorBidi" w:cstheme="majorBidi"/>
                <w:iCs/>
                <w:sz w:val="24"/>
                <w:szCs w:val="24"/>
              </w:rPr>
              <w:t xml:space="preserve">) </w:t>
            </w:r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</w:rPr>
              <w:t>ln</w:t>
            </w:r>
            <w:r w:rsidRPr="00EF50DD">
              <w:rPr>
                <w:rFonts w:asciiTheme="majorBidi" w:eastAsia="Cambria" w:hAnsiTheme="majorBidi" w:cstheme="majorBidi"/>
                <w:iCs/>
                <w:sz w:val="24"/>
                <w:szCs w:val="24"/>
              </w:rPr>
              <w:t xml:space="preserve"> </w:t>
            </w:r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</w:rPr>
              <w:t>C</w:t>
            </w:r>
            <w:r w:rsidRPr="00EF50DD">
              <w:rPr>
                <w:rFonts w:asciiTheme="majorBidi" w:eastAsia="Cambria" w:hAnsiTheme="majorBidi" w:cstheme="majorBidi"/>
                <w:i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492" w:type="pct"/>
          </w:tcPr>
          <w:p w14:paraId="2AE1039B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b</w:t>
            </w:r>
            <w:r w:rsidRPr="00EF50DD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: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the Temkin constant corresponding to the adsorption heat</w:t>
            </w:r>
          </w:p>
          <w:p w14:paraId="15542588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R</w:t>
            </w:r>
            <w:r w:rsidRPr="00EF50D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: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the universal gas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constant (0.00813 kJ/mol K)</w:t>
            </w:r>
          </w:p>
          <w:p w14:paraId="58308C2D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K</w:t>
            </w: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vertAlign w:val="subscript"/>
                <w:lang w:bidi="ar-EG"/>
              </w:rPr>
              <w:t>t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: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the equilibrium binding constant (mol/l)</w:t>
            </w:r>
          </w:p>
          <w:p w14:paraId="597E75E9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T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: the temperature (K)</w:t>
            </w:r>
          </w:p>
        </w:tc>
        <w:tc>
          <w:tcPr>
            <w:tcW w:w="654" w:type="pct"/>
          </w:tcPr>
          <w:p w14:paraId="637E4422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</w:p>
          <w:p w14:paraId="7E08BA0B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</w:p>
          <w:p w14:paraId="2FD63534" w14:textId="77777777" w:rsidR="00613E5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  <w:proofErr w:type="spellStart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  <w:proofErr w:type="spellEnd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Vs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 ln C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</w:p>
          <w:p w14:paraId="47C3D372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1212" w:type="pct"/>
            <w:vAlign w:val="center"/>
          </w:tcPr>
          <w:p w14:paraId="3E93A829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-------</w:t>
            </w:r>
          </w:p>
        </w:tc>
      </w:tr>
      <w:tr w:rsidR="00613E5D" w:rsidRPr="00EF50DD" w14:paraId="5AEB48D9" w14:textId="77777777" w:rsidTr="00DA6518">
        <w:trPr>
          <w:trHeight w:val="274"/>
        </w:trPr>
        <w:tc>
          <w:tcPr>
            <w:tcW w:w="591" w:type="pct"/>
          </w:tcPr>
          <w:p w14:paraId="40DF5EC7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(D–R) isotherm</w:t>
            </w:r>
          </w:p>
        </w:tc>
        <w:tc>
          <w:tcPr>
            <w:tcW w:w="1051" w:type="pct"/>
          </w:tcPr>
          <w:p w14:paraId="5443D354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iCs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ln</w:t>
            </w:r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</w:t>
            </w:r>
            <w:proofErr w:type="spellStart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  <w:proofErr w:type="spellEnd"/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= 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ln</w:t>
            </w:r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</w:t>
            </w:r>
            <w:proofErr w:type="spellStart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m</w:t>
            </w:r>
            <w:proofErr w:type="spellEnd"/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- 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βɛ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</w:p>
          <w:p w14:paraId="490F31F4" w14:textId="77777777" w:rsidR="00613E5D" w:rsidRPr="00EF50DD" w:rsidRDefault="00613E5D" w:rsidP="00DA6518">
            <w:pPr>
              <w:bidi/>
              <w:jc w:val="right"/>
              <w:rPr>
                <w:rFonts w:asciiTheme="majorBidi" w:eastAsia="Cambria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ɛ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 xml:space="preserve"> = 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RT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 xml:space="preserve"> 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ln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 xml:space="preserve"> (1 + 1/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</w:rPr>
              <w:t>C</w:t>
            </w:r>
            <w:r w:rsidRPr="00EF50DD">
              <w:rPr>
                <w:rFonts w:asciiTheme="majorBidi" w:eastAsia="Cambria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  <w:r w:rsidRPr="00EF50DD">
              <w:rPr>
                <w:rFonts w:asciiTheme="majorBidi" w:eastAsia="Cambria" w:hAnsiTheme="majorBidi" w:cstheme="majorBidi"/>
                <w:sz w:val="24"/>
                <w:szCs w:val="24"/>
              </w:rPr>
              <w:t>)</w:t>
            </w:r>
          </w:p>
          <w:p w14:paraId="66FC41D1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iCs/>
                <w:sz w:val="24"/>
                <w:szCs w:val="24"/>
                <w:vertAlign w:val="superscript"/>
              </w:rPr>
            </w:pP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E</w:t>
            </w:r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 xml:space="preserve"> = 1/(2</w:t>
            </w:r>
            <w:r w:rsidRPr="00EF50DD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β</w:t>
            </w:r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>)</w:t>
            </w:r>
            <w:r w:rsidRPr="00EF50DD">
              <w:rPr>
                <w:rFonts w:asciiTheme="majorBidi" w:eastAsia="Calibri" w:hAnsiTheme="majorBidi" w:cstheme="majorBidi"/>
                <w:iCs/>
                <w:sz w:val="24"/>
                <w:szCs w:val="24"/>
                <w:vertAlign w:val="superscript"/>
              </w:rPr>
              <w:t>0.5</w:t>
            </w:r>
          </w:p>
        </w:tc>
        <w:tc>
          <w:tcPr>
            <w:tcW w:w="1492" w:type="pct"/>
          </w:tcPr>
          <w:p w14:paraId="7675E981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β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: the activity coefficient </w:t>
            </w:r>
          </w:p>
          <w:p w14:paraId="248C005D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bidi="ar-EG"/>
              </w:rPr>
              <w:t>Ɛ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: the Polanyi potential</w:t>
            </w:r>
          </w:p>
          <w:p w14:paraId="29F6A510" w14:textId="77777777" w:rsidR="00613E5D" w:rsidRPr="00EF50DD" w:rsidRDefault="00613E5D" w:rsidP="00DA6518">
            <w:pPr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gramStart"/>
            <w:r w:rsidRPr="00EF50DD">
              <w:rPr>
                <w:rFonts w:asciiTheme="majorBidi" w:eastAsia="Calibri" w:hAnsiTheme="majorBidi" w:cstheme="majorBidi"/>
                <w:bCs/>
                <w:i/>
                <w:iCs/>
                <w:sz w:val="24"/>
                <w:szCs w:val="24"/>
              </w:rPr>
              <w:t>E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:</w:t>
            </w:r>
            <w:proofErr w:type="gramEnd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Sorption energy </w:t>
            </w:r>
          </w:p>
        </w:tc>
        <w:tc>
          <w:tcPr>
            <w:tcW w:w="654" w:type="pct"/>
          </w:tcPr>
          <w:p w14:paraId="76270FE8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 xml:space="preserve">ln </w:t>
            </w:r>
            <w:proofErr w:type="spellStart"/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q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bscript"/>
              </w:rPr>
              <w:t>e</w:t>
            </w:r>
            <w:proofErr w:type="spellEnd"/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Vs </w:t>
            </w:r>
            <w:r w:rsidRPr="00EF50DD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ɛ</w:t>
            </w:r>
            <w:r w:rsidRPr="00EF50DD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12" w:type="pct"/>
            <w:vAlign w:val="center"/>
          </w:tcPr>
          <w:p w14:paraId="539A20DB" w14:textId="77777777" w:rsidR="00613E5D" w:rsidRPr="00EF50DD" w:rsidRDefault="00613E5D" w:rsidP="00DA6518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F50DD">
              <w:rPr>
                <w:rFonts w:asciiTheme="majorBidi" w:eastAsia="Calibri" w:hAnsiTheme="majorBidi" w:cstheme="majorBidi"/>
                <w:sz w:val="24"/>
                <w:szCs w:val="24"/>
              </w:rPr>
              <w:t>-------</w:t>
            </w:r>
          </w:p>
        </w:tc>
      </w:tr>
    </w:tbl>
    <w:p w14:paraId="0F569E20" w14:textId="77777777" w:rsidR="009B0E95" w:rsidRDefault="001338FE" w:rsidP="00C6214E"/>
    <w:sectPr w:rsidR="009B0E9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48AE" w14:textId="77777777" w:rsidR="001338FE" w:rsidRDefault="001338FE" w:rsidP="008F1DC7">
      <w:pPr>
        <w:spacing w:after="0" w:line="240" w:lineRule="auto"/>
      </w:pPr>
      <w:r>
        <w:separator/>
      </w:r>
    </w:p>
  </w:endnote>
  <w:endnote w:type="continuationSeparator" w:id="0">
    <w:p w14:paraId="72AD1BC4" w14:textId="77777777" w:rsidR="001338FE" w:rsidRDefault="001338FE" w:rsidP="008F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2852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B7A72" w14:textId="77777777" w:rsidR="008F1DC7" w:rsidRDefault="008F1D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7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F53E55" w14:textId="77777777" w:rsidR="008F1DC7" w:rsidRDefault="008F1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F57F3" w14:textId="77777777" w:rsidR="001338FE" w:rsidRDefault="001338FE" w:rsidP="008F1DC7">
      <w:pPr>
        <w:spacing w:after="0" w:line="240" w:lineRule="auto"/>
      </w:pPr>
      <w:r>
        <w:separator/>
      </w:r>
    </w:p>
  </w:footnote>
  <w:footnote w:type="continuationSeparator" w:id="0">
    <w:p w14:paraId="6C06BA0D" w14:textId="77777777" w:rsidR="001338FE" w:rsidRDefault="001338FE" w:rsidP="008F1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87C"/>
    <w:rsid w:val="00130491"/>
    <w:rsid w:val="001338FE"/>
    <w:rsid w:val="001F3B13"/>
    <w:rsid w:val="003014BC"/>
    <w:rsid w:val="004F41AB"/>
    <w:rsid w:val="005F387C"/>
    <w:rsid w:val="00613E5D"/>
    <w:rsid w:val="00671E6E"/>
    <w:rsid w:val="007C47B1"/>
    <w:rsid w:val="008272DD"/>
    <w:rsid w:val="008F1DC7"/>
    <w:rsid w:val="00C6214E"/>
    <w:rsid w:val="00C64E4B"/>
    <w:rsid w:val="00C843F7"/>
    <w:rsid w:val="00CC6BDA"/>
    <w:rsid w:val="00D9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EEC5F"/>
  <w15:docId w15:val="{A3B03520-9277-4B01-AAA6-256B40B6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E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214E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214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1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C7"/>
  </w:style>
  <w:style w:type="paragraph" w:styleId="Footer">
    <w:name w:val="footer"/>
    <w:basedOn w:val="Normal"/>
    <w:link w:val="FooterChar"/>
    <w:uiPriority w:val="99"/>
    <w:unhideWhenUsed/>
    <w:rsid w:val="008F1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3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Alshemy</dc:creator>
  <cp:keywords/>
  <dc:description/>
  <cp:lastModifiedBy>Mohamed Hassan</cp:lastModifiedBy>
  <cp:revision>8</cp:revision>
  <dcterms:created xsi:type="dcterms:W3CDTF">2024-11-03T16:55:00Z</dcterms:created>
  <dcterms:modified xsi:type="dcterms:W3CDTF">2024-12-24T15:33:00Z</dcterms:modified>
</cp:coreProperties>
</file>