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C8265" w14:textId="77777777" w:rsidR="004B0345" w:rsidRPr="004B0345" w:rsidRDefault="004B0345" w:rsidP="004B0345">
      <w:pPr>
        <w:tabs>
          <w:tab w:val="left" w:pos="6855"/>
        </w:tabs>
        <w:jc w:val="center"/>
        <w:rPr>
          <w:b/>
          <w:bCs/>
          <w:lang w:val="en-IN"/>
        </w:rPr>
      </w:pPr>
      <w:bookmarkStart w:id="0" w:name="_GoBack"/>
      <w:bookmarkEnd w:id="0"/>
      <w:r w:rsidRPr="004B0345">
        <w:rPr>
          <w:b/>
          <w:bCs/>
          <w:lang w:val="en-IN"/>
        </w:rPr>
        <w:t>Supplementary materials</w:t>
      </w:r>
    </w:p>
    <w:p w14:paraId="0F233A5B" w14:textId="77777777" w:rsidR="00EB02B7" w:rsidRPr="00EB02B7" w:rsidRDefault="004B0345" w:rsidP="00EB02B7">
      <w:pPr>
        <w:tabs>
          <w:tab w:val="left" w:pos="8520"/>
        </w:tabs>
        <w:jc w:val="center"/>
        <w:rPr>
          <w:b/>
          <w:lang w:val="en-IN"/>
        </w:rPr>
      </w:pPr>
      <w:r w:rsidRPr="004B0345">
        <w:rPr>
          <w:b/>
          <w:lang w:val="en-IN"/>
        </w:rPr>
        <w:t>Table S1</w:t>
      </w:r>
      <w:r w:rsidR="00EB02B7" w:rsidRPr="00EB02B7">
        <w:rPr>
          <w:b/>
          <w:lang w:val="en-GB"/>
        </w:rPr>
        <w:t>. Statistical summary of hydro geochemical characteristics in groundwater samples</w:t>
      </w:r>
    </w:p>
    <w:tbl>
      <w:tblPr>
        <w:tblStyle w:val="PlainTable21"/>
        <w:tblW w:w="10270" w:type="dxa"/>
        <w:jc w:val="center"/>
        <w:tblLook w:val="04A0" w:firstRow="1" w:lastRow="0" w:firstColumn="1" w:lastColumn="0" w:noHBand="0" w:noVBand="1"/>
      </w:tblPr>
      <w:tblGrid>
        <w:gridCol w:w="1560"/>
        <w:gridCol w:w="835"/>
        <w:gridCol w:w="927"/>
        <w:gridCol w:w="766"/>
        <w:gridCol w:w="766"/>
        <w:gridCol w:w="5409"/>
        <w:gridCol w:w="7"/>
      </w:tblGrid>
      <w:tr w:rsidR="00EB02B7" w:rsidRPr="00EB02B7" w14:paraId="75C711A3" w14:textId="77777777" w:rsidTr="006F0B8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5826A7B" w14:textId="77777777" w:rsidR="00EB02B7" w:rsidRPr="00EB02B7" w:rsidRDefault="00EB02B7" w:rsidP="00EB02B7">
            <w:pPr>
              <w:autoSpaceDE w:val="0"/>
              <w:autoSpaceDN w:val="0"/>
              <w:bidi w:val="0"/>
              <w:adjustRightInd w:val="0"/>
              <w:spacing w:line="240" w:lineRule="auto"/>
              <w:jc w:val="both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EB02B7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835" w:type="dxa"/>
          </w:tcPr>
          <w:p w14:paraId="073BDE15" w14:textId="77777777" w:rsidR="00EB02B7" w:rsidRPr="00EB02B7" w:rsidRDefault="00EB02B7" w:rsidP="00EB02B7">
            <w:pPr>
              <w:autoSpaceDE w:val="0"/>
              <w:autoSpaceDN w:val="0"/>
              <w:bidi w:val="0"/>
              <w:adjustRightInd w:val="0"/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EB02B7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Unit</w:t>
            </w:r>
          </w:p>
        </w:tc>
        <w:tc>
          <w:tcPr>
            <w:tcW w:w="927" w:type="dxa"/>
          </w:tcPr>
          <w:p w14:paraId="1EC3869A" w14:textId="77777777" w:rsidR="00EB02B7" w:rsidRPr="00EB02B7" w:rsidRDefault="00EB02B7" w:rsidP="00EB02B7">
            <w:pPr>
              <w:autoSpaceDE w:val="0"/>
              <w:autoSpaceDN w:val="0"/>
              <w:bidi w:val="0"/>
              <w:adjustRightInd w:val="0"/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EB02B7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Average</w:t>
            </w:r>
          </w:p>
        </w:tc>
        <w:tc>
          <w:tcPr>
            <w:tcW w:w="766" w:type="dxa"/>
          </w:tcPr>
          <w:p w14:paraId="4E0F738C" w14:textId="77777777" w:rsidR="00EB02B7" w:rsidRPr="00EB02B7" w:rsidRDefault="00EB02B7" w:rsidP="00EB02B7">
            <w:pPr>
              <w:autoSpaceDE w:val="0"/>
              <w:autoSpaceDN w:val="0"/>
              <w:bidi w:val="0"/>
              <w:adjustRightInd w:val="0"/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EB02B7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Min</w:t>
            </w:r>
          </w:p>
        </w:tc>
        <w:tc>
          <w:tcPr>
            <w:tcW w:w="766" w:type="dxa"/>
          </w:tcPr>
          <w:p w14:paraId="41D0A524" w14:textId="77777777" w:rsidR="00EB02B7" w:rsidRPr="00EB02B7" w:rsidRDefault="00EB02B7" w:rsidP="00EB02B7">
            <w:pPr>
              <w:autoSpaceDE w:val="0"/>
              <w:autoSpaceDN w:val="0"/>
              <w:bidi w:val="0"/>
              <w:adjustRightInd w:val="0"/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EB02B7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Max</w:t>
            </w:r>
          </w:p>
        </w:tc>
        <w:tc>
          <w:tcPr>
            <w:tcW w:w="5409" w:type="dxa"/>
            <w:vAlign w:val="center"/>
          </w:tcPr>
          <w:p w14:paraId="7C5C2367" w14:textId="77777777" w:rsidR="00EB02B7" w:rsidRPr="00EB02B7" w:rsidRDefault="00EB02B7" w:rsidP="00EB02B7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EB02B7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Permissible (WHO, 2011)</w:t>
            </w:r>
          </w:p>
        </w:tc>
      </w:tr>
      <w:tr w:rsidR="00EB02B7" w:rsidRPr="00EB02B7" w14:paraId="37E8170D" w14:textId="77777777" w:rsidTr="006F0B8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5D151E8" w14:textId="77777777" w:rsidR="00EB02B7" w:rsidRPr="00EB02B7" w:rsidRDefault="00EB02B7" w:rsidP="00EB02B7">
            <w:pPr>
              <w:autoSpaceDE w:val="0"/>
              <w:autoSpaceDN w:val="0"/>
              <w:bidi w:val="0"/>
              <w:adjustRightInd w:val="0"/>
              <w:spacing w:line="240" w:lineRule="auto"/>
              <w:jc w:val="both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>NO</w:t>
            </w:r>
            <w:r w:rsidRPr="00EB02B7">
              <w:rPr>
                <w:rFonts w:eastAsia="Calibri" w:cs="Times New Roman"/>
                <w:sz w:val="20"/>
                <w:szCs w:val="20"/>
                <w:vertAlign w:val="subscript"/>
                <w:lang w:val="en-GB"/>
              </w:rPr>
              <w:t>3</w:t>
            </w:r>
            <w:r w:rsidRPr="00EB02B7">
              <w:rPr>
                <w:rFonts w:eastAsia="Calibri" w:cs="Times New Roman"/>
                <w:sz w:val="20"/>
                <w:szCs w:val="20"/>
                <w:vertAlign w:val="superscript"/>
                <w:lang w:val="en-GB"/>
              </w:rPr>
              <w:t>-</w:t>
            </w:r>
          </w:p>
        </w:tc>
        <w:tc>
          <w:tcPr>
            <w:tcW w:w="835" w:type="dxa"/>
          </w:tcPr>
          <w:p w14:paraId="2A4012C4" w14:textId="77777777" w:rsidR="00EB02B7" w:rsidRPr="00EB02B7" w:rsidRDefault="00EB02B7" w:rsidP="00EB02B7">
            <w:pPr>
              <w:autoSpaceDE w:val="0"/>
              <w:autoSpaceDN w:val="0"/>
              <w:bidi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>mg/L</w:t>
            </w:r>
          </w:p>
        </w:tc>
        <w:tc>
          <w:tcPr>
            <w:tcW w:w="927" w:type="dxa"/>
          </w:tcPr>
          <w:p w14:paraId="771CA8BD" w14:textId="77777777" w:rsidR="00EB02B7" w:rsidRPr="00EB02B7" w:rsidRDefault="00EB02B7" w:rsidP="00EB02B7">
            <w:pPr>
              <w:autoSpaceDE w:val="0"/>
              <w:autoSpaceDN w:val="0"/>
              <w:bidi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>41.2</w:t>
            </w:r>
          </w:p>
        </w:tc>
        <w:tc>
          <w:tcPr>
            <w:tcW w:w="766" w:type="dxa"/>
          </w:tcPr>
          <w:p w14:paraId="21825C10" w14:textId="77777777" w:rsidR="00EB02B7" w:rsidRPr="00EB02B7" w:rsidRDefault="00EB02B7" w:rsidP="00EB02B7">
            <w:pPr>
              <w:autoSpaceDE w:val="0"/>
              <w:autoSpaceDN w:val="0"/>
              <w:bidi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>3.38</w:t>
            </w:r>
          </w:p>
        </w:tc>
        <w:tc>
          <w:tcPr>
            <w:tcW w:w="766" w:type="dxa"/>
          </w:tcPr>
          <w:p w14:paraId="21129FF7" w14:textId="77777777" w:rsidR="00EB02B7" w:rsidRPr="00EB02B7" w:rsidRDefault="00EB02B7" w:rsidP="00EB02B7">
            <w:pPr>
              <w:autoSpaceDE w:val="0"/>
              <w:autoSpaceDN w:val="0"/>
              <w:bidi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>178</w:t>
            </w:r>
          </w:p>
        </w:tc>
        <w:tc>
          <w:tcPr>
            <w:tcW w:w="5409" w:type="dxa"/>
            <w:vAlign w:val="center"/>
          </w:tcPr>
          <w:p w14:paraId="628F8B83" w14:textId="77777777" w:rsidR="00EB02B7" w:rsidRPr="00EB02B7" w:rsidRDefault="00EB02B7" w:rsidP="00EB02B7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>50</w:t>
            </w:r>
          </w:p>
        </w:tc>
      </w:tr>
      <w:tr w:rsidR="00EB02B7" w:rsidRPr="00EB02B7" w14:paraId="08C297DB" w14:textId="77777777" w:rsidTr="006F0B88">
        <w:trPr>
          <w:gridAfter w:val="1"/>
          <w:wAfter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65B54F7" w14:textId="77777777" w:rsidR="00EB02B7" w:rsidRPr="00EB02B7" w:rsidRDefault="00EB02B7" w:rsidP="00EB02B7">
            <w:pPr>
              <w:autoSpaceDE w:val="0"/>
              <w:autoSpaceDN w:val="0"/>
              <w:bidi w:val="0"/>
              <w:adjustRightInd w:val="0"/>
              <w:spacing w:line="240" w:lineRule="auto"/>
              <w:jc w:val="both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>pH</w:t>
            </w:r>
          </w:p>
        </w:tc>
        <w:tc>
          <w:tcPr>
            <w:tcW w:w="835" w:type="dxa"/>
          </w:tcPr>
          <w:p w14:paraId="08D76E89" w14:textId="77777777" w:rsidR="00EB02B7" w:rsidRPr="00EB02B7" w:rsidRDefault="00EB02B7" w:rsidP="00EB02B7">
            <w:pPr>
              <w:autoSpaceDE w:val="0"/>
              <w:autoSpaceDN w:val="0"/>
              <w:bidi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27" w:type="dxa"/>
          </w:tcPr>
          <w:p w14:paraId="4BB83956" w14:textId="77777777" w:rsidR="00EB02B7" w:rsidRPr="00EB02B7" w:rsidRDefault="00EB02B7" w:rsidP="00EB02B7">
            <w:pPr>
              <w:autoSpaceDE w:val="0"/>
              <w:autoSpaceDN w:val="0"/>
              <w:bidi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EB02B7">
              <w:rPr>
                <w:rFonts w:eastAsia="Calibri" w:cs="Times New Roman"/>
                <w:color w:val="000000"/>
                <w:sz w:val="20"/>
                <w:szCs w:val="20"/>
                <w:lang w:val="en-GB"/>
              </w:rPr>
              <w:t>7.6</w:t>
            </w:r>
          </w:p>
        </w:tc>
        <w:tc>
          <w:tcPr>
            <w:tcW w:w="766" w:type="dxa"/>
          </w:tcPr>
          <w:p w14:paraId="757C8197" w14:textId="77777777" w:rsidR="00EB02B7" w:rsidRPr="00EB02B7" w:rsidRDefault="00EB02B7" w:rsidP="00EB02B7">
            <w:pPr>
              <w:autoSpaceDE w:val="0"/>
              <w:autoSpaceDN w:val="0"/>
              <w:bidi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EB02B7">
              <w:rPr>
                <w:rFonts w:eastAsia="Calibri" w:cs="Times New Roman"/>
                <w:color w:val="000000"/>
                <w:sz w:val="20"/>
                <w:szCs w:val="20"/>
                <w:lang w:val="en-GB"/>
              </w:rPr>
              <w:t>6.2</w:t>
            </w:r>
          </w:p>
        </w:tc>
        <w:tc>
          <w:tcPr>
            <w:tcW w:w="766" w:type="dxa"/>
          </w:tcPr>
          <w:p w14:paraId="44846688" w14:textId="77777777" w:rsidR="00EB02B7" w:rsidRPr="00EB02B7" w:rsidRDefault="00EB02B7" w:rsidP="00EB02B7">
            <w:pPr>
              <w:autoSpaceDE w:val="0"/>
              <w:autoSpaceDN w:val="0"/>
              <w:bidi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EB02B7">
              <w:rPr>
                <w:rFonts w:eastAsia="Calibri" w:cs="Times New Roman"/>
                <w:color w:val="000000"/>
                <w:sz w:val="20"/>
                <w:szCs w:val="20"/>
                <w:lang w:val="en-GB"/>
              </w:rPr>
              <w:t>8.5</w:t>
            </w:r>
          </w:p>
        </w:tc>
        <w:tc>
          <w:tcPr>
            <w:tcW w:w="5409" w:type="dxa"/>
            <w:vAlign w:val="center"/>
          </w:tcPr>
          <w:p w14:paraId="265E3FCE" w14:textId="77777777" w:rsidR="00EB02B7" w:rsidRPr="00EB02B7" w:rsidRDefault="00EB02B7" w:rsidP="00EB02B7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EB02B7">
              <w:rPr>
                <w:rFonts w:eastAsia="Calibri" w:cs="Times New Roman"/>
                <w:color w:val="000000"/>
                <w:sz w:val="20"/>
                <w:szCs w:val="20"/>
                <w:lang w:val="en-GB"/>
              </w:rPr>
              <w:t>6.5-9</w:t>
            </w:r>
          </w:p>
        </w:tc>
      </w:tr>
      <w:tr w:rsidR="00EB02B7" w:rsidRPr="00EB02B7" w14:paraId="45ED1A31" w14:textId="77777777" w:rsidTr="006F0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0" w:type="dxa"/>
            <w:gridSpan w:val="7"/>
            <w:vAlign w:val="center"/>
          </w:tcPr>
          <w:p w14:paraId="729B6847" w14:textId="2F02A15D" w:rsidR="00EB02B7" w:rsidRPr="00EB02B7" w:rsidRDefault="00EB02B7" w:rsidP="00EB02B7">
            <w:pPr>
              <w:autoSpaceDE w:val="0"/>
              <w:autoSpaceDN w:val="0"/>
              <w:bidi w:val="0"/>
              <w:adjustRightInd w:val="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 xml:space="preserve">Note </w:t>
            </w:r>
            <w:r w:rsidR="00311793">
              <w:rPr>
                <w:rFonts w:eastAsia="Calibri" w:cs="Times New Roman"/>
                <w:sz w:val="20"/>
                <w:szCs w:val="20"/>
                <w:lang w:val="en-GB"/>
              </w:rPr>
              <w:t>1</w:t>
            </w: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>:</w:t>
            </w: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ab/>
              <w:t xml:space="preserve">Use charge balances of the water samples based on </w:t>
            </w:r>
            <w:proofErr w:type="spellStart"/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>Hounslo</w:t>
            </w:r>
            <w:proofErr w:type="spellEnd"/>
            <w:r>
              <w:fldChar w:fldCharType="begin"/>
            </w:r>
            <w:r>
              <w:instrText>HYPERLINK \l "_bookmark46"</w:instrText>
            </w:r>
            <w:r>
              <w:fldChar w:fldCharType="separate"/>
            </w:r>
            <w:r w:rsidRPr="00EB02B7">
              <w:rPr>
                <w:rFonts w:eastAsia="Calibri" w:cs="Times New Roman"/>
                <w:sz w:val="20"/>
                <w:szCs w:val="20"/>
              </w:rPr>
              <w:t>w</w:t>
            </w:r>
            <w:r>
              <w:fldChar w:fldCharType="end"/>
            </w: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 xml:space="preserve"> (</w:t>
            </w:r>
            <w:hyperlink w:anchor="_bookmark46" w:history="1">
              <w:r w:rsidRPr="00EB02B7">
                <w:rPr>
                  <w:rFonts w:eastAsia="Calibri" w:cs="Times New Roman"/>
                  <w:sz w:val="20"/>
                  <w:szCs w:val="20"/>
                </w:rPr>
                <w:t>1995</w:t>
              </w:r>
            </w:hyperlink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>) for accuracy analysis</w:t>
            </w:r>
          </w:p>
          <w:p w14:paraId="4EFC73A3" w14:textId="62EBC49A" w:rsidR="00EB02B7" w:rsidRPr="00EB02B7" w:rsidRDefault="00EB02B7" w:rsidP="00EB02B7">
            <w:pPr>
              <w:autoSpaceDE w:val="0"/>
              <w:autoSpaceDN w:val="0"/>
              <w:bidi w:val="0"/>
              <w:adjustRightInd w:val="0"/>
              <w:ind w:left="749" w:hanging="749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 xml:space="preserve">Note </w:t>
            </w:r>
            <w:r w:rsidR="00311793">
              <w:rPr>
                <w:rFonts w:eastAsia="Calibri" w:cs="Times New Roman"/>
                <w:sz w:val="20"/>
                <w:szCs w:val="20"/>
                <w:lang w:val="en-GB"/>
              </w:rPr>
              <w:t>2</w:t>
            </w: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 xml:space="preserve">: </w:t>
            </w: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ab/>
              <w:t>Determine the analytical precision for the measurement of ions by calculating the Normalised Inorganic Charge Balance (Huh et al., 1998), defined as {(</w:t>
            </w: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sym w:font="Symbol" w:char="F053"/>
            </w:r>
            <w:r w:rsidRPr="00EB02B7">
              <w:rPr>
                <w:rFonts w:eastAsia="Calibri" w:cs="Times New Roman"/>
                <w:sz w:val="20"/>
                <w:szCs w:val="20"/>
                <w:vertAlign w:val="subscript"/>
                <w:lang w:val="en-GB"/>
              </w:rPr>
              <w:t>cation</w:t>
            </w: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 xml:space="preserve"> - </w:t>
            </w: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sym w:font="Symbol" w:char="F053"/>
            </w:r>
            <w:r w:rsidRPr="00EB02B7">
              <w:rPr>
                <w:rFonts w:eastAsia="Calibri" w:cs="Times New Roman"/>
                <w:sz w:val="20"/>
                <w:szCs w:val="20"/>
                <w:vertAlign w:val="subscript"/>
                <w:lang w:val="en-GB"/>
              </w:rPr>
              <w:t>anion</w:t>
            </w: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>)</w:t>
            </w:r>
            <w:proofErr w:type="gramStart"/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>/(</w:t>
            </w:r>
            <w:proofErr w:type="gramEnd"/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sym w:font="Symbol" w:char="F053"/>
            </w:r>
            <w:r w:rsidRPr="00EB02B7">
              <w:rPr>
                <w:rFonts w:eastAsia="Calibri" w:cs="Times New Roman"/>
                <w:sz w:val="20"/>
                <w:szCs w:val="20"/>
                <w:vertAlign w:val="superscript"/>
                <w:lang w:val="en-GB"/>
              </w:rPr>
              <w:t xml:space="preserve">+ </w:t>
            </w: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>+</w:t>
            </w: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sym w:font="Symbol" w:char="F053"/>
            </w:r>
            <w:r w:rsidRPr="00EB02B7">
              <w:rPr>
                <w:rFonts w:eastAsia="Calibri" w:cs="Times New Roman"/>
                <w:sz w:val="20"/>
                <w:szCs w:val="20"/>
                <w:vertAlign w:val="superscript"/>
                <w:lang w:val="en-GB"/>
              </w:rPr>
              <w:t>-</w:t>
            </w:r>
            <w:r w:rsidRPr="00EB02B7">
              <w:rPr>
                <w:rFonts w:eastAsia="Calibri" w:cs="Times New Roman"/>
                <w:sz w:val="20"/>
                <w:szCs w:val="20"/>
                <w:lang w:val="en-GB"/>
              </w:rPr>
              <w:t>)}.</w:t>
            </w:r>
          </w:p>
        </w:tc>
      </w:tr>
    </w:tbl>
    <w:p w14:paraId="0767E689" w14:textId="77777777" w:rsidR="00731A47" w:rsidRDefault="00731A47" w:rsidP="00F61DC2"/>
    <w:p w14:paraId="3803C281" w14:textId="77777777" w:rsidR="00731A47" w:rsidRDefault="00731A47" w:rsidP="00731A47">
      <w:pPr>
        <w:jc w:val="right"/>
      </w:pPr>
      <w:r w:rsidRPr="00731A47">
        <w:rPr>
          <w:b/>
          <w:bCs/>
          <w:lang w:val="en-GB"/>
        </w:rPr>
        <w:t xml:space="preserve">Table </w:t>
      </w:r>
      <w:r>
        <w:rPr>
          <w:b/>
          <w:bCs/>
          <w:lang w:val="en-GB"/>
        </w:rPr>
        <w:t>S</w:t>
      </w:r>
      <w:r w:rsidRPr="00731A47">
        <w:rPr>
          <w:b/>
          <w:bCs/>
          <w:lang w:val="en-GB"/>
        </w:rPr>
        <w:t>2</w:t>
      </w:r>
      <w:r w:rsidRPr="00731A47">
        <w:rPr>
          <w:lang w:val="en-GB"/>
        </w:rPr>
        <w:t>. Description of data layers of the frameworks used in the study area</w:t>
      </w:r>
    </w:p>
    <w:tbl>
      <w:tblPr>
        <w:tblStyle w:val="TableGrid1"/>
        <w:tblW w:w="9067" w:type="dxa"/>
        <w:tblLayout w:type="fixed"/>
        <w:tblLook w:val="04A0" w:firstRow="1" w:lastRow="0" w:firstColumn="1" w:lastColumn="0" w:noHBand="0" w:noVBand="1"/>
      </w:tblPr>
      <w:tblGrid>
        <w:gridCol w:w="1814"/>
        <w:gridCol w:w="6261"/>
        <w:gridCol w:w="284"/>
        <w:gridCol w:w="283"/>
        <w:gridCol w:w="425"/>
      </w:tblGrid>
      <w:tr w:rsidR="00731A47" w:rsidRPr="00731A47" w14:paraId="72954DED" w14:textId="77777777" w:rsidTr="00C074BB">
        <w:trPr>
          <w:trHeight w:val="864"/>
        </w:trPr>
        <w:tc>
          <w:tcPr>
            <w:tcW w:w="1814" w:type="dxa"/>
            <w:noWrap/>
            <w:vAlign w:val="center"/>
          </w:tcPr>
          <w:p w14:paraId="03499334" w14:textId="77777777" w:rsidR="00731A47" w:rsidRPr="00731A47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731A4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Data Layer</w:t>
            </w:r>
          </w:p>
        </w:tc>
        <w:tc>
          <w:tcPr>
            <w:tcW w:w="6261" w:type="dxa"/>
            <w:vAlign w:val="center"/>
          </w:tcPr>
          <w:p w14:paraId="38A0D82E" w14:textId="77777777" w:rsidR="00731A47" w:rsidRPr="00731A47" w:rsidRDefault="00731A47" w:rsidP="00731A47">
            <w:pPr>
              <w:bidi w:val="0"/>
              <w:spacing w:line="240" w:lineRule="auto"/>
              <w:ind w:left="238" w:hanging="283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731A4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Definition &amp; description</w:t>
            </w:r>
          </w:p>
        </w:tc>
        <w:tc>
          <w:tcPr>
            <w:tcW w:w="284" w:type="dxa"/>
            <w:noWrap/>
            <w:textDirection w:val="btLr"/>
            <w:vAlign w:val="center"/>
          </w:tcPr>
          <w:p w14:paraId="0D922F96" w14:textId="77777777" w:rsidR="00731A47" w:rsidRPr="00731A47" w:rsidRDefault="00731A47" w:rsidP="00731A47">
            <w:pPr>
              <w:bidi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731A4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DRASTIC</w:t>
            </w:r>
          </w:p>
        </w:tc>
        <w:tc>
          <w:tcPr>
            <w:tcW w:w="283" w:type="dxa"/>
            <w:noWrap/>
            <w:textDirection w:val="btLr"/>
            <w:vAlign w:val="center"/>
          </w:tcPr>
          <w:p w14:paraId="3C3853ED" w14:textId="77777777" w:rsidR="00731A47" w:rsidRPr="00731A47" w:rsidRDefault="00731A47" w:rsidP="00731A47">
            <w:pPr>
              <w:bidi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731A4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GODS</w:t>
            </w:r>
          </w:p>
        </w:tc>
        <w:tc>
          <w:tcPr>
            <w:tcW w:w="425" w:type="dxa"/>
            <w:noWrap/>
            <w:textDirection w:val="btLr"/>
            <w:vAlign w:val="center"/>
          </w:tcPr>
          <w:p w14:paraId="57F87B0C" w14:textId="77777777" w:rsidR="00731A47" w:rsidRPr="00731A47" w:rsidRDefault="00731A47" w:rsidP="00731A47">
            <w:pPr>
              <w:bidi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731A4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SINTACS</w:t>
            </w:r>
          </w:p>
        </w:tc>
      </w:tr>
      <w:tr w:rsidR="00731A47" w:rsidRPr="006F2B51" w14:paraId="40B3E350" w14:textId="77777777" w:rsidTr="006F0B88">
        <w:trPr>
          <w:trHeight w:val="864"/>
        </w:trPr>
        <w:tc>
          <w:tcPr>
            <w:tcW w:w="1814" w:type="dxa"/>
            <w:noWrap/>
            <w:vAlign w:val="center"/>
          </w:tcPr>
          <w:p w14:paraId="64DB83BE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</w:rPr>
              <w:t>Depth of water</w:t>
            </w:r>
          </w:p>
          <w:p w14:paraId="5459F999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</w:rPr>
              <w:t>(Fig.5a, 6a, 7c)</w:t>
            </w:r>
          </w:p>
        </w:tc>
        <w:tc>
          <w:tcPr>
            <w:tcW w:w="6261" w:type="dxa"/>
            <w:vAlign w:val="center"/>
          </w:tcPr>
          <w:p w14:paraId="1AC939CD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  <w:t>Deeper water table indicate less chance for contamination to occur</w:t>
            </w:r>
            <w:r w:rsidRPr="006F2B51" w:rsidDel="005A1586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</w:p>
          <w:p w14:paraId="34BB316F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  <w:t>The higher the depth of the water table, the more time for the contaminant transport to reach the aquifer and therefore, a lower rate value</w:t>
            </w:r>
          </w:p>
          <w:p w14:paraId="0C643F80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   Groundwater table-level data for the year 2022 were collected from 24 wells maintained by the EARWA and were interpolated using the IDW method in an ArcGIS platform.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</w:rPr>
              <w:t>In the study area, the depth to the groundwater level ranges from 1.5 to 23 meters below the ground level.</w:t>
            </w:r>
          </w:p>
          <w:p w14:paraId="7CE4D29C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vanish/>
                <w:color w:val="000000"/>
                <w:sz w:val="18"/>
                <w:szCs w:val="18"/>
              </w:rPr>
            </w:pPr>
            <w:r w:rsidRPr="006F2B51">
              <w:rPr>
                <w:rFonts w:eastAsia="Times New Roman" w:cs="Times New Roman"/>
                <w:vanish/>
                <w:color w:val="000000"/>
                <w:sz w:val="18"/>
                <w:szCs w:val="18"/>
              </w:rPr>
              <w:t>Top of Form</w:t>
            </w:r>
          </w:p>
          <w:p w14:paraId="7170A4F4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noWrap/>
            <w:vAlign w:val="center"/>
          </w:tcPr>
          <w:p w14:paraId="09750F44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  <w:t>*</w:t>
            </w:r>
          </w:p>
        </w:tc>
        <w:tc>
          <w:tcPr>
            <w:tcW w:w="283" w:type="dxa"/>
            <w:noWrap/>
            <w:vAlign w:val="center"/>
          </w:tcPr>
          <w:p w14:paraId="6AD76976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  <w:t>*</w:t>
            </w:r>
          </w:p>
        </w:tc>
        <w:tc>
          <w:tcPr>
            <w:tcW w:w="425" w:type="dxa"/>
            <w:noWrap/>
            <w:vAlign w:val="center"/>
          </w:tcPr>
          <w:p w14:paraId="64F5B1D3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  <w:t>*</w:t>
            </w:r>
          </w:p>
        </w:tc>
      </w:tr>
      <w:tr w:rsidR="00731A47" w:rsidRPr="006F2B51" w14:paraId="5ADAC4E8" w14:textId="77777777" w:rsidTr="006F0B88">
        <w:trPr>
          <w:trHeight w:val="1140"/>
        </w:trPr>
        <w:tc>
          <w:tcPr>
            <w:tcW w:w="1814" w:type="dxa"/>
            <w:noWrap/>
            <w:vAlign w:val="center"/>
            <w:hideMark/>
          </w:tcPr>
          <w:p w14:paraId="502450F9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</w:rPr>
              <w:t>Recharge</w:t>
            </w:r>
          </w:p>
          <w:p w14:paraId="1C43434A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</w:rPr>
              <w:t>(Fig.5b, 6b)</w:t>
            </w:r>
          </w:p>
        </w:tc>
        <w:tc>
          <w:tcPr>
            <w:tcW w:w="6261" w:type="dxa"/>
            <w:vAlign w:val="center"/>
            <w:hideMark/>
          </w:tcPr>
          <w:p w14:paraId="5B7937C3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  <w:t>Net recharge is the amount of water that penetrates from the surface of the ground and reaches the aquifer</w:t>
            </w:r>
          </w:p>
          <w:p w14:paraId="545D116D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Calibri" w:cs="Times New Roman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</w:r>
            <w:r w:rsidRPr="006F2B51">
              <w:rPr>
                <w:rFonts w:eastAsia="Calibri" w:cs="Times New Roman"/>
                <w:sz w:val="18"/>
                <w:szCs w:val="18"/>
                <w:lang w:val="en-GB"/>
              </w:rPr>
              <w:t xml:space="preserve">Recharge gives rise to vertically transmitted contaminants to reach the water table </w:t>
            </w:r>
          </w:p>
          <w:p w14:paraId="1172576B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  <w:t>Higher recharge values, higher rate values</w:t>
            </w:r>
          </w:p>
          <w:p w14:paraId="6A906F06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>•     This study utilizes the Piscopo method (Piscopo 2001):</w:t>
            </w:r>
            <w:r w:rsidRPr="006F2B51">
              <w:rPr>
                <w:rFonts w:eastAsia="Calibri" w:cs="Arial"/>
                <w:szCs w:val="22"/>
                <w:lang w:val="en-GB"/>
              </w:rPr>
              <w:t xml:space="preserve">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to prepare the net recharge layer for the </w:t>
            </w:r>
            <w:proofErr w:type="spellStart"/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>Ahar</w:t>
            </w:r>
            <w:proofErr w:type="spellEnd"/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 Plain based on the equation, below:</w:t>
            </w:r>
            <w:r w:rsidR="00317220" w:rsidRPr="00317220">
              <w:rPr>
                <w:rFonts w:eastAsia="Times New Roman" w:cs="Times New Roman"/>
                <w:noProof/>
                <w:color w:val="000000"/>
                <w:position w:val="-10"/>
                <w:sz w:val="18"/>
                <w:szCs w:val="18"/>
                <w:lang w:val="en-GB" w:eastAsia="en-GB"/>
              </w:rPr>
              <w:object w:dxaOrig="6160" w:dyaOrig="360" w14:anchorId="2F110C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58.75pt;height:15pt;mso-width-percent:0;mso-height-percent:0;mso-width-percent:0;mso-height-percent:0" o:ole="">
                  <v:imagedata r:id="rId5" o:title=""/>
                </v:shape>
                <o:OLEObject Type="Embed" ProgID="Equation.3" ShapeID="_x0000_i1025" DrawAspect="Content" ObjectID="_1798135311" r:id="rId6"/>
              </w:object>
            </w:r>
          </w:p>
          <w:p w14:paraId="42001A23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  <w:t>In the study area, the highest amount of recharge is approx. 11 cm/year, and the lowest is 0.7</w:t>
            </w:r>
          </w:p>
        </w:tc>
        <w:tc>
          <w:tcPr>
            <w:tcW w:w="284" w:type="dxa"/>
            <w:noWrap/>
            <w:vAlign w:val="center"/>
            <w:hideMark/>
          </w:tcPr>
          <w:p w14:paraId="18F78C34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  <w:t>*</w:t>
            </w:r>
          </w:p>
        </w:tc>
        <w:tc>
          <w:tcPr>
            <w:tcW w:w="283" w:type="dxa"/>
            <w:noWrap/>
            <w:vAlign w:val="center"/>
            <w:hideMark/>
          </w:tcPr>
          <w:p w14:paraId="6BCA7869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F2B51">
              <w:rPr>
                <w:rFonts w:eastAsia="Times New Roman" w:cs="Times New Roman"/>
                <w:b/>
                <w:bCs/>
                <w:color w:val="000000"/>
                <w:szCs w:val="24"/>
              </w:rPr>
              <w:t>-</w:t>
            </w:r>
          </w:p>
        </w:tc>
        <w:tc>
          <w:tcPr>
            <w:tcW w:w="425" w:type="dxa"/>
            <w:noWrap/>
            <w:vAlign w:val="center"/>
            <w:hideMark/>
          </w:tcPr>
          <w:p w14:paraId="517A45F6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  <w:t>*</w:t>
            </w:r>
          </w:p>
        </w:tc>
      </w:tr>
      <w:tr w:rsidR="00731A47" w:rsidRPr="006F2B51" w14:paraId="035136DC" w14:textId="77777777" w:rsidTr="006F0B88">
        <w:trPr>
          <w:trHeight w:val="762"/>
        </w:trPr>
        <w:tc>
          <w:tcPr>
            <w:tcW w:w="1814" w:type="dxa"/>
            <w:noWrap/>
            <w:vAlign w:val="center"/>
            <w:hideMark/>
          </w:tcPr>
          <w:p w14:paraId="15C0F09E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</w:rPr>
              <w:t>Aquifer media (Fig.5c, 6e)</w:t>
            </w:r>
          </w:p>
        </w:tc>
        <w:tc>
          <w:tcPr>
            <w:tcW w:w="6261" w:type="dxa"/>
            <w:vAlign w:val="center"/>
            <w:hideMark/>
          </w:tcPr>
          <w:p w14:paraId="25DBAC4D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  <w:t>The aquifer environment includes void volumes or fractures that hold water and pass through it.</w:t>
            </w:r>
          </w:p>
          <w:p w14:paraId="776DC3B6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  <w:t>Fine grains, higher the attenuation capacity of aquifer media</w:t>
            </w:r>
          </w:p>
          <w:p w14:paraId="48FA10BB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</w:r>
            <w:proofErr w:type="spellStart"/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>Ahar</w:t>
            </w:r>
            <w:proofErr w:type="spellEnd"/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 plain aquifer consists of sand, gravel, silt and clay</w:t>
            </w:r>
          </w:p>
        </w:tc>
        <w:tc>
          <w:tcPr>
            <w:tcW w:w="284" w:type="dxa"/>
            <w:noWrap/>
            <w:vAlign w:val="center"/>
            <w:hideMark/>
          </w:tcPr>
          <w:p w14:paraId="3C60BA43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  <w:t>*</w:t>
            </w:r>
          </w:p>
        </w:tc>
        <w:tc>
          <w:tcPr>
            <w:tcW w:w="283" w:type="dxa"/>
            <w:noWrap/>
            <w:vAlign w:val="center"/>
          </w:tcPr>
          <w:p w14:paraId="65D67E7E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Cs w:val="24"/>
                <w:rtl/>
                <w:lang w:val="en-GB"/>
              </w:rPr>
              <w:t>-</w:t>
            </w:r>
          </w:p>
        </w:tc>
        <w:tc>
          <w:tcPr>
            <w:tcW w:w="425" w:type="dxa"/>
            <w:noWrap/>
            <w:vAlign w:val="center"/>
            <w:hideMark/>
          </w:tcPr>
          <w:p w14:paraId="70BFA606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  <w:t>*</w:t>
            </w:r>
          </w:p>
        </w:tc>
      </w:tr>
      <w:tr w:rsidR="00731A47" w:rsidRPr="006F2B51" w14:paraId="0745A5A2" w14:textId="77777777" w:rsidTr="006F0B88">
        <w:trPr>
          <w:trHeight w:val="762"/>
        </w:trPr>
        <w:tc>
          <w:tcPr>
            <w:tcW w:w="1814" w:type="dxa"/>
            <w:noWrap/>
            <w:vAlign w:val="center"/>
          </w:tcPr>
          <w:p w14:paraId="5DB24101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</w:rPr>
              <w:t>Soil media</w:t>
            </w:r>
          </w:p>
          <w:p w14:paraId="1A74AE37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</w:rPr>
              <w:t>(Fig.5d, 6d, 7d)</w:t>
            </w:r>
          </w:p>
        </w:tc>
        <w:tc>
          <w:tcPr>
            <w:tcW w:w="6261" w:type="dxa"/>
            <w:vAlign w:val="center"/>
          </w:tcPr>
          <w:p w14:paraId="094C3F36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  <w:t>The soil medium represents the uppermost and weathered section of the ground; its characteristics affect both the surface flow and downward migration of contaminants.</w:t>
            </w:r>
          </w:p>
          <w:p w14:paraId="4D21BC2E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 • The inclusion of fine-grained components (such as silt and clay) decreases soil permeability.; this is signified by a lower rating</w:t>
            </w:r>
          </w:p>
          <w:p w14:paraId="223D0814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  <w:t xml:space="preserve">The central part of the </w:t>
            </w:r>
            <w:proofErr w:type="spellStart"/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>Ahar</w:t>
            </w:r>
            <w:proofErr w:type="spellEnd"/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 plain have coarse grains and a higher rate values are assigned to them</w:t>
            </w:r>
          </w:p>
          <w:p w14:paraId="1A6BB92A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noWrap/>
            <w:vAlign w:val="center"/>
          </w:tcPr>
          <w:p w14:paraId="31AB4831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  <w:t>*</w:t>
            </w:r>
          </w:p>
        </w:tc>
        <w:tc>
          <w:tcPr>
            <w:tcW w:w="283" w:type="dxa"/>
            <w:noWrap/>
            <w:vAlign w:val="center"/>
          </w:tcPr>
          <w:p w14:paraId="12FD41AA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  <w:t>*</w:t>
            </w:r>
          </w:p>
        </w:tc>
        <w:tc>
          <w:tcPr>
            <w:tcW w:w="425" w:type="dxa"/>
            <w:noWrap/>
            <w:vAlign w:val="center"/>
          </w:tcPr>
          <w:p w14:paraId="18CCE3A3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  <w:t>*</w:t>
            </w:r>
          </w:p>
        </w:tc>
      </w:tr>
      <w:tr w:rsidR="00731A47" w:rsidRPr="006F2B51" w14:paraId="4D380E87" w14:textId="77777777" w:rsidTr="006F0B88">
        <w:trPr>
          <w:trHeight w:val="949"/>
        </w:trPr>
        <w:tc>
          <w:tcPr>
            <w:tcW w:w="1814" w:type="dxa"/>
            <w:noWrap/>
            <w:vAlign w:val="center"/>
            <w:hideMark/>
          </w:tcPr>
          <w:p w14:paraId="15EFDAEC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</w:rPr>
              <w:t>Topography (Fig.5e, 6g)</w:t>
            </w:r>
          </w:p>
        </w:tc>
        <w:tc>
          <w:tcPr>
            <w:tcW w:w="6261" w:type="dxa"/>
            <w:vAlign w:val="center"/>
            <w:hideMark/>
          </w:tcPr>
          <w:p w14:paraId="2DAE4383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  <w:t>This layer is related to the slope of the Earth’s surface</w:t>
            </w:r>
          </w:p>
          <w:p w14:paraId="1160BFC6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  <w:t>As topographic slope increases, penetration rate decreases</w:t>
            </w:r>
          </w:p>
          <w:p w14:paraId="47A9D7D6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  <w:t xml:space="preserve">A lower slope, higher rate values </w:t>
            </w:r>
          </w:p>
          <w:p w14:paraId="59C9FC77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  <w:t>The central part of the study area has a low slope therefore assigned a high rate to this part</w:t>
            </w:r>
          </w:p>
        </w:tc>
        <w:tc>
          <w:tcPr>
            <w:tcW w:w="284" w:type="dxa"/>
            <w:noWrap/>
            <w:vAlign w:val="center"/>
            <w:hideMark/>
          </w:tcPr>
          <w:p w14:paraId="34E74543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Georgia" w:cs="Times New Roman"/>
                <w:b/>
                <w:bCs/>
                <w:color w:val="231F20"/>
                <w:w w:val="115"/>
                <w:szCs w:val="24"/>
                <w:lang w:val="en-GB"/>
              </w:rPr>
              <w:t>*</w:t>
            </w:r>
          </w:p>
        </w:tc>
        <w:tc>
          <w:tcPr>
            <w:tcW w:w="283" w:type="dxa"/>
            <w:noWrap/>
            <w:vAlign w:val="center"/>
            <w:hideMark/>
          </w:tcPr>
          <w:p w14:paraId="2758E1A0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Georgia" w:cs="Times New Roman"/>
                <w:b/>
                <w:bCs/>
                <w:color w:val="231F20"/>
                <w:w w:val="110"/>
                <w:szCs w:val="24"/>
                <w:lang w:val="en-GB"/>
              </w:rPr>
              <w:t>-</w:t>
            </w:r>
          </w:p>
        </w:tc>
        <w:tc>
          <w:tcPr>
            <w:tcW w:w="425" w:type="dxa"/>
            <w:noWrap/>
            <w:vAlign w:val="center"/>
            <w:hideMark/>
          </w:tcPr>
          <w:p w14:paraId="17D47924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Georgia" w:cs="Times New Roman"/>
                <w:b/>
                <w:bCs/>
                <w:color w:val="231F20"/>
                <w:w w:val="110"/>
                <w:szCs w:val="24"/>
                <w:lang w:val="en-GB"/>
              </w:rPr>
              <w:t>*</w:t>
            </w:r>
          </w:p>
        </w:tc>
      </w:tr>
      <w:tr w:rsidR="00731A47" w:rsidRPr="006F2B51" w14:paraId="5A4CA531" w14:textId="77777777" w:rsidTr="006F0B88">
        <w:trPr>
          <w:trHeight w:val="833"/>
        </w:trPr>
        <w:tc>
          <w:tcPr>
            <w:tcW w:w="1814" w:type="dxa"/>
            <w:vAlign w:val="center"/>
            <w:hideMark/>
          </w:tcPr>
          <w:p w14:paraId="7A923093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Impact of vadose zone</w:t>
            </w:r>
          </w:p>
          <w:p w14:paraId="555E67F2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</w:rPr>
              <w:t>(Fig.5f, 6c, 7b)</w:t>
            </w:r>
          </w:p>
        </w:tc>
        <w:tc>
          <w:tcPr>
            <w:tcW w:w="6261" w:type="dxa"/>
            <w:vAlign w:val="center"/>
            <w:hideMark/>
          </w:tcPr>
          <w:p w14:paraId="21C68203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</w:r>
            <w:r w:rsidRPr="006F2B51">
              <w:rPr>
                <w:rFonts w:eastAsia="Calibri" w:cs="Times New Roman"/>
                <w:sz w:val="18"/>
                <w:szCs w:val="18"/>
                <w:lang w:val="en-GB"/>
              </w:rPr>
              <w:t>This zone describes above the water table and is generally unsaturated</w:t>
            </w:r>
          </w:p>
          <w:p w14:paraId="5776716C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  <w:t>Its impacts on contamination potential are similar to the soil media, depending on the attenuation characteristics and permeability</w:t>
            </w:r>
          </w:p>
          <w:p w14:paraId="75EA2F3F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  <w:t>The central parts of the plain are mostly formed by gravel and sand, but surrounding areas are finer in texture</w:t>
            </w:r>
          </w:p>
        </w:tc>
        <w:tc>
          <w:tcPr>
            <w:tcW w:w="284" w:type="dxa"/>
            <w:noWrap/>
            <w:vAlign w:val="center"/>
            <w:hideMark/>
          </w:tcPr>
          <w:p w14:paraId="34237D1F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Georgia" w:cs="Times New Roman"/>
                <w:b/>
                <w:bCs/>
                <w:color w:val="231F20"/>
                <w:w w:val="115"/>
                <w:szCs w:val="24"/>
                <w:lang w:val="en-GB"/>
              </w:rPr>
              <w:t>*</w:t>
            </w:r>
          </w:p>
        </w:tc>
        <w:tc>
          <w:tcPr>
            <w:tcW w:w="283" w:type="dxa"/>
            <w:noWrap/>
            <w:vAlign w:val="center"/>
            <w:hideMark/>
          </w:tcPr>
          <w:p w14:paraId="5083E40E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Georgia" w:cs="Times New Roman"/>
                <w:b/>
                <w:bCs/>
                <w:color w:val="231F20"/>
                <w:w w:val="110"/>
                <w:szCs w:val="24"/>
                <w:lang w:val="en-GB"/>
              </w:rPr>
              <w:t>*</w:t>
            </w:r>
          </w:p>
        </w:tc>
        <w:tc>
          <w:tcPr>
            <w:tcW w:w="425" w:type="dxa"/>
            <w:noWrap/>
            <w:vAlign w:val="center"/>
            <w:hideMark/>
          </w:tcPr>
          <w:p w14:paraId="6ED0C619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Georgia" w:cs="Times New Roman"/>
                <w:b/>
                <w:bCs/>
                <w:color w:val="231F20"/>
                <w:w w:val="110"/>
                <w:szCs w:val="24"/>
                <w:lang w:val="en-GB"/>
              </w:rPr>
              <w:t>*</w:t>
            </w:r>
          </w:p>
        </w:tc>
      </w:tr>
      <w:tr w:rsidR="00731A47" w:rsidRPr="006F2B51" w14:paraId="6DF7EBC5" w14:textId="77777777" w:rsidTr="006F0B88">
        <w:trPr>
          <w:trHeight w:val="392"/>
        </w:trPr>
        <w:tc>
          <w:tcPr>
            <w:tcW w:w="1814" w:type="dxa"/>
            <w:vAlign w:val="center"/>
            <w:hideMark/>
          </w:tcPr>
          <w:p w14:paraId="496A293C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</w:rPr>
              <w:t>Hydraulic conductivity</w:t>
            </w:r>
          </w:p>
          <w:p w14:paraId="08BCB3DF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</w:rPr>
              <w:t>(Fig.5g, 6f)</w:t>
            </w:r>
          </w:p>
        </w:tc>
        <w:tc>
          <w:tcPr>
            <w:tcW w:w="6261" w:type="dxa"/>
            <w:vAlign w:val="center"/>
            <w:hideMark/>
          </w:tcPr>
          <w:p w14:paraId="4A4D3A04" w14:textId="77777777" w:rsidR="00731A47" w:rsidRPr="006F2B51" w:rsidRDefault="00731A47" w:rsidP="00731A47">
            <w:pPr>
              <w:bidi w:val="0"/>
              <w:spacing w:line="276" w:lineRule="auto"/>
              <w:ind w:left="238" w:hanging="283"/>
              <w:jc w:val="both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</w:r>
            <w:r w:rsidRPr="006F2B51">
              <w:rPr>
                <w:rFonts w:eastAsia="Times New Roman" w:cs="Arial"/>
                <w:color w:val="000000"/>
                <w:sz w:val="18"/>
                <w:szCs w:val="18"/>
              </w:rPr>
              <w:t>It denotes the aquifer's capacity to facilitate water flow; an aquifer exhibiting high conductivity is at greater risk of significant contamination, as a contamination plume can readily migrate through the aquifer.</w:t>
            </w:r>
          </w:p>
          <w:p w14:paraId="0FB79AA6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vanish/>
                <w:color w:val="000000"/>
                <w:sz w:val="18"/>
                <w:szCs w:val="18"/>
              </w:rPr>
            </w:pPr>
            <w:r w:rsidRPr="006F2B51">
              <w:rPr>
                <w:rFonts w:eastAsia="Times New Roman" w:cs="Times New Roman"/>
                <w:vanish/>
                <w:color w:val="000000"/>
                <w:sz w:val="18"/>
                <w:szCs w:val="18"/>
              </w:rPr>
              <w:t>Top of Form</w:t>
            </w:r>
          </w:p>
          <w:p w14:paraId="11B49B10" w14:textId="77777777" w:rsidR="00731A47" w:rsidRPr="006F2B51" w:rsidRDefault="00731A47" w:rsidP="00731A47">
            <w:pPr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  <w:t>There's an estimated value for C is calculated according to the aquifer characteristic.</w:t>
            </w:r>
          </w:p>
        </w:tc>
        <w:tc>
          <w:tcPr>
            <w:tcW w:w="284" w:type="dxa"/>
            <w:noWrap/>
            <w:vAlign w:val="center"/>
            <w:hideMark/>
          </w:tcPr>
          <w:p w14:paraId="58AD7699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Georgia" w:cs="Times New Roman"/>
                <w:b/>
                <w:bCs/>
                <w:color w:val="231F20"/>
                <w:w w:val="115"/>
                <w:szCs w:val="24"/>
                <w:lang w:val="en-GB"/>
              </w:rPr>
              <w:t>*</w:t>
            </w:r>
          </w:p>
        </w:tc>
        <w:tc>
          <w:tcPr>
            <w:tcW w:w="283" w:type="dxa"/>
            <w:noWrap/>
            <w:vAlign w:val="center"/>
            <w:hideMark/>
          </w:tcPr>
          <w:p w14:paraId="11ABB7DB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Georgia" w:cs="Times New Roman"/>
                <w:b/>
                <w:bCs/>
                <w:color w:val="231F20"/>
                <w:w w:val="110"/>
                <w:szCs w:val="24"/>
                <w:lang w:val="en-GB"/>
              </w:rPr>
              <w:t>-</w:t>
            </w:r>
          </w:p>
        </w:tc>
        <w:tc>
          <w:tcPr>
            <w:tcW w:w="425" w:type="dxa"/>
            <w:noWrap/>
            <w:vAlign w:val="center"/>
            <w:hideMark/>
          </w:tcPr>
          <w:p w14:paraId="03B91219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Georgia" w:cs="Times New Roman"/>
                <w:b/>
                <w:bCs/>
                <w:color w:val="231F20"/>
                <w:w w:val="110"/>
                <w:szCs w:val="24"/>
                <w:lang w:val="en-GB"/>
              </w:rPr>
              <w:t>*</w:t>
            </w:r>
          </w:p>
        </w:tc>
      </w:tr>
      <w:tr w:rsidR="00731A47" w:rsidRPr="00731A47" w14:paraId="21872FA5" w14:textId="77777777" w:rsidTr="006F0B88">
        <w:trPr>
          <w:trHeight w:val="750"/>
        </w:trPr>
        <w:tc>
          <w:tcPr>
            <w:tcW w:w="1814" w:type="dxa"/>
            <w:vAlign w:val="center"/>
            <w:hideMark/>
          </w:tcPr>
          <w:p w14:paraId="5B1CE897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</w:rPr>
              <w:t>Groundwater</w:t>
            </w:r>
          </w:p>
          <w:p w14:paraId="7F13C4A4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>occurrence</w:t>
            </w:r>
            <w:r w:rsidRPr="006F2B51" w:rsidDel="00143237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</w:rPr>
              <w:t>(Fig.7a)</w:t>
            </w:r>
          </w:p>
        </w:tc>
        <w:tc>
          <w:tcPr>
            <w:tcW w:w="6261" w:type="dxa"/>
            <w:vAlign w:val="center"/>
            <w:hideMark/>
          </w:tcPr>
          <w:p w14:paraId="346BB4F9" w14:textId="77777777" w:rsidR="00731A47" w:rsidRPr="006F2B51" w:rsidRDefault="00731A47" w:rsidP="00731A47">
            <w:pPr>
              <w:tabs>
                <w:tab w:val="right" w:pos="3381"/>
                <w:tab w:val="right" w:pos="4806"/>
              </w:tabs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  <w:t xml:space="preserve">Unconfined aquifers are assigned with the highest scores </w:t>
            </w:r>
          </w:p>
          <w:p w14:paraId="230A95CA" w14:textId="77777777" w:rsidR="00731A47" w:rsidRPr="006F2B51" w:rsidRDefault="00731A47" w:rsidP="00731A47">
            <w:pPr>
              <w:tabs>
                <w:tab w:val="right" w:pos="3381"/>
                <w:tab w:val="right" w:pos="4806"/>
              </w:tabs>
              <w:bidi w:val="0"/>
              <w:spacing w:line="240" w:lineRule="auto"/>
              <w:ind w:left="238" w:hanging="283"/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</w:pP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 xml:space="preserve">• </w:t>
            </w:r>
            <w:r w:rsidRPr="006F2B51">
              <w:rPr>
                <w:rFonts w:eastAsia="Times New Roman" w:cs="Times New Roman"/>
                <w:color w:val="000000"/>
                <w:sz w:val="18"/>
                <w:szCs w:val="18"/>
                <w:lang w:val="en-GB"/>
              </w:rPr>
              <w:tab/>
              <w:t>Study area is marked with small and patched aquifers all over the plain and are unconfined.</w:t>
            </w:r>
          </w:p>
        </w:tc>
        <w:tc>
          <w:tcPr>
            <w:tcW w:w="284" w:type="dxa"/>
            <w:noWrap/>
            <w:vAlign w:val="center"/>
            <w:hideMark/>
          </w:tcPr>
          <w:p w14:paraId="68213E59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283" w:type="dxa"/>
            <w:noWrap/>
            <w:vAlign w:val="center"/>
            <w:hideMark/>
          </w:tcPr>
          <w:p w14:paraId="5E61BF9C" w14:textId="77777777" w:rsidR="00731A47" w:rsidRPr="006F2B51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Georgia" w:cs="Times New Roman"/>
                <w:b/>
                <w:bCs/>
                <w:color w:val="231F20"/>
                <w:w w:val="110"/>
                <w:szCs w:val="24"/>
                <w:lang w:val="en-GB"/>
              </w:rPr>
              <w:t>*</w:t>
            </w:r>
          </w:p>
        </w:tc>
        <w:tc>
          <w:tcPr>
            <w:tcW w:w="425" w:type="dxa"/>
            <w:noWrap/>
            <w:vAlign w:val="center"/>
            <w:hideMark/>
          </w:tcPr>
          <w:p w14:paraId="6700B75C" w14:textId="77777777" w:rsidR="00731A47" w:rsidRPr="00731A47" w:rsidRDefault="00731A47" w:rsidP="00731A47">
            <w:pPr>
              <w:bidi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</w:pPr>
            <w:r w:rsidRPr="006F2B51"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  <w:t>-</w:t>
            </w:r>
          </w:p>
        </w:tc>
      </w:tr>
    </w:tbl>
    <w:p w14:paraId="5A3BA402" w14:textId="77777777" w:rsidR="00731A47" w:rsidRDefault="00731A47" w:rsidP="00311793">
      <w:pPr>
        <w:jc w:val="center"/>
      </w:pPr>
    </w:p>
    <w:p w14:paraId="10742602" w14:textId="77777777" w:rsidR="00731A47" w:rsidRDefault="00731A47" w:rsidP="00311793"/>
    <w:p w14:paraId="6238909F" w14:textId="77777777" w:rsidR="00731A47" w:rsidRPr="00EB02B7" w:rsidRDefault="00731A47" w:rsidP="00311793"/>
    <w:sectPr w:rsidR="00731A47" w:rsidRPr="00EB02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libri"/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77B24"/>
    <w:multiLevelType w:val="multilevel"/>
    <w:tmpl w:val="5E6E3856"/>
    <w:lvl w:ilvl="0">
      <w:start w:val="1"/>
      <w:numFmt w:val="decimal"/>
      <w:pStyle w:val="Heading1"/>
      <w:lvlText w:val="%1"/>
      <w:lvlJc w:val="left"/>
      <w:pPr>
        <w:ind w:left="792" w:hanging="432"/>
      </w:pPr>
      <w:rPr>
        <w:rFonts w:hint="default"/>
        <w:color w:val="FFFFFF" w:themeColor="background1"/>
      </w:rPr>
    </w:lvl>
    <w:lvl w:ilvl="1">
      <w:start w:val="1"/>
      <w:numFmt w:val="decimal"/>
      <w:pStyle w:val="Heading2"/>
      <w:lvlText w:val="%1-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345"/>
    <w:rsid w:val="000F72F8"/>
    <w:rsid w:val="002E0CF1"/>
    <w:rsid w:val="00311793"/>
    <w:rsid w:val="00317220"/>
    <w:rsid w:val="00360BA6"/>
    <w:rsid w:val="003D3B9A"/>
    <w:rsid w:val="004B0345"/>
    <w:rsid w:val="00566BCA"/>
    <w:rsid w:val="00571CCF"/>
    <w:rsid w:val="005E74C2"/>
    <w:rsid w:val="006B1AB1"/>
    <w:rsid w:val="006F2B51"/>
    <w:rsid w:val="00731A47"/>
    <w:rsid w:val="00780D78"/>
    <w:rsid w:val="00940A1B"/>
    <w:rsid w:val="009D44CD"/>
    <w:rsid w:val="00AC3A76"/>
    <w:rsid w:val="00B35AB7"/>
    <w:rsid w:val="00B85B34"/>
    <w:rsid w:val="00BB7461"/>
    <w:rsid w:val="00BC0552"/>
    <w:rsid w:val="00BD2130"/>
    <w:rsid w:val="00C30F17"/>
    <w:rsid w:val="00CD53DC"/>
    <w:rsid w:val="00D5514D"/>
    <w:rsid w:val="00EB02B7"/>
    <w:rsid w:val="00EE184C"/>
    <w:rsid w:val="00EE271D"/>
    <w:rsid w:val="00F468C5"/>
    <w:rsid w:val="00F6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EADA4"/>
  <w15:chartTrackingRefBased/>
  <w15:docId w15:val="{48ED7BBC-EC6E-47E6-A00C-2B8AA8FF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84C"/>
    <w:pPr>
      <w:bidi/>
      <w:spacing w:line="360" w:lineRule="auto"/>
    </w:pPr>
    <w:rPr>
      <w:rFonts w:ascii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184C"/>
    <w:pPr>
      <w:keepNext/>
      <w:keepLines/>
      <w:numPr>
        <w:numId w:val="9"/>
      </w:numPr>
      <w:spacing w:before="240" w:after="0"/>
      <w:outlineLvl w:val="0"/>
    </w:pPr>
    <w:rPr>
      <w:rFonts w:eastAsiaTheme="majorEastAsia" w:cs="IranNastaliq"/>
      <w:b/>
      <w:bCs/>
      <w:color w:val="000000" w:themeColor="text1"/>
      <w:sz w:val="28"/>
      <w:szCs w:val="9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184C"/>
    <w:pPr>
      <w:keepNext/>
      <w:keepLines/>
      <w:numPr>
        <w:ilvl w:val="1"/>
        <w:numId w:val="9"/>
      </w:numPr>
      <w:spacing w:before="40" w:after="0"/>
      <w:outlineLvl w:val="1"/>
    </w:pPr>
    <w:rPr>
      <w:rFonts w:eastAsiaTheme="majorEastAsia"/>
      <w:b/>
      <w:bCs/>
      <w:color w:val="000000" w:themeColor="text1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184C"/>
    <w:pPr>
      <w:keepNext/>
      <w:keepLines/>
      <w:numPr>
        <w:ilvl w:val="2"/>
        <w:numId w:val="9"/>
      </w:numPr>
      <w:spacing w:before="40" w:after="0"/>
      <w:outlineLvl w:val="2"/>
    </w:pPr>
    <w:rPr>
      <w:rFonts w:eastAsiaTheme="majorEastAsi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E184C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184C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84C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84C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84C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84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E184C"/>
    <w:pPr>
      <w:widowControl w:val="0"/>
      <w:autoSpaceDE w:val="0"/>
      <w:autoSpaceDN w:val="0"/>
      <w:bidi w:val="0"/>
      <w:spacing w:before="23" w:after="0" w:line="240" w:lineRule="auto"/>
      <w:ind w:left="107"/>
    </w:pPr>
    <w:rPr>
      <w:rFonts w:eastAsia="Times New Roman" w:cs="Times New Roman"/>
      <w:sz w:val="22"/>
      <w:szCs w:val="22"/>
    </w:rPr>
  </w:style>
  <w:style w:type="paragraph" w:customStyle="1" w:styleId="MDPI31text">
    <w:name w:val="MDPI_3.1_text"/>
    <w:qFormat/>
    <w:rsid w:val="00EE184C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EE184C"/>
    <w:rPr>
      <w:rFonts w:ascii="Times New Roman" w:eastAsiaTheme="majorEastAsia" w:hAnsi="Times New Roman" w:cs="IranNastaliq"/>
      <w:b/>
      <w:bCs/>
      <w:color w:val="000000" w:themeColor="text1"/>
      <w:sz w:val="28"/>
      <w:szCs w:val="96"/>
    </w:rPr>
  </w:style>
  <w:style w:type="character" w:customStyle="1" w:styleId="Heading2Char">
    <w:name w:val="Heading 2 Char"/>
    <w:basedOn w:val="DefaultParagraphFont"/>
    <w:link w:val="Heading2"/>
    <w:uiPriority w:val="9"/>
    <w:rsid w:val="00EE184C"/>
    <w:rPr>
      <w:rFonts w:ascii="Times New Roman" w:eastAsiaTheme="majorEastAsia" w:hAnsi="Times New Roman" w:cs="B Nazanin"/>
      <w:b/>
      <w:bCs/>
      <w:color w:val="000000" w:themeColor="text1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E184C"/>
    <w:rPr>
      <w:rFonts w:ascii="Times New Roman" w:eastAsiaTheme="majorEastAsia" w:hAnsi="Times New Roman" w:cs="B Nazanin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E184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EE184C"/>
    <w:rPr>
      <w:rFonts w:asciiTheme="majorHAnsi" w:eastAsiaTheme="majorEastAsia" w:hAnsiTheme="majorHAnsi" w:cstheme="majorBidi"/>
      <w:color w:val="2E74B5" w:themeColor="accent1" w:themeShade="BF"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84C"/>
    <w:rPr>
      <w:rFonts w:asciiTheme="majorHAnsi" w:eastAsiaTheme="majorEastAsia" w:hAnsiTheme="majorHAnsi" w:cstheme="majorBidi"/>
      <w:color w:val="1F4D78" w:themeColor="accent1" w:themeShade="7F"/>
      <w:sz w:val="24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84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8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8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EE184C"/>
    <w:pPr>
      <w:spacing w:after="0" w:line="240" w:lineRule="auto"/>
    </w:pPr>
    <w:rPr>
      <w:sz w:val="18"/>
      <w:szCs w:val="20"/>
    </w:rPr>
  </w:style>
  <w:style w:type="paragraph" w:styleId="NoSpacing">
    <w:name w:val="No Spacing"/>
    <w:uiPriority w:val="1"/>
    <w:qFormat/>
    <w:rsid w:val="00EE184C"/>
    <w:pPr>
      <w:bidi/>
      <w:spacing w:after="0" w:line="240" w:lineRule="auto"/>
    </w:pPr>
    <w:rPr>
      <w:rFonts w:ascii="Times New Roman" w:hAnsi="Times New Roman" w:cs="B Nazanin"/>
      <w:sz w:val="24"/>
      <w:szCs w:val="28"/>
    </w:rPr>
  </w:style>
  <w:style w:type="paragraph" w:styleId="ListParagraph">
    <w:name w:val="List Paragraph"/>
    <w:basedOn w:val="Normal"/>
    <w:uiPriority w:val="34"/>
    <w:qFormat/>
    <w:rsid w:val="00EE184C"/>
    <w:pPr>
      <w:bidi w:val="0"/>
      <w:spacing w:after="0" w:line="240" w:lineRule="auto"/>
      <w:ind w:left="720"/>
      <w:contextualSpacing/>
    </w:pPr>
    <w:rPr>
      <w:rFonts w:eastAsia="Times New Roman" w:cs="Traditional Arabic"/>
    </w:rPr>
  </w:style>
  <w:style w:type="paragraph" w:styleId="Header">
    <w:name w:val="header"/>
    <w:basedOn w:val="Normal"/>
    <w:link w:val="HeaderChar"/>
    <w:uiPriority w:val="99"/>
    <w:semiHidden/>
    <w:unhideWhenUsed/>
    <w:rsid w:val="004B0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0345"/>
    <w:rPr>
      <w:rFonts w:ascii="Times New Roman" w:hAnsi="Times New Roman" w:cs="B Nazanin"/>
      <w:sz w:val="24"/>
      <w:szCs w:val="28"/>
    </w:rPr>
  </w:style>
  <w:style w:type="table" w:customStyle="1" w:styleId="PlainTable21">
    <w:name w:val="Plain Table 21"/>
    <w:basedOn w:val="TableNormal"/>
    <w:next w:val="PlainTable2"/>
    <w:uiPriority w:val="42"/>
    <w:rsid w:val="00EB02B7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EB02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731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31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</dc:creator>
  <cp:keywords/>
  <dc:description/>
  <cp:lastModifiedBy>SKY</cp:lastModifiedBy>
  <cp:revision>2</cp:revision>
  <dcterms:created xsi:type="dcterms:W3CDTF">2025-01-11T17:45:00Z</dcterms:created>
  <dcterms:modified xsi:type="dcterms:W3CDTF">2025-01-11T17:45:00Z</dcterms:modified>
</cp:coreProperties>
</file>