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A57A5" w14:textId="77777777" w:rsidR="00FD2658" w:rsidRP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36"/>
          <w:szCs w:val="36"/>
        </w:rPr>
      </w:pPr>
      <w:r w:rsidRPr="00FD2658">
        <w:rPr>
          <w:rFonts w:asciiTheme="majorBidi" w:hAnsiTheme="majorBidi" w:cstheme="majorBidi"/>
          <w:sz w:val="36"/>
          <w:szCs w:val="36"/>
        </w:rPr>
        <w:t>Supplementary file</w:t>
      </w:r>
    </w:p>
    <w:p w14:paraId="645134D9" w14:textId="44E7B358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FD2658">
        <w:rPr>
          <w:rFonts w:asciiTheme="majorBidi" w:hAnsiTheme="majorBidi" w:cstheme="majorBidi"/>
          <w:sz w:val="28"/>
          <w:szCs w:val="28"/>
        </w:rPr>
        <w:t>CPA</w:t>
      </w:r>
      <w:r w:rsidRPr="00FD265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AC192A">
        <w:rPr>
          <w:rFonts w:asciiTheme="majorBidi" w:hAnsiTheme="majorBidi" w:cstheme="majorBidi"/>
          <w:sz w:val="28"/>
          <w:szCs w:val="28"/>
        </w:rPr>
        <w:t>Association term</w:t>
      </w:r>
      <w:r w:rsidRPr="00FD2658">
        <w:rPr>
          <w:rFonts w:asciiTheme="majorBidi" w:hAnsiTheme="majorBidi" w:cstheme="majorBidi"/>
          <w:sz w:val="28"/>
          <w:szCs w:val="28"/>
        </w:rPr>
        <w:t xml:space="preserve"> in PVTsim Nova</w:t>
      </w:r>
    </w:p>
    <w:p w14:paraId="313E5A84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532F15A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AD62249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6A1795E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8588FA4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2DCBEA1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83F4D1F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D79E12B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A8D8582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205687D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D13FE35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109D69D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D563248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4CAF9BC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7DB53AD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C44DFD1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7C8FEDC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C749693" w14:textId="77777777" w:rsidR="004C48B2" w:rsidRDefault="004C48B2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464CDC2" w14:textId="77777777" w:rsidR="004C48B2" w:rsidRDefault="004C48B2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C25BED0" w14:textId="77777777" w:rsidR="004C48B2" w:rsidRDefault="004C48B2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FA89329" w14:textId="77777777" w:rsidR="004C48B2" w:rsidRDefault="004C48B2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96CAE0D" w14:textId="77777777" w:rsidR="00FD2658" w:rsidRDefault="00FD2658" w:rsidP="004C48B2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270C3D7" w14:textId="1AAC5AC3" w:rsidR="00FD2658" w:rsidRDefault="00FD2658" w:rsidP="004C48B2">
      <w:pPr>
        <w:spacing w:line="276" w:lineRule="auto"/>
        <w:jc w:val="both"/>
        <w:rPr>
          <w:rFonts w:asciiTheme="majorBidi" w:hAnsiTheme="majorBidi" w:cstheme="majorBidi"/>
        </w:rPr>
      </w:pPr>
      <w:r w:rsidRPr="00FD2658">
        <w:rPr>
          <w:rFonts w:asciiTheme="majorBidi" w:hAnsiTheme="majorBidi" w:cstheme="majorBidi"/>
        </w:rPr>
        <w:lastRenderedPageBreak/>
        <w:t xml:space="preserve">The CPA equation of state was presented by </w:t>
      </w:r>
      <w:proofErr w:type="spellStart"/>
      <w:r w:rsidRPr="00FD2658">
        <w:rPr>
          <w:rFonts w:asciiTheme="majorBidi" w:hAnsiTheme="majorBidi" w:cstheme="majorBidi"/>
        </w:rPr>
        <w:t>Kontogeorgis</w:t>
      </w:r>
      <w:proofErr w:type="spellEnd"/>
      <w:r w:rsidRPr="00FD2658">
        <w:rPr>
          <w:rFonts w:asciiTheme="majorBidi" w:hAnsiTheme="majorBidi" w:cstheme="majorBidi"/>
        </w:rPr>
        <w:t xml:space="preserve"> et al. (1996). CPA stands for Cubic Plus Association and refers to combination of a classic cubic equation of state with an association term. More specifically CPA combines the PR equation with the association term from SAFT to account for hydrogen bonding.</w:t>
      </w:r>
    </w:p>
    <w:p w14:paraId="60566738" w14:textId="0A1057E5" w:rsidR="00960D7B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Pr="009E1651">
        <w:rPr>
          <w:rFonts w:asciiTheme="majorBidi" w:hAnsiTheme="majorBidi" w:cstheme="majorBidi"/>
        </w:rPr>
        <w:t>Expressed in terms of pressure the CPA model can be written as</w:t>
      </w:r>
      <w:r>
        <w:rPr>
          <w:rFonts w:asciiTheme="majorBidi" w:hAnsiTheme="majorBidi" w:cstheme="majorBidi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960D7B" w14:paraId="3972DB4B" w14:textId="77777777" w:rsidTr="006767F9">
        <w:tc>
          <w:tcPr>
            <w:tcW w:w="8455" w:type="dxa"/>
            <w:vAlign w:val="center"/>
          </w:tcPr>
          <w:p w14:paraId="109886EC" w14:textId="77777777" w:rsidR="00960D7B" w:rsidRPr="007F6D2B" w:rsidRDefault="00960D7B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cubic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association</m:t>
                    </m:r>
                  </m:sub>
                </m:sSub>
              </m:oMath>
            </m:oMathPara>
          </w:p>
        </w:tc>
        <w:tc>
          <w:tcPr>
            <w:tcW w:w="895" w:type="dxa"/>
            <w:vAlign w:val="center"/>
          </w:tcPr>
          <w:p w14:paraId="467CB685" w14:textId="77777777" w:rsidR="00960D7B" w:rsidRDefault="00960D7B" w:rsidP="004C48B2">
            <w:pPr>
              <w:spacing w:line="276" w:lineRule="auto"/>
              <w:jc w:val="center"/>
            </w:pPr>
            <w:r>
              <w:t>(1)</w:t>
            </w:r>
          </w:p>
        </w:tc>
      </w:tr>
    </w:tbl>
    <w:p w14:paraId="6C2DD3D9" w14:textId="77777777" w:rsidR="00960D7B" w:rsidRDefault="00960D7B" w:rsidP="004C48B2">
      <w:pPr>
        <w:spacing w:line="276" w:lineRule="auto"/>
      </w:pPr>
    </w:p>
    <w:p w14:paraId="1F3CD80E" w14:textId="114DAE8B" w:rsidR="00960D7B" w:rsidRPr="00960D7B" w:rsidRDefault="00960D7B" w:rsidP="004C48B2">
      <w:pPr>
        <w:pStyle w:val="Heading1"/>
        <w:spacing w:line="276" w:lineRule="auto"/>
        <w:rPr>
          <w:rFonts w:asciiTheme="majorBidi" w:hAnsiTheme="majorBidi"/>
          <w:b/>
          <w:bCs/>
          <w:sz w:val="24"/>
          <w:szCs w:val="24"/>
        </w:rPr>
      </w:pPr>
      <w:r w:rsidRPr="00960D7B">
        <w:rPr>
          <w:rFonts w:asciiTheme="majorBidi" w:hAnsiTheme="majorBidi"/>
          <w:b/>
          <w:bCs/>
          <w:color w:val="auto"/>
          <w:sz w:val="24"/>
          <w:szCs w:val="24"/>
        </w:rPr>
        <w:t>Cubic Part</w:t>
      </w:r>
    </w:p>
    <w:p w14:paraId="7C394F0C" w14:textId="77777777" w:rsidR="00960D7B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  <w:r w:rsidRPr="00960D7B">
        <w:rPr>
          <w:rFonts w:asciiTheme="majorBidi" w:hAnsiTheme="majorBidi" w:cstheme="majorBidi"/>
        </w:rPr>
        <w:t>The contribution from the cubic part can be given by the PR equation of state. The general form of this equation is defined as follows: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8456"/>
      </w:tblGrid>
      <w:tr w:rsidR="00960D7B" w14:paraId="4F43D402" w14:textId="77777777" w:rsidTr="006767F9">
        <w:trPr>
          <w:jc w:val="center"/>
        </w:trPr>
        <w:tc>
          <w:tcPr>
            <w:tcW w:w="894" w:type="dxa"/>
            <w:vAlign w:val="center"/>
          </w:tcPr>
          <w:p w14:paraId="29833942" w14:textId="77777777" w:rsidR="00960D7B" w:rsidRDefault="00960D7B" w:rsidP="004C48B2">
            <w:pPr>
              <w:spacing w:line="276" w:lineRule="auto"/>
              <w:jc w:val="center"/>
              <w:rPr>
                <w:rtl/>
              </w:rPr>
            </w:pPr>
            <w:r>
              <w:t>(2)</w:t>
            </w:r>
          </w:p>
        </w:tc>
        <w:tc>
          <w:tcPr>
            <w:tcW w:w="8456" w:type="dxa"/>
          </w:tcPr>
          <w:p w14:paraId="2A385C90" w14:textId="77777777" w:rsidR="00960D7B" w:rsidRPr="001A35AD" w:rsidRDefault="00960D7B" w:rsidP="004C48B2">
            <w:pPr>
              <w:spacing w:line="276" w:lineRule="auto"/>
              <w:jc w:val="right"/>
              <w:rPr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v-b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a(T)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v(v+b)</m:t>
                    </m:r>
                  </m:den>
                </m:f>
              </m:oMath>
            </m:oMathPara>
          </w:p>
        </w:tc>
      </w:tr>
      <w:tr w:rsidR="00960D7B" w14:paraId="78A245CF" w14:textId="77777777" w:rsidTr="006767F9">
        <w:tblPrEx>
          <w:jc w:val="left"/>
        </w:tblPrEx>
        <w:tc>
          <w:tcPr>
            <w:tcW w:w="894" w:type="dxa"/>
            <w:vAlign w:val="center"/>
          </w:tcPr>
          <w:p w14:paraId="78292671" w14:textId="77777777" w:rsidR="00960D7B" w:rsidRDefault="00960D7B" w:rsidP="004C48B2">
            <w:pPr>
              <w:spacing w:line="276" w:lineRule="auto"/>
              <w:jc w:val="center"/>
              <w:rPr>
                <w:rtl/>
              </w:rPr>
            </w:pPr>
            <w:r>
              <w:t>(3)</w:t>
            </w:r>
          </w:p>
        </w:tc>
        <w:tc>
          <w:tcPr>
            <w:tcW w:w="8456" w:type="dxa"/>
          </w:tcPr>
          <w:p w14:paraId="5DB4B576" w14:textId="77777777" w:rsidR="00960D7B" w:rsidRPr="001A35AD" w:rsidRDefault="00960D7B" w:rsidP="004C48B2">
            <w:pPr>
              <w:spacing w:after="240" w:line="276" w:lineRule="auto"/>
              <w:jc w:val="right"/>
              <w:rPr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0.4275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1+m(1-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sub>
                                </m:sSub>
                              </m:den>
                            </m:f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0FADD685" w14:textId="15C8F047" w:rsidR="00960D7B" w:rsidRPr="00960D7B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  <w:r w:rsidRPr="00960D7B">
        <w:rPr>
          <w:rFonts w:asciiTheme="majorBidi" w:hAnsiTheme="majorBidi" w:cstheme="majorBidi"/>
        </w:rPr>
        <w:t xml:space="preserve">    The parameters a(T) and b are temperature</w:t>
      </w:r>
      <w:r w:rsidRPr="00960D7B">
        <w:rPr>
          <w:rFonts w:asciiTheme="majorBidi" w:hAnsiTheme="majorBidi" w:cstheme="majorBidi"/>
        </w:rPr>
        <w:noBreakHyphen/>
        <w:t>dependent attractive force parameter that accounts for intermolecular attractions and effective molecular volume (co</w:t>
      </w:r>
      <w:r w:rsidRPr="00960D7B">
        <w:rPr>
          <w:rFonts w:asciiTheme="majorBidi" w:hAnsiTheme="majorBidi" w:cstheme="majorBidi"/>
        </w:rPr>
        <w:noBreakHyphen/>
        <w:t>volume), namely the critical temperature (Tc), critical pressure (Pc), and the parameter</w:t>
      </w:r>
      <w:r w:rsidRPr="00960D7B">
        <w:rPr>
          <w:rFonts w:asciiTheme="majorBidi" w:hAnsiTheme="majorBidi" w:cstheme="majorBidi"/>
          <w:rtl/>
        </w:rPr>
        <w:t xml:space="preserve"> </w:t>
      </w:r>
      <w:r w:rsidRPr="00960D7B">
        <w:rPr>
          <w:rFonts w:asciiTheme="majorBidi" w:hAnsiTheme="majorBidi" w:cstheme="majorBidi"/>
        </w:rPr>
        <w:t>m is a constant that depends on the acentric factor (ω) of the mixture components.</w:t>
      </w:r>
    </w:p>
    <w:p w14:paraId="1B0B7899" w14:textId="77777777" w:rsidR="00960D7B" w:rsidRPr="00960D7B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  <w:r w:rsidRPr="00960D7B">
        <w:rPr>
          <w:rFonts w:asciiTheme="majorBidi" w:hAnsiTheme="majorBidi" w:cstheme="majorBidi"/>
        </w:rPr>
        <w:t xml:space="preserve">    Additionally, to enhance the accuracy of liquid phase volume calculations, the </w:t>
      </w:r>
      <w:proofErr w:type="spellStart"/>
      <w:r w:rsidRPr="00960D7B">
        <w:rPr>
          <w:rFonts w:asciiTheme="majorBidi" w:hAnsiTheme="majorBidi" w:cstheme="majorBidi"/>
        </w:rPr>
        <w:t>Peneloux</w:t>
      </w:r>
      <w:proofErr w:type="spellEnd"/>
      <w:r w:rsidRPr="00960D7B">
        <w:rPr>
          <w:rFonts w:asciiTheme="majorBidi" w:hAnsiTheme="majorBidi" w:cstheme="majorBidi"/>
        </w:rPr>
        <w:t xml:space="preserve"> volume correction was applied to the molar volume.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960D7B" w:rsidRPr="00960D7B" w14:paraId="5A217735" w14:textId="77777777" w:rsidTr="006767F9">
        <w:tc>
          <w:tcPr>
            <w:tcW w:w="8455" w:type="dxa"/>
            <w:vAlign w:val="center"/>
          </w:tcPr>
          <w:p w14:paraId="5DC9A28C" w14:textId="77777777" w:rsidR="00960D7B" w:rsidRPr="00960D7B" w:rsidRDefault="00000000" w:rsidP="004C48B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corrected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 xml:space="preserve"> =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</w:rPr>
                      <m:t>pr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 xml:space="preserve"> - c</m:t>
                </m:r>
              </m:oMath>
            </m:oMathPara>
          </w:p>
        </w:tc>
        <w:tc>
          <w:tcPr>
            <w:tcW w:w="895" w:type="dxa"/>
            <w:vAlign w:val="center"/>
          </w:tcPr>
          <w:p w14:paraId="1B6DB0B9" w14:textId="77777777" w:rsidR="00960D7B" w:rsidRPr="00960D7B" w:rsidRDefault="00960D7B" w:rsidP="004C48B2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60D7B">
              <w:rPr>
                <w:rFonts w:asciiTheme="majorBidi" w:hAnsiTheme="majorBidi" w:cstheme="majorBidi"/>
              </w:rPr>
              <w:t>(4)</w:t>
            </w:r>
          </w:p>
        </w:tc>
      </w:tr>
    </w:tbl>
    <w:p w14:paraId="7EF79733" w14:textId="65389F8C" w:rsidR="00960D7B" w:rsidRPr="00960D7B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r w:rsidRPr="00960D7B">
        <w:rPr>
          <w:rFonts w:asciiTheme="majorBidi" w:hAnsiTheme="majorBidi" w:cstheme="majorBidi"/>
        </w:rPr>
        <w:t>Where</w:t>
      </w:r>
      <w:r w:rsidRPr="00960D7B">
        <w:rPr>
          <w:rFonts w:asciiTheme="majorBidi" w:hAnsiTheme="majorBidi" w:cstheme="majorBidi"/>
          <w:rtl/>
        </w:rPr>
        <w:t xml:space="preserve"> </w:t>
      </w:r>
      <w:proofErr w:type="spellStart"/>
      <w:r w:rsidRPr="00960D7B">
        <w:rPr>
          <w:rFonts w:asciiTheme="majorBidi" w:hAnsiTheme="majorBidi" w:cstheme="majorBidi"/>
        </w:rPr>
        <w:t>Vpr</w:t>
      </w:r>
      <w:proofErr w:type="spellEnd"/>
      <w:r w:rsidRPr="00960D7B">
        <w:rPr>
          <w:rFonts w:asciiTheme="majorBidi" w:hAnsiTheme="majorBidi" w:cstheme="majorBidi"/>
        </w:rPr>
        <w:t xml:space="preserve"> represents the molar volume of a substance as predicted by the Peng-Robinson and c is the volume correction parameter for each component</w:t>
      </w:r>
      <w:r w:rsidRPr="00960D7B">
        <w:rPr>
          <w:rFonts w:asciiTheme="majorBidi" w:hAnsiTheme="majorBidi" w:cstheme="majorBidi"/>
          <w:rtl/>
        </w:rPr>
        <w:t>.</w:t>
      </w:r>
    </w:p>
    <w:p w14:paraId="52D79600" w14:textId="77777777" w:rsidR="00960D7B" w:rsidRDefault="00960D7B" w:rsidP="004C48B2">
      <w:pPr>
        <w:pStyle w:val="Heading1"/>
        <w:spacing w:line="276" w:lineRule="auto"/>
        <w:rPr>
          <w:rFonts w:asciiTheme="majorBidi" w:hAnsiTheme="majorBidi"/>
          <w:b/>
          <w:bCs/>
          <w:color w:val="auto"/>
          <w:sz w:val="24"/>
          <w:szCs w:val="24"/>
        </w:rPr>
      </w:pPr>
      <w:r w:rsidRPr="00960D7B">
        <w:rPr>
          <w:rFonts w:asciiTheme="majorBidi" w:hAnsiTheme="majorBidi"/>
          <w:b/>
          <w:bCs/>
          <w:color w:val="auto"/>
          <w:sz w:val="24"/>
          <w:szCs w:val="24"/>
        </w:rPr>
        <w:t>Association Part</w:t>
      </w:r>
    </w:p>
    <w:p w14:paraId="18B26938" w14:textId="69E606B5" w:rsidR="00960D7B" w:rsidRPr="00960D7B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  <w:r w:rsidRPr="00960D7B">
        <w:rPr>
          <w:rFonts w:asciiTheme="majorBidi" w:hAnsiTheme="majorBidi" w:cstheme="majorBidi"/>
        </w:rPr>
        <w:t>The contribution from the association part can be written 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960D7B" w14:paraId="7F698AB3" w14:textId="77777777" w:rsidTr="006767F9">
        <w:tc>
          <w:tcPr>
            <w:tcW w:w="8455" w:type="dxa"/>
            <w:vAlign w:val="center"/>
          </w:tcPr>
          <w:p w14:paraId="4255F29F" w14:textId="77777777" w:rsidR="00960D7B" w:rsidRPr="007F6D2B" w:rsidRDefault="00000000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association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= </m:t>
                </m:r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R*T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*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1-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V*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∂lng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∂V</m:t>
                            </m:r>
                          </m:den>
                        </m:f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</w:rPr>
                  <m:t>*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sub>
                      <m:sup/>
                      <m:e>
                        <m:r>
                          <w:rPr>
                            <w:rFonts w:ascii="Cambria Math" w:eastAsiaTheme="minorEastAsia" w:hAnsi="Cambria Math"/>
                          </w:rPr>
                          <m:t>(1-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895" w:type="dxa"/>
            <w:vAlign w:val="center"/>
          </w:tcPr>
          <w:p w14:paraId="764991C1" w14:textId="77777777" w:rsidR="00960D7B" w:rsidRDefault="00960D7B" w:rsidP="004C48B2">
            <w:pPr>
              <w:spacing w:line="276" w:lineRule="auto"/>
              <w:jc w:val="center"/>
            </w:pPr>
            <w:r>
              <w:t>(5)</w:t>
            </w:r>
          </w:p>
        </w:tc>
      </w:tr>
    </w:tbl>
    <w:p w14:paraId="7EC6FFD8" w14:textId="3076E163" w:rsidR="00F41F74" w:rsidRDefault="00F41F74" w:rsidP="004C48B2">
      <w:pPr>
        <w:spacing w:line="276" w:lineRule="auto"/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 xml:space="preserve">    </w:t>
      </w:r>
      <w:proofErr w:type="spellStart"/>
      <w:r w:rsidR="00960D7B" w:rsidRPr="00960D7B">
        <w:rPr>
          <w:rFonts w:asciiTheme="majorBidi" w:hAnsiTheme="majorBidi" w:cstheme="majorBidi"/>
        </w:rPr>
        <w:t>i</w:t>
      </w:r>
      <w:proofErr w:type="spellEnd"/>
      <w:r w:rsidR="00960D7B" w:rsidRPr="00960D7B">
        <w:rPr>
          <w:rFonts w:asciiTheme="majorBidi" w:hAnsiTheme="majorBidi" w:cstheme="majorBidi"/>
        </w:rPr>
        <w:t xml:space="preserve"> is the index for components and Ai is the index of association sites on component </w:t>
      </w:r>
      <w:proofErr w:type="spellStart"/>
      <w:r w:rsidR="00960D7B" w:rsidRPr="00960D7B">
        <w:rPr>
          <w:rFonts w:asciiTheme="majorBidi" w:hAnsiTheme="majorBidi" w:cstheme="majorBidi"/>
        </w:rPr>
        <w:t>i</w:t>
      </w:r>
      <w:proofErr w:type="spellEnd"/>
      <w:r w:rsidR="00960D7B" w:rsidRPr="00960D7B">
        <w:rPr>
          <w:rFonts w:asciiTheme="majorBidi" w:hAnsiTheme="majorBidi" w:cstheme="majorBidi"/>
        </w:rPr>
        <w:t>. X</w:t>
      </w:r>
      <w:r w:rsidR="00960D7B" w:rsidRPr="00960D7B">
        <w:rPr>
          <w:rFonts w:asciiTheme="majorBidi" w:hAnsiTheme="majorBidi" w:cstheme="majorBidi"/>
          <w:vertAlign w:val="subscript"/>
        </w:rPr>
        <w:t>Ai</w:t>
      </w:r>
      <w:r w:rsidR="00960D7B" w:rsidRPr="00960D7B">
        <w:rPr>
          <w:rFonts w:asciiTheme="majorBidi" w:hAnsiTheme="majorBidi" w:cstheme="majorBidi"/>
        </w:rPr>
        <w:br/>
        <w:t xml:space="preserve">is the fraction of sites of type A on component </w:t>
      </w:r>
      <w:proofErr w:type="spellStart"/>
      <w:r w:rsidR="00960D7B" w:rsidRPr="00960D7B">
        <w:rPr>
          <w:rFonts w:asciiTheme="majorBidi" w:hAnsiTheme="majorBidi" w:cstheme="majorBidi"/>
        </w:rPr>
        <w:t>i</w:t>
      </w:r>
      <w:proofErr w:type="spellEnd"/>
      <w:r w:rsidR="00960D7B" w:rsidRPr="00960D7B">
        <w:rPr>
          <w:rFonts w:asciiTheme="majorBidi" w:hAnsiTheme="majorBidi" w:cstheme="majorBidi"/>
        </w:rPr>
        <w:t>, which are not bonded to other sites.</w:t>
      </w:r>
      <w:r w:rsidR="00960D7B" w:rsidRPr="00960D7B">
        <w:rPr>
          <w:rFonts w:asciiTheme="majorBidi" w:hAnsiTheme="majorBidi" w:cstheme="majorBidi"/>
        </w:rPr>
        <w:br/>
        <w:t>g is the simplified expression of the radial distribution function as given by</w:t>
      </w:r>
      <w:r>
        <w:rPr>
          <w:rFonts w:asciiTheme="majorBidi" w:hAnsiTheme="majorBidi" w:cstheme="majorBidi" w:hint="cs"/>
          <w:rtl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F41F74" w14:paraId="5C40787A" w14:textId="77777777" w:rsidTr="006767F9">
        <w:tc>
          <w:tcPr>
            <w:tcW w:w="8455" w:type="dxa"/>
            <w:vAlign w:val="center"/>
          </w:tcPr>
          <w:p w14:paraId="0D65CA07" w14:textId="77777777" w:rsidR="00F41F74" w:rsidRPr="007F6D2B" w:rsidRDefault="00000000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(η)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1-1.9*η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*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R*T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, where </m:t>
                </m:r>
                <m:r>
                  <w:rPr>
                    <w:rFonts w:ascii="Cambria Math" w:eastAsiaTheme="minorEastAsia" w:hAnsi="Cambria Math" w:cs="Calibri"/>
                  </w:rPr>
                  <m:t>η</m:t>
                </m:r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4*V</m:t>
                    </m:r>
                  </m:den>
                </m:f>
              </m:oMath>
            </m:oMathPara>
          </w:p>
        </w:tc>
        <w:tc>
          <w:tcPr>
            <w:tcW w:w="895" w:type="dxa"/>
            <w:vAlign w:val="center"/>
          </w:tcPr>
          <w:p w14:paraId="15042D09" w14:textId="77777777" w:rsidR="00F41F74" w:rsidRDefault="00F41F74" w:rsidP="004C48B2">
            <w:pPr>
              <w:spacing w:line="276" w:lineRule="auto"/>
              <w:jc w:val="center"/>
            </w:pPr>
            <w:r>
              <w:t>(6)</w:t>
            </w:r>
          </w:p>
        </w:tc>
      </w:tr>
    </w:tbl>
    <w:p w14:paraId="3C5AD35D" w14:textId="58B1DFE1" w:rsidR="00F41F74" w:rsidRDefault="00F41F74" w:rsidP="004C48B2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    </w:t>
      </w:r>
      <w:r w:rsidRPr="00F41F74">
        <w:rPr>
          <w:rFonts w:asciiTheme="majorBidi" w:hAnsiTheme="majorBidi" w:cstheme="majorBidi"/>
        </w:rPr>
        <w:t>The fraction of sites X</w:t>
      </w:r>
      <w:r w:rsidRPr="00F41F74">
        <w:rPr>
          <w:rFonts w:asciiTheme="majorBidi" w:hAnsiTheme="majorBidi" w:cstheme="majorBidi"/>
          <w:vertAlign w:val="subscript"/>
        </w:rPr>
        <w:t>Ai</w:t>
      </w:r>
      <w:r w:rsidRPr="00F41F74">
        <w:rPr>
          <w:rFonts w:asciiTheme="majorBidi" w:hAnsiTheme="majorBidi" w:cstheme="majorBidi"/>
        </w:rPr>
        <w:t xml:space="preserve"> is given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F41F74" w14:paraId="420B8162" w14:textId="77777777" w:rsidTr="006767F9">
        <w:tc>
          <w:tcPr>
            <w:tcW w:w="8455" w:type="dxa"/>
            <w:vAlign w:val="center"/>
          </w:tcPr>
          <w:p w14:paraId="7379FF29" w14:textId="77777777" w:rsidR="00F41F74" w:rsidRPr="007F6D2B" w:rsidRDefault="00000000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</m:e>
                    </m:nary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j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*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∆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j</m:t>
                                </m:r>
                              </m:sub>
                            </m:sSub>
                          </m:sup>
                        </m:sSup>
                      </m:e>
                    </m:nary>
                  </m:den>
                </m:f>
              </m:oMath>
            </m:oMathPara>
          </w:p>
        </w:tc>
        <w:tc>
          <w:tcPr>
            <w:tcW w:w="895" w:type="dxa"/>
            <w:vAlign w:val="center"/>
          </w:tcPr>
          <w:p w14:paraId="2A3EB0A5" w14:textId="77777777" w:rsidR="00F41F74" w:rsidRDefault="00F41F74" w:rsidP="004C48B2">
            <w:pPr>
              <w:spacing w:line="276" w:lineRule="auto"/>
              <w:jc w:val="center"/>
            </w:pPr>
            <w:r>
              <w:t>(7)</w:t>
            </w:r>
          </w:p>
        </w:tc>
      </w:tr>
    </w:tbl>
    <w:p w14:paraId="791B2CC0" w14:textId="2D5ADBB1" w:rsidR="00F41F74" w:rsidRDefault="00F41F74" w:rsidP="004C48B2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proofErr w:type="spellStart"/>
      <w:r w:rsidRPr="00F41F74">
        <w:rPr>
          <w:rFonts w:asciiTheme="majorBidi" w:hAnsiTheme="majorBidi" w:cstheme="majorBidi"/>
        </w:rPr>
        <w:t>Δ</w:t>
      </w:r>
      <w:r w:rsidRPr="00F41F74">
        <w:rPr>
          <w:rFonts w:asciiTheme="majorBidi" w:hAnsiTheme="majorBidi" w:cstheme="majorBidi"/>
          <w:vertAlign w:val="superscript"/>
        </w:rPr>
        <w:t>AiBj</w:t>
      </w:r>
      <w:proofErr w:type="spellEnd"/>
      <w:r w:rsidRPr="00F41F74">
        <w:rPr>
          <w:rFonts w:asciiTheme="majorBidi" w:hAnsiTheme="majorBidi" w:cstheme="majorBidi"/>
        </w:rPr>
        <w:t xml:space="preserve"> is the association strength between site A on component </w:t>
      </w:r>
      <w:proofErr w:type="spellStart"/>
      <w:r w:rsidRPr="00F41F74">
        <w:rPr>
          <w:rFonts w:asciiTheme="majorBidi" w:hAnsiTheme="majorBidi" w:cstheme="majorBidi"/>
        </w:rPr>
        <w:t>i</w:t>
      </w:r>
      <w:proofErr w:type="spellEnd"/>
      <w:r w:rsidRPr="00F41F74">
        <w:rPr>
          <w:rFonts w:asciiTheme="majorBidi" w:hAnsiTheme="majorBidi" w:cstheme="majorBidi"/>
        </w:rPr>
        <w:t xml:space="preserve"> and site B on component j. It is calculated from the association energy, </w:t>
      </w:r>
      <w:proofErr w:type="spellStart"/>
      <w:r w:rsidRPr="00F41F74">
        <w:rPr>
          <w:rFonts w:asciiTheme="majorBidi" w:hAnsiTheme="majorBidi" w:cstheme="majorBidi"/>
        </w:rPr>
        <w:t>ε</w:t>
      </w:r>
      <w:r w:rsidRPr="00F41F74">
        <w:rPr>
          <w:rFonts w:asciiTheme="majorBidi" w:hAnsiTheme="majorBidi" w:cstheme="majorBidi"/>
          <w:vertAlign w:val="superscript"/>
        </w:rPr>
        <w:t>AiBj</w:t>
      </w:r>
      <w:proofErr w:type="spellEnd"/>
      <w:r w:rsidRPr="00F41F74">
        <w:rPr>
          <w:rFonts w:asciiTheme="majorBidi" w:hAnsiTheme="majorBidi" w:cstheme="majorBidi"/>
        </w:rPr>
        <w:t>, and the association volume, β</w:t>
      </w:r>
      <w:proofErr w:type="spellStart"/>
      <w:r w:rsidRPr="00F41F74">
        <w:rPr>
          <w:rFonts w:asciiTheme="majorBidi" w:hAnsiTheme="majorBidi" w:cstheme="majorBidi"/>
          <w:vertAlign w:val="superscript"/>
        </w:rPr>
        <w:t>AiBj</w:t>
      </w:r>
      <w:proofErr w:type="spellEnd"/>
      <w:r w:rsidRPr="00F41F74">
        <w:rPr>
          <w:rFonts w:asciiTheme="majorBidi" w:hAnsiTheme="majorBidi" w:cstheme="majorBidi"/>
        </w:rPr>
        <w:t xml:space="preserve"> from: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F41F74" w14:paraId="2FACD997" w14:textId="77777777" w:rsidTr="006767F9">
        <w:tc>
          <w:tcPr>
            <w:tcW w:w="8455" w:type="dxa"/>
            <w:vAlign w:val="center"/>
          </w:tcPr>
          <w:p w14:paraId="60BFCE5C" w14:textId="77777777" w:rsidR="00F41F74" w:rsidRPr="007F6D2B" w:rsidRDefault="00000000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∆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sub>
                    </m:sSub>
                  </m:sup>
                </m:sSup>
                <m:r>
                  <w:rPr>
                    <w:rFonts w:ascii="Cambria Math" w:hAnsi="Cambria Math"/>
                  </w:rPr>
                  <m:t xml:space="preserve"> = </m:t>
                </m:r>
                <m:r>
                  <w:rPr>
                    <w:rFonts w:ascii="Cambria Math" w:eastAsiaTheme="minorEastAsia" w:hAnsi="Cambria Math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η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*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exp</m:t>
                        </m: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ε</m:t>
                                    </m:r>
                                  </m:e>
                                  <m:sup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R*T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*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ij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*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β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sub>
                    </m:sSub>
                  </m:sup>
                </m:sSup>
              </m:oMath>
            </m:oMathPara>
          </w:p>
        </w:tc>
        <w:tc>
          <w:tcPr>
            <w:tcW w:w="895" w:type="dxa"/>
            <w:vAlign w:val="center"/>
          </w:tcPr>
          <w:p w14:paraId="395C942A" w14:textId="77777777" w:rsidR="00F41F74" w:rsidRDefault="00F41F74" w:rsidP="004C48B2">
            <w:pPr>
              <w:spacing w:line="276" w:lineRule="auto"/>
              <w:jc w:val="center"/>
            </w:pPr>
            <w:r>
              <w:t>(8)</w:t>
            </w:r>
          </w:p>
        </w:tc>
      </w:tr>
    </w:tbl>
    <w:p w14:paraId="27AE2107" w14:textId="2DCEE2CA" w:rsidR="00F41F74" w:rsidRDefault="00F41F74" w:rsidP="004C48B2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</w:t>
      </w:r>
      <w:proofErr w:type="spellStart"/>
      <w:r w:rsidRPr="00F41F74">
        <w:rPr>
          <w:rFonts w:asciiTheme="majorBidi" w:hAnsiTheme="majorBidi" w:cstheme="majorBidi"/>
        </w:rPr>
        <w:t>ε</w:t>
      </w:r>
      <w:r w:rsidRPr="00F41F74">
        <w:rPr>
          <w:rFonts w:asciiTheme="majorBidi" w:hAnsiTheme="majorBidi" w:cstheme="majorBidi"/>
          <w:vertAlign w:val="superscript"/>
        </w:rPr>
        <w:t>AiBj</w:t>
      </w:r>
      <w:proofErr w:type="spellEnd"/>
      <w:r w:rsidRPr="00F41F74">
        <w:rPr>
          <w:rFonts w:asciiTheme="majorBidi" w:hAnsiTheme="majorBidi" w:cstheme="majorBidi"/>
        </w:rPr>
        <w:t xml:space="preserve"> and β</w:t>
      </w:r>
      <w:proofErr w:type="spellStart"/>
      <w:r w:rsidRPr="00F41F74">
        <w:rPr>
          <w:rFonts w:asciiTheme="majorBidi" w:hAnsiTheme="majorBidi" w:cstheme="majorBidi"/>
          <w:vertAlign w:val="superscript"/>
        </w:rPr>
        <w:t>AiBj</w:t>
      </w:r>
      <w:proofErr w:type="spellEnd"/>
      <w:r w:rsidRPr="00F41F74">
        <w:rPr>
          <w:rFonts w:asciiTheme="majorBidi" w:hAnsiTheme="majorBidi" w:cstheme="majorBidi"/>
        </w:rPr>
        <w:t xml:space="preserve"> are parameters for association energy and association volume.</w:t>
      </w:r>
    </w:p>
    <w:p w14:paraId="4D41290D" w14:textId="77777777" w:rsidR="00F41F74" w:rsidRDefault="00F41F74" w:rsidP="004C48B2">
      <w:pPr>
        <w:pStyle w:val="Heading1"/>
        <w:spacing w:line="276" w:lineRule="auto"/>
        <w:rPr>
          <w:rFonts w:asciiTheme="majorBidi" w:eastAsia="Times New Roman" w:hAnsiTheme="majorBidi"/>
          <w:b/>
          <w:bCs/>
          <w:color w:val="auto"/>
          <w:sz w:val="24"/>
          <w:szCs w:val="24"/>
        </w:rPr>
      </w:pPr>
      <w:r w:rsidRPr="00F41F74">
        <w:rPr>
          <w:rFonts w:asciiTheme="majorBidi" w:eastAsia="Times New Roman" w:hAnsiTheme="majorBidi"/>
          <w:b/>
          <w:bCs/>
          <w:color w:val="auto"/>
          <w:sz w:val="24"/>
          <w:szCs w:val="24"/>
        </w:rPr>
        <w:t>Mixing Rules</w:t>
      </w:r>
    </w:p>
    <w:p w14:paraId="782C377C" w14:textId="2479E3CC" w:rsidR="00F41F74" w:rsidRDefault="00F41F74" w:rsidP="004C48B2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1044F">
        <w:rPr>
          <w:rFonts w:ascii="Times New Roman" w:eastAsia="Times New Roman" w:hAnsi="Times New Roman" w:cs="Times New Roman"/>
          <w:kern w:val="0"/>
          <w14:ligatures w14:val="none"/>
        </w:rPr>
        <w:t>For mixtures classical mixing rules are used for the a and b parameters in the cubic part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F41F74" w14:paraId="02AF43E4" w14:textId="77777777" w:rsidTr="006767F9">
        <w:tc>
          <w:tcPr>
            <w:tcW w:w="8455" w:type="dxa"/>
            <w:vAlign w:val="center"/>
          </w:tcPr>
          <w:p w14:paraId="71AD0FF2" w14:textId="77777777" w:rsidR="00F41F74" w:rsidRPr="007F6D2B" w:rsidRDefault="00F41F74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a(T)</m:t>
                </m:r>
                <m:r>
                  <w:rPr>
                    <w:rFonts w:ascii="Cambria Math" w:hAnsi="Cambria Math"/>
                  </w:rPr>
                  <m:t xml:space="preserve"> 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 xml:space="preserve">* 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/>
                              </w:rPr>
                              <m:t>*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j</m:t>
                                </m:r>
                              </m:sub>
                            </m:sSub>
                          </m:e>
                        </m:rad>
                        <m:r>
                          <w:rPr>
                            <w:rFonts w:ascii="Cambria Math" w:eastAsiaTheme="minorEastAsia" w:hAnsi="Cambria Math"/>
                          </w:rPr>
                          <m:t>*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ij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/>
                          </w:rPr>
                          <m:t xml:space="preserve">,   where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</w:rPr>
                          <m:t>=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ij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0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</w:rPr>
                          <m:t>+</m:t>
                        </m:r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ij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'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</w:rPr>
                          <m:t>(T-288.15K)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895" w:type="dxa"/>
            <w:vAlign w:val="center"/>
          </w:tcPr>
          <w:p w14:paraId="1749BB9D" w14:textId="77777777" w:rsidR="00F41F74" w:rsidRDefault="00F41F74" w:rsidP="004C48B2">
            <w:pPr>
              <w:spacing w:line="276" w:lineRule="auto"/>
              <w:jc w:val="center"/>
            </w:pPr>
            <w:r>
              <w:t>(9)</w:t>
            </w:r>
          </w:p>
        </w:tc>
      </w:tr>
      <w:tr w:rsidR="00F41F74" w14:paraId="1FEEC18A" w14:textId="77777777" w:rsidTr="006767F9">
        <w:tc>
          <w:tcPr>
            <w:tcW w:w="8455" w:type="dxa"/>
            <w:vAlign w:val="center"/>
          </w:tcPr>
          <w:p w14:paraId="18CC2ABE" w14:textId="77777777" w:rsidR="00F41F74" w:rsidRPr="007F6D2B" w:rsidRDefault="00F41F74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b</m:t>
                </m:r>
                <m:r>
                  <w:rPr>
                    <w:rFonts w:ascii="Cambria Math" w:hAnsi="Cambria Math"/>
                  </w:rPr>
                  <m:t xml:space="preserve"> 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i=1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895" w:type="dxa"/>
            <w:vAlign w:val="center"/>
          </w:tcPr>
          <w:p w14:paraId="6B90753E" w14:textId="77777777" w:rsidR="00F41F74" w:rsidRDefault="00F41F74" w:rsidP="004C48B2">
            <w:pPr>
              <w:spacing w:line="276" w:lineRule="auto"/>
              <w:jc w:val="center"/>
            </w:pPr>
            <w:r>
              <w:t>(10)</w:t>
            </w:r>
          </w:p>
        </w:tc>
      </w:tr>
    </w:tbl>
    <w:p w14:paraId="34472889" w14:textId="73EFCC85" w:rsidR="00F41F74" w:rsidRDefault="00F41F74" w:rsidP="004C48B2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  <w:r w:rsidRPr="00285458">
        <w:rPr>
          <w:rFonts w:ascii="Times New Roman" w:eastAsia="Times New Roman" w:hAnsi="Times New Roman" w:cs="Times New Roman"/>
          <w:kern w:val="0"/>
          <w14:ligatures w14:val="none"/>
        </w:rPr>
        <w:t>In order to ensure accurate liquid densities for hydrocarbons, volumes may be corrected</w:t>
      </w:r>
      <w:r w:rsidRPr="0028545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using a temperature dependent </w:t>
      </w:r>
      <w:proofErr w:type="spellStart"/>
      <w:r w:rsidRPr="00285458">
        <w:rPr>
          <w:rFonts w:ascii="Times New Roman" w:eastAsia="Times New Roman" w:hAnsi="Times New Roman" w:cs="Times New Roman"/>
          <w:kern w:val="0"/>
          <w14:ligatures w14:val="none"/>
        </w:rPr>
        <w:t>Peneloux</w:t>
      </w:r>
      <w:proofErr w:type="spellEnd"/>
      <w:r w:rsidRPr="00285458">
        <w:rPr>
          <w:rFonts w:ascii="Times New Roman" w:eastAsia="Times New Roman" w:hAnsi="Times New Roman" w:cs="Times New Roman"/>
          <w:kern w:val="0"/>
          <w14:ligatures w14:val="none"/>
        </w:rPr>
        <w:t xml:space="preserve"> volume shift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F41F74" w14:paraId="50A0F7E0" w14:textId="77777777" w:rsidTr="006767F9">
        <w:tc>
          <w:tcPr>
            <w:tcW w:w="8455" w:type="dxa"/>
            <w:vAlign w:val="center"/>
          </w:tcPr>
          <w:p w14:paraId="76A6415C" w14:textId="77777777" w:rsidR="00F41F74" w:rsidRPr="007F6D2B" w:rsidRDefault="00F41F74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c</m:t>
                </m:r>
                <m:r>
                  <w:rPr>
                    <w:rFonts w:ascii="Cambria Math" w:hAnsi="Cambria Math"/>
                  </w:rPr>
                  <m:t xml:space="preserve"> 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 xml:space="preserve">,   where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=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"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</w:rPr>
                      <m:t xml:space="preserve">(T-288.15K) </m:t>
                    </m:r>
                  </m:e>
                </m:nary>
              </m:oMath>
            </m:oMathPara>
          </w:p>
        </w:tc>
        <w:tc>
          <w:tcPr>
            <w:tcW w:w="895" w:type="dxa"/>
            <w:vAlign w:val="center"/>
          </w:tcPr>
          <w:p w14:paraId="6326553D" w14:textId="77777777" w:rsidR="00F41F74" w:rsidRDefault="00F41F74" w:rsidP="004C48B2">
            <w:pPr>
              <w:spacing w:line="276" w:lineRule="auto"/>
              <w:jc w:val="center"/>
            </w:pPr>
            <w:r>
              <w:t>(11)</w:t>
            </w:r>
          </w:p>
        </w:tc>
      </w:tr>
    </w:tbl>
    <w:p w14:paraId="1D5CECEE" w14:textId="4FCE043A" w:rsidR="00F41F74" w:rsidRDefault="00F41F74" w:rsidP="004C48B2">
      <w:pPr>
        <w:spacing w:line="276" w:lineRule="auto"/>
        <w:jc w:val="both"/>
        <w:rPr>
          <w:rFonts w:asciiTheme="majorBidi" w:hAnsiTheme="majorBidi" w:cstheme="majorBidi"/>
        </w:rPr>
      </w:pPr>
      <w:r w:rsidRPr="00F41F74">
        <w:rPr>
          <w:rFonts w:asciiTheme="majorBidi" w:hAnsiTheme="majorBidi" w:cstheme="majorBidi"/>
        </w:rPr>
        <w:t xml:space="preserve">For calculating cross association parameters for the association part, </w:t>
      </w:r>
      <w:proofErr w:type="spellStart"/>
      <w:r w:rsidRPr="00F41F74">
        <w:rPr>
          <w:rFonts w:asciiTheme="majorBidi" w:hAnsiTheme="majorBidi" w:cstheme="majorBidi"/>
        </w:rPr>
        <w:t>PVTsim</w:t>
      </w:r>
      <w:proofErr w:type="spellEnd"/>
      <w:r w:rsidRPr="00F41F74">
        <w:rPr>
          <w:rFonts w:asciiTheme="majorBidi" w:hAnsiTheme="majorBidi" w:cstheme="majorBidi"/>
        </w:rPr>
        <w:t xml:space="preserve"> uses the CR-</w:t>
      </w:r>
      <w:r w:rsidRPr="00F41F74">
        <w:rPr>
          <w:rFonts w:asciiTheme="majorBidi" w:hAnsiTheme="majorBidi" w:cstheme="majorBidi"/>
        </w:rPr>
        <w:br/>
        <w:t>1 combining rule: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5"/>
        <w:gridCol w:w="895"/>
      </w:tblGrid>
      <w:tr w:rsidR="00F41F74" w14:paraId="76349A5F" w14:textId="77777777" w:rsidTr="006767F9">
        <w:tc>
          <w:tcPr>
            <w:tcW w:w="8455" w:type="dxa"/>
            <w:vAlign w:val="center"/>
          </w:tcPr>
          <w:p w14:paraId="2074D40A" w14:textId="77777777" w:rsidR="00F41F74" w:rsidRPr="007F6D2B" w:rsidRDefault="00000000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ε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sub>
                    </m:sSub>
                  </m:sup>
                </m:sSup>
                <m: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ε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ε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95" w:type="dxa"/>
            <w:vAlign w:val="center"/>
          </w:tcPr>
          <w:p w14:paraId="3CF74C3D" w14:textId="77777777" w:rsidR="00F41F74" w:rsidRDefault="00F41F74" w:rsidP="004C48B2">
            <w:pPr>
              <w:spacing w:line="276" w:lineRule="auto"/>
              <w:jc w:val="center"/>
            </w:pPr>
            <w:r>
              <w:t>(12)</w:t>
            </w:r>
          </w:p>
        </w:tc>
      </w:tr>
      <w:tr w:rsidR="00F41F74" w14:paraId="3C04AE7C" w14:textId="77777777" w:rsidTr="006767F9">
        <w:tc>
          <w:tcPr>
            <w:tcW w:w="8455" w:type="dxa"/>
            <w:vAlign w:val="center"/>
          </w:tcPr>
          <w:p w14:paraId="5B132306" w14:textId="77777777" w:rsidR="00F41F74" w:rsidRPr="007F6D2B" w:rsidRDefault="00000000" w:rsidP="004C48B2">
            <w:pPr>
              <w:spacing w:line="276" w:lineRule="auto"/>
              <w:jc w:val="center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β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j</m:t>
                        </m:r>
                      </m:sub>
                    </m:sSub>
                  </m:sup>
                </m:sSup>
                <m:r>
                  <w:rPr>
                    <w:rFonts w:ascii="Cambria Math" w:hAnsi="Cambria Math"/>
                  </w:rPr>
                  <m:t xml:space="preserve"> =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β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β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j</m:t>
                            </m:r>
                          </m:sub>
                        </m:sSub>
                      </m:sup>
                    </m:sSup>
                  </m:e>
                </m:rad>
              </m:oMath>
            </m:oMathPara>
          </w:p>
        </w:tc>
        <w:tc>
          <w:tcPr>
            <w:tcW w:w="895" w:type="dxa"/>
            <w:vAlign w:val="center"/>
          </w:tcPr>
          <w:p w14:paraId="08338868" w14:textId="77777777" w:rsidR="00F41F74" w:rsidRDefault="00F41F74" w:rsidP="004C48B2">
            <w:pPr>
              <w:spacing w:line="276" w:lineRule="auto"/>
              <w:jc w:val="center"/>
            </w:pPr>
            <w:r>
              <w:t>(13)</w:t>
            </w:r>
          </w:p>
        </w:tc>
      </w:tr>
    </w:tbl>
    <w:p w14:paraId="0755C9E6" w14:textId="77777777" w:rsidR="00F41F74" w:rsidRDefault="00F41F74" w:rsidP="004C48B2">
      <w:pPr>
        <w:keepNext/>
        <w:spacing w:line="276" w:lineRule="auto"/>
      </w:pPr>
      <w:r w:rsidRPr="004A6D22">
        <w:rPr>
          <w:noProof/>
        </w:rPr>
        <w:drawing>
          <wp:inline distT="0" distB="0" distL="0" distR="0" wp14:anchorId="2950C574" wp14:editId="1AB3BE99">
            <wp:extent cx="5624830" cy="1156855"/>
            <wp:effectExtent l="0" t="0" r="0" b="5715"/>
            <wp:docPr id="128031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18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926" cy="11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DB7A5" w14:textId="538F8FE0" w:rsidR="00F41F74" w:rsidRPr="00CD3CA7" w:rsidRDefault="00F41F74" w:rsidP="004C48B2">
      <w:pPr>
        <w:pStyle w:val="Caption"/>
        <w:spacing w:line="276" w:lineRule="auto"/>
        <w:rPr>
          <w:rFonts w:asciiTheme="majorBidi" w:eastAsia="Times New Roman" w:hAnsiTheme="majorBidi" w:cstheme="majorBidi"/>
          <w:b/>
          <w:bCs/>
          <w:i w:val="0"/>
          <w:iCs w:val="0"/>
          <w:color w:val="auto"/>
          <w:kern w:val="0"/>
          <w:sz w:val="20"/>
          <w:szCs w:val="20"/>
          <w14:ligatures w14:val="none"/>
        </w:rPr>
      </w:pPr>
      <w:r w:rsidRPr="00F41F7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F41F7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41F7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F41F7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41F74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F41F7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41F7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.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A736F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Structure of the CPA equation of state showing the combination of the Peng–Robinson cubic term with the SAFT</w:t>
      </w:r>
      <w:r w:rsidRPr="00A736F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noBreakHyphen/>
        <w:t xml:space="preserve">based association contribution as implemented in </w:t>
      </w:r>
      <w:proofErr w:type="spellStart"/>
      <w:r w:rsidRPr="00A736F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PVTsim</w:t>
      </w:r>
      <w:proofErr w:type="spellEnd"/>
      <w:r w:rsidRPr="00A736F8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Nova.</w:t>
      </w:r>
    </w:p>
    <w:p w14:paraId="31196D45" w14:textId="77777777" w:rsidR="00960D7B" w:rsidRPr="00960D7B" w:rsidRDefault="00960D7B" w:rsidP="004C48B2">
      <w:pPr>
        <w:spacing w:line="276" w:lineRule="auto"/>
        <w:rPr>
          <w:rFonts w:asciiTheme="majorBidi" w:hAnsiTheme="majorBidi" w:cstheme="majorBidi"/>
        </w:rPr>
      </w:pPr>
    </w:p>
    <w:p w14:paraId="3D7553F3" w14:textId="77777777" w:rsidR="00960D7B" w:rsidRPr="00FD2658" w:rsidRDefault="00960D7B" w:rsidP="004C48B2">
      <w:pPr>
        <w:spacing w:line="276" w:lineRule="auto"/>
        <w:jc w:val="both"/>
        <w:rPr>
          <w:rFonts w:asciiTheme="majorBidi" w:hAnsiTheme="majorBidi" w:cstheme="majorBidi"/>
        </w:rPr>
      </w:pPr>
    </w:p>
    <w:p w14:paraId="08E6C221" w14:textId="77777777" w:rsidR="00EF1BC3" w:rsidRPr="00FD2658" w:rsidRDefault="00EF1BC3" w:rsidP="004C48B2">
      <w:pPr>
        <w:spacing w:line="276" w:lineRule="auto"/>
        <w:rPr>
          <w:sz w:val="28"/>
          <w:szCs w:val="28"/>
        </w:rPr>
      </w:pPr>
    </w:p>
    <w:sectPr w:rsidR="00EF1BC3" w:rsidRPr="00FD26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7B87" w14:textId="77777777" w:rsidR="00AD337A" w:rsidRDefault="00AD337A" w:rsidP="00546862">
      <w:pPr>
        <w:spacing w:after="0" w:line="240" w:lineRule="auto"/>
      </w:pPr>
      <w:r>
        <w:separator/>
      </w:r>
    </w:p>
  </w:endnote>
  <w:endnote w:type="continuationSeparator" w:id="0">
    <w:p w14:paraId="72DAEB3E" w14:textId="77777777" w:rsidR="00AD337A" w:rsidRDefault="00AD337A" w:rsidP="0054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9715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915D8" w14:textId="01DC4759" w:rsidR="00546862" w:rsidRDefault="00546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435D0C" w14:textId="77777777" w:rsidR="00546862" w:rsidRDefault="00546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87B3" w14:textId="77777777" w:rsidR="00AD337A" w:rsidRDefault="00AD337A" w:rsidP="00546862">
      <w:pPr>
        <w:spacing w:after="0" w:line="240" w:lineRule="auto"/>
      </w:pPr>
      <w:r>
        <w:separator/>
      </w:r>
    </w:p>
  </w:footnote>
  <w:footnote w:type="continuationSeparator" w:id="0">
    <w:p w14:paraId="35139347" w14:textId="77777777" w:rsidR="00AD337A" w:rsidRDefault="00AD337A" w:rsidP="00546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58"/>
    <w:rsid w:val="000A75F9"/>
    <w:rsid w:val="000E005F"/>
    <w:rsid w:val="00107FE0"/>
    <w:rsid w:val="00196E22"/>
    <w:rsid w:val="001A2035"/>
    <w:rsid w:val="002E68C5"/>
    <w:rsid w:val="00365A3C"/>
    <w:rsid w:val="003664BA"/>
    <w:rsid w:val="003B26F2"/>
    <w:rsid w:val="003E4C9B"/>
    <w:rsid w:val="004B05CA"/>
    <w:rsid w:val="004B0A68"/>
    <w:rsid w:val="004C48B2"/>
    <w:rsid w:val="00503353"/>
    <w:rsid w:val="00521CC5"/>
    <w:rsid w:val="00546862"/>
    <w:rsid w:val="005C2AE3"/>
    <w:rsid w:val="006A60BB"/>
    <w:rsid w:val="006E7885"/>
    <w:rsid w:val="0083374C"/>
    <w:rsid w:val="00960D7B"/>
    <w:rsid w:val="00964403"/>
    <w:rsid w:val="00A3122A"/>
    <w:rsid w:val="00AC192A"/>
    <w:rsid w:val="00AD021A"/>
    <w:rsid w:val="00AD337A"/>
    <w:rsid w:val="00BD414C"/>
    <w:rsid w:val="00C54340"/>
    <w:rsid w:val="00CD3CA7"/>
    <w:rsid w:val="00DC115B"/>
    <w:rsid w:val="00E13CC5"/>
    <w:rsid w:val="00E223A5"/>
    <w:rsid w:val="00E23593"/>
    <w:rsid w:val="00E3281A"/>
    <w:rsid w:val="00E64852"/>
    <w:rsid w:val="00EF1BC3"/>
    <w:rsid w:val="00F35BD0"/>
    <w:rsid w:val="00F41F74"/>
    <w:rsid w:val="00FD2658"/>
    <w:rsid w:val="00FD604F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3205E"/>
  <w15:chartTrackingRefBased/>
  <w15:docId w15:val="{3A0CF639-5D4F-4CB5-AF0F-8C785827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658"/>
  </w:style>
  <w:style w:type="paragraph" w:styleId="Heading1">
    <w:name w:val="heading 1"/>
    <w:basedOn w:val="Normal"/>
    <w:next w:val="Normal"/>
    <w:link w:val="Heading1Char"/>
    <w:uiPriority w:val="9"/>
    <w:qFormat/>
    <w:rsid w:val="00FD2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6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6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6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6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5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60D7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0D7B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F41F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6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862"/>
  </w:style>
  <w:style w:type="paragraph" w:styleId="Footer">
    <w:name w:val="footer"/>
    <w:basedOn w:val="Normal"/>
    <w:link w:val="FooterChar"/>
    <w:uiPriority w:val="99"/>
    <w:unhideWhenUsed/>
    <w:rsid w:val="00546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DF26-6C92-4B6E-8052-5204702B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zarafshan</dc:creator>
  <cp:keywords/>
  <dc:description/>
  <cp:lastModifiedBy>Mohammad reza Khorsand</cp:lastModifiedBy>
  <cp:revision>7</cp:revision>
  <dcterms:created xsi:type="dcterms:W3CDTF">2026-04-11T13:07:00Z</dcterms:created>
  <dcterms:modified xsi:type="dcterms:W3CDTF">2026-05-15T18:10:00Z</dcterms:modified>
</cp:coreProperties>
</file>