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B670BD" w14:textId="77777777" w:rsidR="00DE77B2" w:rsidRPr="002F010D" w:rsidRDefault="00DE77B2" w:rsidP="00DE77B2">
      <w:pPr>
        <w:spacing w:line="288" w:lineRule="auto"/>
        <w:rPr>
          <w:rFonts w:ascii="Times New Roman" w:hAnsi="Times New Roman" w:cs="Times New Roman"/>
          <w:b/>
          <w:sz w:val="28"/>
        </w:rPr>
      </w:pPr>
      <w:bookmarkStart w:id="0" w:name="_Hlk51664768"/>
      <w:r w:rsidRPr="002F010D">
        <w:rPr>
          <w:rFonts w:ascii="Times New Roman" w:hAnsi="Times New Roman" w:cs="Times New Roman"/>
          <w:b/>
          <w:sz w:val="28"/>
        </w:rPr>
        <w:t>An accelerated thrombosis model for computational fluid dynamics simulations in rotary blood pumps</w:t>
      </w:r>
    </w:p>
    <w:bookmarkEnd w:id="0"/>
    <w:p w14:paraId="780FDC32" w14:textId="77777777" w:rsidR="00DE77B2" w:rsidRPr="002F010D" w:rsidRDefault="00DE77B2" w:rsidP="00DE77B2">
      <w:pPr>
        <w:spacing w:line="288" w:lineRule="auto"/>
        <w:rPr>
          <w:rFonts w:ascii="Times New Roman" w:hAnsi="Times New Roman" w:cs="Times New Roman"/>
        </w:rPr>
      </w:pPr>
    </w:p>
    <w:p w14:paraId="137F6CB1" w14:textId="77777777" w:rsidR="00DE77B2" w:rsidRPr="002F010D" w:rsidRDefault="00DE77B2" w:rsidP="00DE77B2">
      <w:pPr>
        <w:pStyle w:val="NoSpacing"/>
        <w:spacing w:line="288" w:lineRule="auto"/>
        <w:jc w:val="both"/>
        <w:rPr>
          <w:rFonts w:ascii="Times New Roman" w:hAnsi="Times New Roman" w:cs="Times New Roman"/>
          <w:sz w:val="24"/>
          <w:szCs w:val="24"/>
          <w:vertAlign w:val="superscript"/>
          <w:lang w:val="de-DE"/>
        </w:rPr>
      </w:pPr>
      <w:bookmarkStart w:id="1" w:name="_Hlk51664785"/>
      <w:r w:rsidRPr="002F010D">
        <w:rPr>
          <w:rFonts w:ascii="Times New Roman" w:hAnsi="Times New Roman" w:cs="Times New Roman"/>
          <w:sz w:val="24"/>
          <w:szCs w:val="24"/>
          <w:lang w:val="de-DE"/>
        </w:rPr>
        <w:t>Christopher Blum</w:t>
      </w:r>
      <w:r w:rsidRPr="002F010D">
        <w:rPr>
          <w:rFonts w:ascii="Times New Roman" w:hAnsi="Times New Roman" w:cs="Times New Roman"/>
          <w:sz w:val="24"/>
          <w:szCs w:val="24"/>
          <w:vertAlign w:val="superscript"/>
          <w:lang w:val="de-DE"/>
        </w:rPr>
        <w:t>a</w:t>
      </w:r>
      <w:r w:rsidRPr="002F010D">
        <w:rPr>
          <w:rFonts w:ascii="Times New Roman" w:hAnsi="Times New Roman" w:cs="Times New Roman"/>
          <w:sz w:val="24"/>
          <w:szCs w:val="24"/>
          <w:lang w:val="de-DE"/>
        </w:rPr>
        <w:t>, Sascha Groß-Hardt</w:t>
      </w:r>
      <w:r w:rsidRPr="002F010D">
        <w:rPr>
          <w:rFonts w:ascii="Times New Roman" w:hAnsi="Times New Roman" w:cs="Times New Roman"/>
          <w:sz w:val="24"/>
          <w:szCs w:val="24"/>
          <w:vertAlign w:val="superscript"/>
          <w:lang w:val="de-DE"/>
        </w:rPr>
        <w:t>b</w:t>
      </w:r>
      <w:r w:rsidRPr="002F010D">
        <w:rPr>
          <w:rFonts w:ascii="Times New Roman" w:hAnsi="Times New Roman" w:cs="Times New Roman"/>
          <w:sz w:val="24"/>
          <w:szCs w:val="24"/>
          <w:lang w:val="de-DE"/>
        </w:rPr>
        <w:t>, Ulrich Steinseifer</w:t>
      </w:r>
      <w:r w:rsidRPr="002F010D">
        <w:rPr>
          <w:rFonts w:ascii="Times New Roman" w:hAnsi="Times New Roman" w:cs="Times New Roman"/>
          <w:sz w:val="24"/>
          <w:szCs w:val="24"/>
          <w:vertAlign w:val="superscript"/>
          <w:lang w:val="de-DE"/>
        </w:rPr>
        <w:t>a</w:t>
      </w:r>
      <w:r w:rsidRPr="002F010D">
        <w:rPr>
          <w:rFonts w:ascii="Times New Roman" w:hAnsi="Times New Roman" w:cs="Times New Roman"/>
          <w:sz w:val="24"/>
          <w:szCs w:val="24"/>
          <w:lang w:val="de-DE"/>
        </w:rPr>
        <w:t>, Michael Neidlin</w:t>
      </w:r>
      <w:r w:rsidRPr="002F010D">
        <w:rPr>
          <w:rFonts w:ascii="Times New Roman" w:hAnsi="Times New Roman" w:cs="Times New Roman"/>
          <w:sz w:val="24"/>
          <w:szCs w:val="24"/>
          <w:vertAlign w:val="superscript"/>
          <w:lang w:val="de-DE"/>
        </w:rPr>
        <w:t>a,*</w:t>
      </w:r>
    </w:p>
    <w:bookmarkEnd w:id="1"/>
    <w:p w14:paraId="1A7985F7" w14:textId="77777777" w:rsidR="00DE77B2" w:rsidRPr="002F010D" w:rsidRDefault="00DE77B2" w:rsidP="00DE77B2">
      <w:pPr>
        <w:spacing w:line="288" w:lineRule="auto"/>
        <w:rPr>
          <w:rFonts w:ascii="Times New Roman" w:hAnsi="Times New Roman" w:cs="Times New Roman"/>
          <w:b/>
          <w:lang w:val="de-DE"/>
        </w:rPr>
      </w:pPr>
    </w:p>
    <w:p w14:paraId="43150908" w14:textId="77777777" w:rsidR="00DE77B2" w:rsidRPr="002F010D" w:rsidRDefault="00DE77B2" w:rsidP="00DE77B2">
      <w:pPr>
        <w:pStyle w:val="Heading1"/>
        <w:numPr>
          <w:ilvl w:val="0"/>
          <w:numId w:val="0"/>
        </w:numPr>
        <w:spacing w:line="288" w:lineRule="auto"/>
        <w:ind w:left="432" w:hanging="432"/>
        <w:rPr>
          <w:rFonts w:ascii="Times New Roman" w:hAnsi="Times New Roman" w:cs="Times New Roman"/>
        </w:rPr>
      </w:pPr>
      <w:r w:rsidRPr="002F010D">
        <w:rPr>
          <w:rFonts w:ascii="Times New Roman" w:hAnsi="Times New Roman" w:cs="Times New Roman"/>
        </w:rPr>
        <w:t>Affiliations:</w:t>
      </w:r>
    </w:p>
    <w:p w14:paraId="19084982" w14:textId="77777777" w:rsidR="00DE77B2" w:rsidRPr="002F010D" w:rsidRDefault="00DE77B2" w:rsidP="00DE77B2">
      <w:pPr>
        <w:pStyle w:val="NoSpacing"/>
        <w:numPr>
          <w:ilvl w:val="0"/>
          <w:numId w:val="1"/>
        </w:numPr>
        <w:spacing w:line="288" w:lineRule="auto"/>
        <w:jc w:val="both"/>
        <w:rPr>
          <w:rFonts w:ascii="Times New Roman" w:hAnsi="Times New Roman" w:cs="Times New Roman"/>
          <w:sz w:val="24"/>
          <w:szCs w:val="24"/>
          <w:lang w:val="en-US"/>
        </w:rPr>
      </w:pPr>
      <w:r w:rsidRPr="002F010D">
        <w:rPr>
          <w:rFonts w:ascii="Times New Roman" w:hAnsi="Times New Roman" w:cs="Times New Roman"/>
          <w:sz w:val="24"/>
          <w:szCs w:val="24"/>
          <w:lang w:val="en-US"/>
        </w:rPr>
        <w:t>Department of Cardiovascular Engineering, Institute of Applied Medical Engineering, Medical Faculty, RWTH Aachen University, Aachen, Germany</w:t>
      </w:r>
    </w:p>
    <w:p w14:paraId="6DF8AC48" w14:textId="77777777" w:rsidR="00DE77B2" w:rsidRPr="002F010D" w:rsidRDefault="00DE77B2" w:rsidP="00DE77B2">
      <w:pPr>
        <w:pStyle w:val="NoSpacing"/>
        <w:numPr>
          <w:ilvl w:val="0"/>
          <w:numId w:val="1"/>
        </w:numPr>
        <w:spacing w:line="288" w:lineRule="auto"/>
        <w:jc w:val="both"/>
        <w:rPr>
          <w:rFonts w:ascii="Times New Roman" w:hAnsi="Times New Roman" w:cs="Times New Roman"/>
          <w:sz w:val="24"/>
          <w:szCs w:val="24"/>
          <w:lang w:val="en-US"/>
        </w:rPr>
      </w:pPr>
      <w:r w:rsidRPr="002F010D">
        <w:rPr>
          <w:rFonts w:ascii="Times New Roman" w:hAnsi="Times New Roman" w:cs="Times New Roman"/>
          <w:sz w:val="24"/>
          <w:szCs w:val="24"/>
          <w:lang w:val="en-US"/>
        </w:rPr>
        <w:t>enmodes GmbH</w:t>
      </w:r>
      <w:bookmarkStart w:id="2" w:name="_GoBack"/>
      <w:bookmarkEnd w:id="2"/>
      <w:r w:rsidRPr="002F010D">
        <w:rPr>
          <w:rFonts w:ascii="Times New Roman" w:hAnsi="Times New Roman" w:cs="Times New Roman"/>
          <w:sz w:val="24"/>
          <w:szCs w:val="24"/>
          <w:lang w:val="en-US"/>
        </w:rPr>
        <w:t>, Aachen, Germany</w:t>
      </w:r>
    </w:p>
    <w:p w14:paraId="77F63EDD" w14:textId="77777777" w:rsidR="00DE77B2" w:rsidRPr="002F010D" w:rsidRDefault="00DE77B2" w:rsidP="00DE77B2">
      <w:pPr>
        <w:spacing w:line="288" w:lineRule="auto"/>
        <w:rPr>
          <w:rFonts w:ascii="Times New Roman" w:hAnsi="Times New Roman" w:cs="Times New Roman"/>
        </w:rPr>
      </w:pPr>
    </w:p>
    <w:p w14:paraId="3CD6961A" w14:textId="77777777" w:rsidR="00DE77B2" w:rsidRPr="002F010D" w:rsidRDefault="00DE77B2" w:rsidP="00DE77B2">
      <w:pPr>
        <w:pStyle w:val="Heading1"/>
        <w:numPr>
          <w:ilvl w:val="0"/>
          <w:numId w:val="0"/>
        </w:numPr>
        <w:spacing w:line="288" w:lineRule="auto"/>
        <w:ind w:left="432" w:hanging="432"/>
        <w:rPr>
          <w:rFonts w:ascii="Times New Roman" w:hAnsi="Times New Roman" w:cs="Times New Roman"/>
        </w:rPr>
      </w:pPr>
      <w:r w:rsidRPr="002F010D">
        <w:rPr>
          <w:rFonts w:ascii="Times New Roman" w:hAnsi="Times New Roman" w:cs="Times New Roman"/>
        </w:rPr>
        <w:t>*Correspondence:</w:t>
      </w:r>
    </w:p>
    <w:p w14:paraId="0F4939FE" w14:textId="77777777" w:rsidR="00DE77B2" w:rsidRPr="002F010D" w:rsidRDefault="00DE77B2" w:rsidP="00DE77B2">
      <w:pPr>
        <w:pStyle w:val="NoSpacing"/>
        <w:spacing w:line="288" w:lineRule="auto"/>
        <w:jc w:val="both"/>
        <w:rPr>
          <w:rFonts w:ascii="Times New Roman" w:hAnsi="Times New Roman" w:cs="Times New Roman"/>
          <w:sz w:val="24"/>
          <w:szCs w:val="24"/>
          <w:lang w:val="en-US"/>
        </w:rPr>
      </w:pPr>
      <w:r w:rsidRPr="002F010D">
        <w:rPr>
          <w:rFonts w:ascii="Times New Roman" w:hAnsi="Times New Roman" w:cs="Times New Roman"/>
          <w:sz w:val="24"/>
          <w:szCs w:val="24"/>
          <w:lang w:val="en-US"/>
        </w:rPr>
        <w:t>Name: Michael Neidlin</w:t>
      </w:r>
    </w:p>
    <w:p w14:paraId="074270E3" w14:textId="77777777" w:rsidR="00DE77B2" w:rsidRPr="002F010D" w:rsidRDefault="00DE77B2" w:rsidP="00DE77B2">
      <w:pPr>
        <w:pStyle w:val="NoSpacing"/>
        <w:spacing w:line="288" w:lineRule="auto"/>
        <w:jc w:val="both"/>
        <w:rPr>
          <w:rFonts w:ascii="Times New Roman" w:hAnsi="Times New Roman" w:cs="Times New Roman"/>
          <w:sz w:val="24"/>
          <w:szCs w:val="24"/>
          <w:lang w:val="en-US"/>
        </w:rPr>
      </w:pPr>
      <w:r w:rsidRPr="002F010D">
        <w:rPr>
          <w:rFonts w:ascii="Times New Roman" w:hAnsi="Times New Roman" w:cs="Times New Roman"/>
          <w:sz w:val="24"/>
          <w:szCs w:val="24"/>
          <w:lang w:val="en-US"/>
        </w:rPr>
        <w:t>Address: Institute of Applied Medical Engineering, Pauwelsstraße 20</w:t>
      </w:r>
    </w:p>
    <w:p w14:paraId="1AF15D01" w14:textId="77777777" w:rsidR="00DE77B2" w:rsidRPr="002F010D" w:rsidRDefault="00DE77B2" w:rsidP="00DE77B2">
      <w:pPr>
        <w:pStyle w:val="NoSpacing"/>
        <w:spacing w:line="288" w:lineRule="auto"/>
        <w:jc w:val="both"/>
        <w:rPr>
          <w:rFonts w:ascii="Times New Roman" w:hAnsi="Times New Roman" w:cs="Times New Roman"/>
          <w:sz w:val="24"/>
          <w:szCs w:val="24"/>
          <w:lang w:val="en-US"/>
        </w:rPr>
      </w:pPr>
      <w:r w:rsidRPr="002F010D">
        <w:rPr>
          <w:rFonts w:ascii="Times New Roman" w:hAnsi="Times New Roman" w:cs="Times New Roman"/>
          <w:sz w:val="24"/>
          <w:szCs w:val="24"/>
          <w:lang w:val="en-US"/>
        </w:rPr>
        <w:t>52074 Aachen, Germany</w:t>
      </w:r>
    </w:p>
    <w:p w14:paraId="3889AD1B" w14:textId="77777777" w:rsidR="00DE77B2" w:rsidRPr="002F010D" w:rsidRDefault="00DE77B2" w:rsidP="00DE77B2">
      <w:pPr>
        <w:pStyle w:val="NoSpacing"/>
        <w:spacing w:line="288" w:lineRule="auto"/>
        <w:jc w:val="both"/>
        <w:rPr>
          <w:rStyle w:val="Hyperlink"/>
          <w:rFonts w:ascii="Times New Roman" w:hAnsi="Times New Roman" w:cs="Times New Roman"/>
          <w:sz w:val="24"/>
          <w:szCs w:val="24"/>
          <w:lang w:val="en-US"/>
        </w:rPr>
      </w:pPr>
      <w:r w:rsidRPr="002F010D">
        <w:rPr>
          <w:rFonts w:ascii="Times New Roman" w:hAnsi="Times New Roman" w:cs="Times New Roman"/>
          <w:sz w:val="24"/>
          <w:szCs w:val="24"/>
          <w:lang w:val="en-US"/>
        </w:rPr>
        <w:t xml:space="preserve">Email address: </w:t>
      </w:r>
      <w:hyperlink r:id="rId8" w:history="1">
        <w:r w:rsidRPr="002F010D">
          <w:rPr>
            <w:rStyle w:val="Hyperlink"/>
            <w:rFonts w:ascii="Times New Roman" w:hAnsi="Times New Roman" w:cs="Times New Roman"/>
            <w:sz w:val="24"/>
            <w:szCs w:val="24"/>
            <w:lang w:val="en-US"/>
          </w:rPr>
          <w:t>neidlin@ame.rwth-aachen.de</w:t>
        </w:r>
      </w:hyperlink>
    </w:p>
    <w:p w14:paraId="14C2B210" w14:textId="77777777" w:rsidR="00DE77B2" w:rsidRPr="002F010D" w:rsidRDefault="00DE77B2" w:rsidP="00DE77B2">
      <w:pPr>
        <w:spacing w:line="288" w:lineRule="auto"/>
        <w:rPr>
          <w:rFonts w:ascii="Times New Roman" w:hAnsi="Times New Roman" w:cs="Times New Roman"/>
          <w:b/>
        </w:rPr>
      </w:pPr>
      <w:r w:rsidRPr="002F010D">
        <w:rPr>
          <w:rFonts w:ascii="Times New Roman" w:hAnsi="Times New Roman" w:cs="Times New Roman"/>
          <w:b/>
        </w:rPr>
        <w:br w:type="page"/>
      </w:r>
    </w:p>
    <w:p w14:paraId="0C35CDB5" w14:textId="77777777" w:rsidR="00694344" w:rsidRPr="002F010D" w:rsidRDefault="00694344" w:rsidP="00DE77B2">
      <w:pPr>
        <w:spacing w:line="288" w:lineRule="auto"/>
        <w:rPr>
          <w:rFonts w:ascii="Times New Roman" w:hAnsi="Times New Roman" w:cs="Times New Roman"/>
          <w:b/>
          <w:sz w:val="28"/>
        </w:rPr>
      </w:pPr>
      <w:r w:rsidRPr="002F010D">
        <w:rPr>
          <w:rFonts w:ascii="Times New Roman" w:hAnsi="Times New Roman" w:cs="Times New Roman"/>
          <w:b/>
          <w:sz w:val="28"/>
        </w:rPr>
        <w:lastRenderedPageBreak/>
        <w:t>Supplementary methods</w:t>
      </w:r>
    </w:p>
    <w:p w14:paraId="07214D95" w14:textId="77777777" w:rsidR="00DE77B2" w:rsidRPr="002F010D" w:rsidRDefault="00DE77B2" w:rsidP="00DE77B2">
      <w:pPr>
        <w:spacing w:line="288" w:lineRule="auto"/>
        <w:rPr>
          <w:rFonts w:ascii="Times New Roman" w:hAnsi="Times New Roman" w:cs="Times New Roman"/>
          <w:b/>
          <w:sz w:val="28"/>
        </w:rPr>
      </w:pPr>
    </w:p>
    <w:p w14:paraId="23AA02C8" w14:textId="77777777" w:rsidR="00DE77B2" w:rsidRPr="002F010D" w:rsidRDefault="00DE77B2" w:rsidP="00DE77B2">
      <w:pPr>
        <w:spacing w:line="288" w:lineRule="auto"/>
        <w:rPr>
          <w:rFonts w:ascii="Times New Roman" w:hAnsi="Times New Roman" w:cs="Times New Roman"/>
          <w:i/>
        </w:rPr>
      </w:pPr>
      <w:r w:rsidRPr="002F010D">
        <w:rPr>
          <w:rFonts w:ascii="Times New Roman" w:hAnsi="Times New Roman" w:cs="Times New Roman"/>
          <w:i/>
        </w:rPr>
        <w:t>Model structure</w:t>
      </w:r>
    </w:p>
    <w:p w14:paraId="4C39683B" w14:textId="77777777" w:rsidR="00DE77B2" w:rsidRPr="002F010D" w:rsidRDefault="00DE77B2" w:rsidP="00DE77B2">
      <w:pPr>
        <w:spacing w:line="288" w:lineRule="auto"/>
        <w:rPr>
          <w:rFonts w:ascii="Times New Roman" w:hAnsi="Times New Roman" w:cs="Times New Roman"/>
          <w:color w:val="000000" w:themeColor="text1"/>
        </w:rPr>
      </w:pPr>
      <w:r w:rsidRPr="002F010D">
        <w:rPr>
          <w:rFonts w:ascii="Times New Roman" w:hAnsi="Times New Roman" w:cs="Times New Roman"/>
          <w:color w:val="000000" w:themeColor="text1"/>
        </w:rPr>
        <w:t>To get an overview of how all parameters and equations of the model are related to each other, the following Figure S1 is helpful. It shows the structure of the accelerated thrombosis model as well as the initial model developed by Taylor et al.:</w:t>
      </w:r>
    </w:p>
    <w:p w14:paraId="51607467" w14:textId="77777777" w:rsidR="00DE77B2" w:rsidRPr="002F010D" w:rsidRDefault="00DE77B2" w:rsidP="00DE77B2">
      <w:pPr>
        <w:spacing w:line="288" w:lineRule="auto"/>
        <w:rPr>
          <w:rFonts w:ascii="Times New Roman" w:hAnsi="Times New Roman" w:cs="Times New Roman"/>
          <w:color w:val="000000" w:themeColor="text1"/>
        </w:rPr>
      </w:pPr>
    </w:p>
    <w:p w14:paraId="7C5E6C81" w14:textId="3A4F8441" w:rsidR="00DE77B2" w:rsidRPr="002F010D" w:rsidRDefault="00213CE8" w:rsidP="00213CE8">
      <w:pPr>
        <w:pStyle w:val="TAbbildung"/>
        <w:rPr>
          <w:rFonts w:ascii="Times New Roman" w:hAnsi="Times New Roman" w:cs="Times New Roman"/>
          <w:color w:val="000000" w:themeColor="text1"/>
          <w:lang w:val="en-US"/>
        </w:rPr>
      </w:pPr>
      <w:r w:rsidRPr="002F010D">
        <w:rPr>
          <w:rFonts w:ascii="Times New Roman" w:hAnsi="Times New Roman" w:cs="Times New Roman"/>
          <w:noProof/>
          <w:color w:val="000000" w:themeColor="text1"/>
          <w:lang w:val="en-US" w:bidi="ar-SA"/>
        </w:rPr>
        <w:drawing>
          <wp:inline distT="0" distB="0" distL="0" distR="0" wp14:anchorId="510B8BE0" wp14:editId="63D4C046">
            <wp:extent cx="5503863" cy="2889604"/>
            <wp:effectExtent l="0" t="0" r="1905" b="63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9111" cy="2892359"/>
                    </a:xfrm>
                    <a:prstGeom prst="rect">
                      <a:avLst/>
                    </a:prstGeom>
                    <a:noFill/>
                    <a:ln>
                      <a:noFill/>
                    </a:ln>
                  </pic:spPr>
                </pic:pic>
              </a:graphicData>
            </a:graphic>
          </wp:inline>
        </w:drawing>
      </w:r>
    </w:p>
    <w:p w14:paraId="4D758FF1" w14:textId="77777777" w:rsidR="00DE77B2" w:rsidRPr="002F010D" w:rsidRDefault="00DE77B2" w:rsidP="00DE77B2">
      <w:pPr>
        <w:pStyle w:val="Caption"/>
        <w:spacing w:line="288" w:lineRule="auto"/>
        <w:jc w:val="center"/>
        <w:rPr>
          <w:rFonts w:ascii="Times New Roman" w:hAnsi="Times New Roman" w:cs="Times New Roman"/>
          <w:color w:val="000000" w:themeColor="text1"/>
        </w:rPr>
      </w:pPr>
      <w:bookmarkStart w:id="3" w:name="_Toc69913827"/>
      <w:r w:rsidRPr="002F010D">
        <w:rPr>
          <w:rFonts w:ascii="Times New Roman" w:hAnsi="Times New Roman" w:cs="Times New Roman"/>
          <w:color w:val="000000" w:themeColor="text1"/>
        </w:rPr>
        <w:t>Figure S1: Overview of all equations and parameters involved in the Taylor model</w:t>
      </w:r>
      <w:bookmarkEnd w:id="3"/>
      <w:r w:rsidRPr="002F010D">
        <w:rPr>
          <w:rFonts w:ascii="Times New Roman" w:hAnsi="Times New Roman" w:cs="Times New Roman"/>
          <w:color w:val="000000" w:themeColor="text1"/>
        </w:rPr>
        <w:t>. Above dashed line: Structure and parameters of the accelerated thrombosis model</w:t>
      </w:r>
    </w:p>
    <w:p w14:paraId="321FECCA" w14:textId="77777777" w:rsidR="00DE77B2" w:rsidRPr="002F010D" w:rsidRDefault="00DE77B2" w:rsidP="00DE77B2">
      <w:pPr>
        <w:spacing w:line="288" w:lineRule="auto"/>
        <w:rPr>
          <w:rFonts w:ascii="Times New Roman" w:hAnsi="Times New Roman" w:cs="Times New Roman"/>
          <w:color w:val="000000" w:themeColor="text1"/>
        </w:rPr>
      </w:pPr>
    </w:p>
    <w:p w14:paraId="0DCBCBDD" w14:textId="49853EB3" w:rsidR="00DE77B2" w:rsidRPr="002F010D" w:rsidRDefault="00DE77B2" w:rsidP="00DE77B2">
      <w:pPr>
        <w:spacing w:line="288" w:lineRule="auto"/>
        <w:rPr>
          <w:rFonts w:ascii="Times New Roman" w:hAnsi="Times New Roman" w:cs="Times New Roman"/>
          <w:color w:val="000000" w:themeColor="text1"/>
        </w:rPr>
      </w:pPr>
      <w:r w:rsidRPr="002F010D">
        <w:rPr>
          <w:rFonts w:ascii="Times New Roman" w:hAnsi="Times New Roman" w:cs="Times New Roman"/>
          <w:color w:val="000000" w:themeColor="text1"/>
        </w:rPr>
        <w:t xml:space="preserve">Equations are marked with square fields, species with oval fields and influence factors and parameters with rounded rectangular fields. Above the dashed dividing line in the middle of are the three convections diffusion equations and their influencing parameters. This area is therefore also the area of the </w:t>
      </w:r>
      <w:r w:rsidRPr="002F010D">
        <w:rPr>
          <w:rFonts w:ascii="Times New Roman" w:hAnsi="Times New Roman" w:cs="Times New Roman"/>
        </w:rPr>
        <w:t>accelerated</w:t>
      </w:r>
      <w:r w:rsidRPr="002F010D">
        <w:rPr>
          <w:rFonts w:ascii="Times New Roman" w:hAnsi="Times New Roman" w:cs="Times New Roman"/>
          <w:color w:val="000000" w:themeColor="text1"/>
        </w:rPr>
        <w:t xml:space="preserve"> thrombosis model. </w:t>
      </w:r>
    </w:p>
    <w:p w14:paraId="18A653E1" w14:textId="3FECA638" w:rsidR="00730A9B" w:rsidRPr="002F010D" w:rsidRDefault="00730A9B" w:rsidP="00DE77B2">
      <w:pPr>
        <w:spacing w:line="288" w:lineRule="auto"/>
        <w:rPr>
          <w:rFonts w:ascii="Times New Roman" w:hAnsi="Times New Roman" w:cs="Times New Roman"/>
          <w:color w:val="000000" w:themeColor="text1"/>
        </w:rPr>
      </w:pPr>
    </w:p>
    <w:p w14:paraId="5BFF65DD" w14:textId="394F9CC1" w:rsidR="00730A9B" w:rsidRPr="002F010D" w:rsidRDefault="00730A9B" w:rsidP="00730A9B">
      <w:pPr>
        <w:spacing w:line="288" w:lineRule="auto"/>
        <w:rPr>
          <w:rFonts w:ascii="Times New Roman" w:hAnsi="Times New Roman" w:cs="Times New Roman"/>
          <w:i/>
        </w:rPr>
      </w:pPr>
      <w:r w:rsidRPr="002F010D">
        <w:rPr>
          <w:rFonts w:ascii="Times New Roman" w:hAnsi="Times New Roman" w:cs="Times New Roman"/>
          <w:i/>
        </w:rPr>
        <w:t xml:space="preserve">Mesh sensitivity </w:t>
      </w:r>
    </w:p>
    <w:p w14:paraId="3E3D79AC" w14:textId="6323CEDF" w:rsidR="00730A9B" w:rsidRPr="002F010D" w:rsidRDefault="00A43C3E" w:rsidP="00730A9B">
      <w:pPr>
        <w:spacing w:line="288" w:lineRule="auto"/>
        <w:rPr>
          <w:rFonts w:ascii="Times New Roman" w:hAnsi="Times New Roman" w:cs="Times New Roman"/>
          <w:iCs/>
        </w:rPr>
      </w:pPr>
      <w:r w:rsidRPr="002F010D">
        <w:rPr>
          <w:rFonts w:ascii="Times New Roman" w:hAnsi="Times New Roman" w:cs="Times New Roman"/>
          <w:iCs/>
        </w:rPr>
        <w:t xml:space="preserve">Figure S2 shows a mesh independence study with respect to scaled volume averaged AP concentration. The AP concentrations in regions 1-4 for 3 different meshes between 4.2 million elements and 16.7 million elements are shown. The averaged percentage deviation across the four regions between the 4.2 million mesh and the 12 million mesh is </w:t>
      </w:r>
      <w:r w:rsidR="007E5E31" w:rsidRPr="002F010D">
        <w:rPr>
          <w:rFonts w:ascii="Times New Roman" w:hAnsi="Times New Roman" w:cs="Times New Roman"/>
          <w:iCs/>
        </w:rPr>
        <w:t>66.6%</w:t>
      </w:r>
      <w:r w:rsidRPr="002F010D">
        <w:rPr>
          <w:rFonts w:ascii="Times New Roman" w:hAnsi="Times New Roman" w:cs="Times New Roman"/>
          <w:iCs/>
        </w:rPr>
        <w:t xml:space="preserve"> percent. Between the 12 million mesh and the 16.7 million mesh, this averaged deviation is only </w:t>
      </w:r>
      <w:r w:rsidR="007E5E31" w:rsidRPr="002F010D">
        <w:rPr>
          <w:rFonts w:ascii="Times New Roman" w:hAnsi="Times New Roman" w:cs="Times New Roman"/>
          <w:iCs/>
        </w:rPr>
        <w:t>2.3%</w:t>
      </w:r>
      <w:r w:rsidRPr="002F010D">
        <w:rPr>
          <w:rFonts w:ascii="Times New Roman" w:hAnsi="Times New Roman" w:cs="Times New Roman"/>
          <w:iCs/>
        </w:rPr>
        <w:t xml:space="preserve"> percent. Since increasing the number of elements from 12 to 16.7 million yields to similar results </w:t>
      </w:r>
      <w:r w:rsidR="0024417A" w:rsidRPr="002F010D">
        <w:rPr>
          <w:rFonts w:ascii="Times New Roman" w:hAnsi="Times New Roman" w:cs="Times New Roman"/>
          <w:iCs/>
        </w:rPr>
        <w:t xml:space="preserve">compared </w:t>
      </w:r>
      <w:r w:rsidRPr="002F010D">
        <w:rPr>
          <w:rFonts w:ascii="Times New Roman" w:hAnsi="Times New Roman" w:cs="Times New Roman"/>
          <w:iCs/>
        </w:rPr>
        <w:t xml:space="preserve">to the 12 million element mesh in terms of AP distribution, the 12 million mesh is used for calculations in this </w:t>
      </w:r>
      <w:r w:rsidR="0024417A" w:rsidRPr="002F010D">
        <w:rPr>
          <w:rFonts w:ascii="Times New Roman" w:hAnsi="Times New Roman" w:cs="Times New Roman"/>
          <w:iCs/>
        </w:rPr>
        <w:t>manuscript</w:t>
      </w:r>
      <w:r w:rsidRPr="002F010D">
        <w:rPr>
          <w:rFonts w:ascii="Times New Roman" w:hAnsi="Times New Roman" w:cs="Times New Roman"/>
          <w:iCs/>
        </w:rPr>
        <w:t>.</w:t>
      </w:r>
      <w:r w:rsidR="007E5E31" w:rsidRPr="002F010D">
        <w:rPr>
          <w:rFonts w:ascii="Times New Roman" w:hAnsi="Times New Roman" w:cs="Times New Roman"/>
          <w:iCs/>
        </w:rPr>
        <w:t xml:space="preserve"> </w:t>
      </w:r>
    </w:p>
    <w:p w14:paraId="74B1971F" w14:textId="77777777" w:rsidR="00730A9B" w:rsidRPr="002F010D" w:rsidRDefault="00730A9B" w:rsidP="00DE77B2">
      <w:pPr>
        <w:spacing w:line="288" w:lineRule="auto"/>
        <w:rPr>
          <w:rFonts w:ascii="Times New Roman" w:hAnsi="Times New Roman" w:cs="Times New Roman"/>
          <w:color w:val="000000" w:themeColor="text1"/>
        </w:rPr>
      </w:pPr>
    </w:p>
    <w:p w14:paraId="58676E19" w14:textId="0F414971" w:rsidR="00730A9B" w:rsidRPr="002F010D" w:rsidRDefault="00ED546A" w:rsidP="00730A9B">
      <w:pPr>
        <w:pStyle w:val="TAbbildung"/>
      </w:pPr>
      <w:r w:rsidRPr="002F010D">
        <w:rPr>
          <w:noProof/>
          <w:lang w:val="en-US" w:bidi="ar-SA"/>
        </w:rPr>
        <w:drawing>
          <wp:inline distT="0" distB="0" distL="0" distR="0" wp14:anchorId="56AB2D5F" wp14:editId="78928457">
            <wp:extent cx="2876550" cy="287655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1"/>
                        </a:ext>
                      </a:extLst>
                    </a:blip>
                    <a:stretch>
                      <a:fillRect/>
                    </a:stretch>
                  </pic:blipFill>
                  <pic:spPr>
                    <a:xfrm>
                      <a:off x="0" y="0"/>
                      <a:ext cx="2876550" cy="2876550"/>
                    </a:xfrm>
                    <a:prstGeom prst="rect">
                      <a:avLst/>
                    </a:prstGeom>
                  </pic:spPr>
                </pic:pic>
              </a:graphicData>
            </a:graphic>
          </wp:inline>
        </w:drawing>
      </w:r>
    </w:p>
    <w:p w14:paraId="6C8E29E8" w14:textId="2959CBE7" w:rsidR="00730A9B" w:rsidRPr="002F010D" w:rsidRDefault="00730A9B" w:rsidP="00730A9B">
      <w:pPr>
        <w:pStyle w:val="Caption"/>
        <w:jc w:val="center"/>
        <w:rPr>
          <w:rFonts w:ascii="Times New Roman" w:hAnsi="Times New Roman" w:cs="Times New Roman"/>
          <w:lang w:eastAsia="en-US" w:bidi="en-US"/>
        </w:rPr>
      </w:pPr>
      <w:r w:rsidRPr="002F010D">
        <w:rPr>
          <w:rFonts w:ascii="Times New Roman" w:hAnsi="Times New Roman" w:cs="Times New Roman"/>
          <w:lang w:eastAsia="en-US" w:bidi="en-US"/>
        </w:rPr>
        <w:t>Figure S2:</w:t>
      </w:r>
      <w:r w:rsidR="00563064" w:rsidRPr="002F010D">
        <w:rPr>
          <w:rFonts w:ascii="Times New Roman" w:hAnsi="Times New Roman" w:cs="Times New Roman"/>
          <w:lang w:eastAsia="en-US" w:bidi="en-US"/>
        </w:rPr>
        <w:t xml:space="preserve"> Mesh independence study of 3 meshes with element count form 4.2 million to 16.7 million elements with respect to scaled volume averaged AP concentration</w:t>
      </w:r>
    </w:p>
    <w:p w14:paraId="5E58A5E4" w14:textId="77777777" w:rsidR="00DE77B2" w:rsidRPr="002F010D" w:rsidRDefault="00DE77B2" w:rsidP="00DE77B2">
      <w:pPr>
        <w:spacing w:line="288" w:lineRule="auto"/>
        <w:rPr>
          <w:rFonts w:ascii="Times New Roman" w:hAnsi="Times New Roman" w:cs="Times New Roman"/>
        </w:rPr>
      </w:pPr>
    </w:p>
    <w:p w14:paraId="09E0F60C" w14:textId="77777777" w:rsidR="00DE77B2" w:rsidRPr="002F010D" w:rsidRDefault="00DE77B2" w:rsidP="00DE77B2">
      <w:pPr>
        <w:spacing w:line="288" w:lineRule="auto"/>
        <w:rPr>
          <w:rFonts w:ascii="Times New Roman" w:hAnsi="Times New Roman" w:cs="Times New Roman"/>
          <w:i/>
        </w:rPr>
      </w:pPr>
      <w:r w:rsidRPr="002F010D">
        <w:rPr>
          <w:rFonts w:ascii="Times New Roman" w:hAnsi="Times New Roman" w:cs="Times New Roman"/>
          <w:i/>
        </w:rPr>
        <w:t>Bearing representation</w:t>
      </w:r>
    </w:p>
    <w:p w14:paraId="164BD226" w14:textId="088D81E6" w:rsidR="00DE77B2" w:rsidRPr="002F010D" w:rsidRDefault="006F4CE6" w:rsidP="00DE77B2">
      <w:pPr>
        <w:spacing w:line="288" w:lineRule="auto"/>
        <w:rPr>
          <w:rFonts w:ascii="Times New Roman" w:hAnsi="Times New Roman" w:cs="Times New Roman"/>
        </w:rPr>
      </w:pPr>
      <w:r w:rsidRPr="002F010D">
        <w:rPr>
          <w:rFonts w:ascii="Times New Roman" w:hAnsi="Times New Roman" w:cs="Times New Roman"/>
          <w:color w:val="000000" w:themeColor="text1"/>
        </w:rPr>
        <w:t>In the Figure S</w:t>
      </w:r>
      <w:r w:rsidR="00730A9B" w:rsidRPr="002F010D">
        <w:rPr>
          <w:rFonts w:ascii="Times New Roman" w:hAnsi="Times New Roman" w:cs="Times New Roman"/>
          <w:color w:val="000000" w:themeColor="text1"/>
        </w:rPr>
        <w:t>3</w:t>
      </w:r>
      <w:r w:rsidRPr="002F010D">
        <w:rPr>
          <w:rFonts w:ascii="Times New Roman" w:hAnsi="Times New Roman" w:cs="Times New Roman"/>
          <w:color w:val="000000" w:themeColor="text1"/>
        </w:rPr>
        <w:t xml:space="preserve"> the bearing is shown oversized to visualize more clearly the way it is constructed. In the real geometry the distance between the two bearing shells is 0.05 mm and the bearing shell diameter is approx. 3 mm.  The rear bearing is constructed in the same way.</w:t>
      </w:r>
    </w:p>
    <w:p w14:paraId="75C9C096" w14:textId="6F07F0F3" w:rsidR="006F4CE6" w:rsidRPr="002F010D" w:rsidRDefault="006A7F38" w:rsidP="006F4CE6">
      <w:pPr>
        <w:keepNext/>
        <w:jc w:val="center"/>
        <w:rPr>
          <w:rFonts w:ascii="Times New Roman" w:hAnsi="Times New Roman" w:cs="Times New Roman"/>
          <w:color w:val="000000" w:themeColor="text1"/>
        </w:rPr>
      </w:pPr>
      <w:r w:rsidRPr="002F010D">
        <w:rPr>
          <w:rFonts w:ascii="Times New Roman" w:hAnsi="Times New Roman" w:cs="Times New Roman"/>
          <w:noProof/>
          <w:color w:val="000000" w:themeColor="text1"/>
          <w:lang w:eastAsia="en-US"/>
        </w:rPr>
        <mc:AlternateContent>
          <mc:Choice Requires="wps">
            <w:drawing>
              <wp:anchor distT="0" distB="0" distL="114300" distR="114300" simplePos="0" relativeHeight="251666432" behindDoc="0" locked="0" layoutInCell="1" allowOverlap="1" wp14:anchorId="4E769672" wp14:editId="033DFE11">
                <wp:simplePos x="0" y="0"/>
                <wp:positionH relativeFrom="margin">
                  <wp:posOffset>4014111</wp:posOffset>
                </wp:positionH>
                <wp:positionV relativeFrom="paragraph">
                  <wp:posOffset>1020666</wp:posOffset>
                </wp:positionV>
                <wp:extent cx="1558456" cy="269875"/>
                <wp:effectExtent l="0" t="0" r="22860" b="15875"/>
                <wp:wrapNone/>
                <wp:docPr id="8" name="Text Box 8"/>
                <wp:cNvGraphicFramePr/>
                <a:graphic xmlns:a="http://schemas.openxmlformats.org/drawingml/2006/main">
                  <a:graphicData uri="http://schemas.microsoft.com/office/word/2010/wordprocessingShape">
                    <wps:wsp>
                      <wps:cNvSpPr txBox="1"/>
                      <wps:spPr>
                        <a:xfrm>
                          <a:off x="0" y="0"/>
                          <a:ext cx="1558456" cy="269875"/>
                        </a:xfrm>
                        <a:prstGeom prst="rect">
                          <a:avLst/>
                        </a:prstGeom>
                        <a:solidFill>
                          <a:schemeClr val="lt1"/>
                        </a:solidFill>
                        <a:ln w="6350">
                          <a:solidFill>
                            <a:prstClr val="black"/>
                          </a:solidFill>
                        </a:ln>
                      </wps:spPr>
                      <wps:txbx>
                        <w:txbxContent>
                          <w:p w14:paraId="23DF8700" w14:textId="01FFA61B" w:rsidR="006A7F38" w:rsidRPr="006A7F38" w:rsidRDefault="006A7F38">
                            <w:pPr>
                              <w:rPr>
                                <w:lang w:val="de-DE"/>
                              </w:rPr>
                            </w:pPr>
                            <w:r>
                              <w:rPr>
                                <w:lang w:val="de-DE"/>
                              </w:rPr>
                              <w:t xml:space="preserve">Contact bearing site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769672" id="_x0000_t202" coordsize="21600,21600" o:spt="202" path="m,l,21600r21600,l21600,xe">
                <v:stroke joinstyle="miter"/>
                <v:path gradientshapeok="t" o:connecttype="rect"/>
              </v:shapetype>
              <v:shape id="Text Box 8" o:spid="_x0000_s1026" type="#_x0000_t202" style="position:absolute;left:0;text-align:left;margin-left:316.05pt;margin-top:80.35pt;width:122.7pt;height:21.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" fillcolor="white [3201]" strokeweight=".5pt">
                <v:textbox>
                  <w:txbxContent>
                    <w:p w14:paraId="23DF8700" w14:textId="01FFA61B" w:rsidR="006A7F38" w:rsidRPr="006A7F38" w:rsidRDefault="006A7F38">
                      <w:pPr>
                        <w:rPr>
                          <w:lang w:val="de-DE"/>
                        </w:rPr>
                      </w:pPr>
                      <w:r>
                        <w:rPr>
                          <w:lang w:val="de-DE"/>
                        </w:rPr>
                        <w:t xml:space="preserve">Contact </w:t>
                      </w:r>
                      <w:proofErr w:type="spellStart"/>
                      <w:r>
                        <w:rPr>
                          <w:lang w:val="de-DE"/>
                        </w:rPr>
                        <w:t>bearing</w:t>
                      </w:r>
                      <w:proofErr w:type="spellEnd"/>
                      <w:r>
                        <w:rPr>
                          <w:lang w:val="de-DE"/>
                        </w:rPr>
                        <w:t xml:space="preserve"> </w:t>
                      </w:r>
                      <w:proofErr w:type="spellStart"/>
                      <w:r>
                        <w:rPr>
                          <w:lang w:val="de-DE"/>
                        </w:rPr>
                        <w:t>site</w:t>
                      </w:r>
                      <w:proofErr w:type="spellEnd"/>
                      <w:r>
                        <w:rPr>
                          <w:lang w:val="de-DE"/>
                        </w:rPr>
                        <w:t xml:space="preserve"> </w:t>
                      </w:r>
                    </w:p>
                  </w:txbxContent>
                </v:textbox>
                <w10:wrap anchorx="margin"/>
              </v:shape>
            </w:pict>
          </mc:Fallback>
        </mc:AlternateContent>
      </w:r>
      <w:r w:rsidRPr="002F010D">
        <w:rPr>
          <w:rFonts w:ascii="Times New Roman" w:hAnsi="Times New Roman" w:cs="Times New Roman"/>
          <w:noProof/>
          <w:color w:val="000000" w:themeColor="text1"/>
          <w:lang w:eastAsia="en-US"/>
        </w:rPr>
        <mc:AlternateContent>
          <mc:Choice Requires="wps">
            <w:drawing>
              <wp:anchor distT="0" distB="0" distL="114300" distR="114300" simplePos="0" relativeHeight="251667456" behindDoc="0" locked="0" layoutInCell="1" allowOverlap="1" wp14:anchorId="784FE806" wp14:editId="5F11C3EB">
                <wp:simplePos x="0" y="0"/>
                <wp:positionH relativeFrom="column">
                  <wp:posOffset>4443012</wp:posOffset>
                </wp:positionH>
                <wp:positionV relativeFrom="paragraph">
                  <wp:posOffset>829283</wp:posOffset>
                </wp:positionV>
                <wp:extent cx="246490" cy="246490"/>
                <wp:effectExtent l="0" t="0" r="20320" b="20320"/>
                <wp:wrapNone/>
                <wp:docPr id="10" name="Straight Connector 10"/>
                <wp:cNvGraphicFramePr/>
                <a:graphic xmlns:a="http://schemas.openxmlformats.org/drawingml/2006/main">
                  <a:graphicData uri="http://schemas.microsoft.com/office/word/2010/wordprocessingShape">
                    <wps:wsp>
                      <wps:cNvCnPr/>
                      <wps:spPr>
                        <a:xfrm flipV="1">
                          <a:off x="0" y="0"/>
                          <a:ext cx="246490" cy="2464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6F49E0" id="Straight Connector 10"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49.85pt,65.3pt" to="369.2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" strokecolor="#5b9bd5 [3204]" strokeweight=".5pt">
                <v:stroke joinstyle="miter"/>
              </v:line>
            </w:pict>
          </mc:Fallback>
        </mc:AlternateContent>
      </w:r>
      <w:r w:rsidRPr="002F010D">
        <w:rPr>
          <w:rFonts w:ascii="Times New Roman" w:hAnsi="Times New Roman" w:cs="Times New Roman"/>
          <w:noProof/>
          <w:color w:val="000000" w:themeColor="text1"/>
          <w:lang w:eastAsia="en-US"/>
        </w:rPr>
        <mc:AlternateContent>
          <mc:Choice Requires="wps">
            <w:drawing>
              <wp:anchor distT="0" distB="0" distL="114300" distR="114300" simplePos="0" relativeHeight="251664384" behindDoc="0" locked="0" layoutInCell="1" allowOverlap="1" wp14:anchorId="4B3C02DF" wp14:editId="037BC5E3">
                <wp:simplePos x="0" y="0"/>
                <wp:positionH relativeFrom="column">
                  <wp:posOffset>2272720</wp:posOffset>
                </wp:positionH>
                <wp:positionV relativeFrom="paragraph">
                  <wp:posOffset>845295</wp:posOffset>
                </wp:positionV>
                <wp:extent cx="246490" cy="246490"/>
                <wp:effectExtent l="0" t="0" r="20320" b="20320"/>
                <wp:wrapNone/>
                <wp:docPr id="7" name="Straight Connector 7"/>
                <wp:cNvGraphicFramePr/>
                <a:graphic xmlns:a="http://schemas.openxmlformats.org/drawingml/2006/main">
                  <a:graphicData uri="http://schemas.microsoft.com/office/word/2010/wordprocessingShape">
                    <wps:wsp>
                      <wps:cNvCnPr/>
                      <wps:spPr>
                        <a:xfrm flipV="1">
                          <a:off x="0" y="0"/>
                          <a:ext cx="246490" cy="2464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D5889D" id="Straight Connector 7"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78.95pt,66.55pt" to="198.35pt,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" strokecolor="#5b9bd5 [3204]" strokeweight=".5pt">
                <v:stroke joinstyle="miter"/>
              </v:line>
            </w:pict>
          </mc:Fallback>
        </mc:AlternateContent>
      </w:r>
      <w:r w:rsidRPr="002F010D">
        <w:rPr>
          <w:rFonts w:ascii="Times New Roman" w:hAnsi="Times New Roman" w:cs="Times New Roman"/>
          <w:noProof/>
          <w:color w:val="000000" w:themeColor="text1"/>
          <w:lang w:eastAsia="en-US"/>
        </w:rPr>
        <mc:AlternateContent>
          <mc:Choice Requires="wps">
            <w:drawing>
              <wp:anchor distT="0" distB="0" distL="114300" distR="114300" simplePos="0" relativeHeight="251662336" behindDoc="0" locked="0" layoutInCell="1" allowOverlap="1" wp14:anchorId="39558041" wp14:editId="77E1E884">
                <wp:simplePos x="0" y="0"/>
                <wp:positionH relativeFrom="column">
                  <wp:posOffset>746125</wp:posOffset>
                </wp:positionH>
                <wp:positionV relativeFrom="paragraph">
                  <wp:posOffset>805981</wp:posOffset>
                </wp:positionV>
                <wp:extent cx="246490" cy="246490"/>
                <wp:effectExtent l="0" t="0" r="20320" b="20320"/>
                <wp:wrapNone/>
                <wp:docPr id="5" name="Straight Connector 5"/>
                <wp:cNvGraphicFramePr/>
                <a:graphic xmlns:a="http://schemas.openxmlformats.org/drawingml/2006/main">
                  <a:graphicData uri="http://schemas.microsoft.com/office/word/2010/wordprocessingShape">
                    <wps:wsp>
                      <wps:cNvCnPr/>
                      <wps:spPr>
                        <a:xfrm flipV="1">
                          <a:off x="0" y="0"/>
                          <a:ext cx="246490" cy="2464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5731F7"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58.75pt,63.45pt" to="78.15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" strokecolor="#5b9bd5 [3204]" strokeweight=".5pt">
                <v:stroke joinstyle="miter"/>
              </v:line>
            </w:pict>
          </mc:Fallback>
        </mc:AlternateContent>
      </w:r>
      <w:r w:rsidRPr="002F010D">
        <w:rPr>
          <w:rFonts w:ascii="Times New Roman" w:hAnsi="Times New Roman" w:cs="Times New Roman"/>
          <w:noProof/>
          <w:color w:val="000000" w:themeColor="text1"/>
          <w:lang w:eastAsia="en-US"/>
        </w:rPr>
        <mc:AlternateContent>
          <mc:Choice Requires="wps">
            <w:drawing>
              <wp:anchor distT="0" distB="0" distL="114300" distR="114300" simplePos="0" relativeHeight="251661312" behindDoc="0" locked="0" layoutInCell="1" allowOverlap="1" wp14:anchorId="1D2ABCAA" wp14:editId="5C80BCB7">
                <wp:simplePos x="0" y="0"/>
                <wp:positionH relativeFrom="margin">
                  <wp:posOffset>1843405</wp:posOffset>
                </wp:positionH>
                <wp:positionV relativeFrom="paragraph">
                  <wp:posOffset>1036568</wp:posOffset>
                </wp:positionV>
                <wp:extent cx="978011" cy="270345"/>
                <wp:effectExtent l="0" t="0" r="12700" b="15875"/>
                <wp:wrapNone/>
                <wp:docPr id="4" name="Text Box 4"/>
                <wp:cNvGraphicFramePr/>
                <a:graphic xmlns:a="http://schemas.openxmlformats.org/drawingml/2006/main">
                  <a:graphicData uri="http://schemas.microsoft.com/office/word/2010/wordprocessingShape">
                    <wps:wsp>
                      <wps:cNvSpPr txBox="1"/>
                      <wps:spPr>
                        <a:xfrm>
                          <a:off x="0" y="0"/>
                          <a:ext cx="978011" cy="270345"/>
                        </a:xfrm>
                        <a:prstGeom prst="rect">
                          <a:avLst/>
                        </a:prstGeom>
                        <a:solidFill>
                          <a:schemeClr val="lt1"/>
                        </a:solidFill>
                        <a:ln w="6350">
                          <a:solidFill>
                            <a:prstClr val="black"/>
                          </a:solidFill>
                        </a:ln>
                      </wps:spPr>
                      <wps:txbx>
                        <w:txbxContent>
                          <w:p w14:paraId="37C48FDA" w14:textId="4FAC84C5" w:rsidR="006A7F38" w:rsidRPr="006A7F38" w:rsidRDefault="006A7F38">
                            <w:pPr>
                              <w:rPr>
                                <w:lang w:val="de-DE"/>
                              </w:rPr>
                            </w:pPr>
                            <w:r>
                              <w:rPr>
                                <w:lang w:val="de-DE"/>
                              </w:rPr>
                              <w:t xml:space="preserve">Impeller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2ABCAA" id="Text Box 4" o:spid="_x0000_s1027" type="#_x0000_t202" style="position:absolute;left:0;text-align:left;margin-left:145.15pt;margin-top:81.6pt;width:77pt;height:21.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" fillcolor="white [3201]" strokeweight=".5pt">
                <v:textbox>
                  <w:txbxContent>
                    <w:p w14:paraId="37C48FDA" w14:textId="4FAC84C5" w:rsidR="006A7F38" w:rsidRPr="006A7F38" w:rsidRDefault="006A7F38">
                      <w:pPr>
                        <w:rPr>
                          <w:lang w:val="de-DE"/>
                        </w:rPr>
                      </w:pPr>
                      <w:r>
                        <w:rPr>
                          <w:lang w:val="de-DE"/>
                        </w:rPr>
                        <w:t xml:space="preserve">Impeller </w:t>
                      </w:r>
                    </w:p>
                  </w:txbxContent>
                </v:textbox>
                <w10:wrap anchorx="margin"/>
              </v:shape>
            </w:pict>
          </mc:Fallback>
        </mc:AlternateContent>
      </w:r>
      <w:r w:rsidRPr="002F010D">
        <w:rPr>
          <w:rFonts w:ascii="Times New Roman" w:hAnsi="Times New Roman" w:cs="Times New Roman"/>
          <w:noProof/>
          <w:color w:val="000000" w:themeColor="text1"/>
          <w:lang w:eastAsia="en-US"/>
        </w:rPr>
        <mc:AlternateContent>
          <mc:Choice Requires="wps">
            <w:drawing>
              <wp:anchor distT="0" distB="0" distL="114300" distR="114300" simplePos="0" relativeHeight="251659264" behindDoc="0" locked="0" layoutInCell="1" allowOverlap="1" wp14:anchorId="27994A7D" wp14:editId="76ED19DC">
                <wp:simplePos x="0" y="0"/>
                <wp:positionH relativeFrom="margin">
                  <wp:align>left</wp:align>
                </wp:positionH>
                <wp:positionV relativeFrom="paragraph">
                  <wp:posOffset>988281</wp:posOffset>
                </wp:positionV>
                <wp:extent cx="978011" cy="230588"/>
                <wp:effectExtent l="0" t="0" r="12700" b="17145"/>
                <wp:wrapNone/>
                <wp:docPr id="1" name="Text Box 1"/>
                <wp:cNvGraphicFramePr/>
                <a:graphic xmlns:a="http://schemas.openxmlformats.org/drawingml/2006/main">
                  <a:graphicData uri="http://schemas.microsoft.com/office/word/2010/wordprocessingShape">
                    <wps:wsp>
                      <wps:cNvSpPr txBox="1"/>
                      <wps:spPr>
                        <a:xfrm>
                          <a:off x="0" y="0"/>
                          <a:ext cx="978011" cy="230588"/>
                        </a:xfrm>
                        <a:prstGeom prst="rect">
                          <a:avLst/>
                        </a:prstGeom>
                        <a:solidFill>
                          <a:schemeClr val="lt1"/>
                        </a:solidFill>
                        <a:ln w="6350">
                          <a:solidFill>
                            <a:prstClr val="black"/>
                          </a:solidFill>
                        </a:ln>
                      </wps:spPr>
                      <wps:txbx>
                        <w:txbxContent>
                          <w:p w14:paraId="08AFF38E" w14:textId="4BD4BBEB" w:rsidR="006A7F38" w:rsidRPr="006A7F38" w:rsidRDefault="006A7F38">
                            <w:pPr>
                              <w:rPr>
                                <w:lang w:val="de-DE"/>
                              </w:rPr>
                            </w:pPr>
                            <w:r>
                              <w:rPr>
                                <w:lang w:val="de-DE"/>
                              </w:rPr>
                              <w:t>Front stator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994A7D" id="Text Box 1" o:spid="_x0000_s1028" type="#_x0000_t202" style="position:absolute;left:0;text-align:left;margin-left:0;margin-top:77.8pt;width:77pt;height:18.1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" fillcolor="white [3201]" strokeweight=".5pt">
                <v:textbox>
                  <w:txbxContent>
                    <w:p w14:paraId="08AFF38E" w14:textId="4BD4BBEB" w:rsidR="006A7F38" w:rsidRPr="006A7F38" w:rsidRDefault="006A7F38">
                      <w:pPr>
                        <w:rPr>
                          <w:lang w:val="de-DE"/>
                        </w:rPr>
                      </w:pPr>
                      <w:r>
                        <w:rPr>
                          <w:lang w:val="de-DE"/>
                        </w:rPr>
                        <w:t xml:space="preserve">Front </w:t>
                      </w:r>
                      <w:proofErr w:type="spellStart"/>
                      <w:r>
                        <w:rPr>
                          <w:lang w:val="de-DE"/>
                        </w:rPr>
                        <w:t>stator</w:t>
                      </w:r>
                      <w:proofErr w:type="spellEnd"/>
                    </w:p>
                  </w:txbxContent>
                </v:textbox>
                <w10:wrap anchorx="margin"/>
              </v:shape>
            </w:pict>
          </mc:Fallback>
        </mc:AlternateContent>
      </w:r>
      <w:r w:rsidR="00213CE8" w:rsidRPr="002F010D">
        <w:rPr>
          <w:rFonts w:ascii="Times New Roman" w:hAnsi="Times New Roman" w:cs="Times New Roman"/>
          <w:noProof/>
          <w:color w:val="000000" w:themeColor="text1"/>
          <w:lang w:eastAsia="en-US"/>
        </w:rPr>
        <w:drawing>
          <wp:inline distT="0" distB="0" distL="0" distR="0" wp14:anchorId="0E7A42DB" wp14:editId="587766A4">
            <wp:extent cx="5310187" cy="1559443"/>
            <wp:effectExtent l="0" t="0" r="508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21803" cy="1562854"/>
                    </a:xfrm>
                    <a:prstGeom prst="rect">
                      <a:avLst/>
                    </a:prstGeom>
                    <a:noFill/>
                    <a:ln>
                      <a:noFill/>
                    </a:ln>
                  </pic:spPr>
                </pic:pic>
              </a:graphicData>
            </a:graphic>
          </wp:inline>
        </w:drawing>
      </w:r>
    </w:p>
    <w:p w14:paraId="57EE30F4" w14:textId="2ECE4FFE" w:rsidR="006F4CE6" w:rsidRPr="002F010D" w:rsidRDefault="006F4CE6" w:rsidP="006F4CE6">
      <w:pPr>
        <w:pStyle w:val="Caption"/>
        <w:jc w:val="center"/>
        <w:rPr>
          <w:rFonts w:ascii="Times New Roman" w:hAnsi="Times New Roman" w:cs="Times New Roman"/>
          <w:color w:val="000000" w:themeColor="text1"/>
        </w:rPr>
      </w:pPr>
      <w:bookmarkStart w:id="4" w:name="_Ref69325163"/>
      <w:bookmarkStart w:id="5" w:name="_Toc69913803"/>
      <w:r w:rsidRPr="002F010D">
        <w:rPr>
          <w:rFonts w:ascii="Times New Roman" w:hAnsi="Times New Roman" w:cs="Times New Roman"/>
          <w:color w:val="000000" w:themeColor="text1"/>
        </w:rPr>
        <w:t xml:space="preserve">Figure </w:t>
      </w:r>
      <w:bookmarkEnd w:id="4"/>
      <w:r w:rsidRPr="002F010D">
        <w:rPr>
          <w:rFonts w:ascii="Times New Roman" w:hAnsi="Times New Roman" w:cs="Times New Roman"/>
          <w:color w:val="000000" w:themeColor="text1"/>
        </w:rPr>
        <w:t>S</w:t>
      </w:r>
      <w:r w:rsidR="00730A9B" w:rsidRPr="002F010D">
        <w:rPr>
          <w:rFonts w:ascii="Times New Roman" w:hAnsi="Times New Roman" w:cs="Times New Roman"/>
          <w:color w:val="000000" w:themeColor="text1"/>
        </w:rPr>
        <w:t>3</w:t>
      </w:r>
      <w:r w:rsidRPr="002F010D">
        <w:rPr>
          <w:rFonts w:ascii="Times New Roman" w:hAnsi="Times New Roman" w:cs="Times New Roman"/>
          <w:color w:val="000000" w:themeColor="text1"/>
        </w:rPr>
        <w:t xml:space="preserve">: Cross-section of front area of </w:t>
      </w:r>
      <w:r w:rsidR="00E0355F" w:rsidRPr="002F010D">
        <w:rPr>
          <w:rFonts w:ascii="Times New Roman" w:hAnsi="Times New Roman" w:cs="Times New Roman"/>
          <w:color w:val="000000" w:themeColor="text1"/>
        </w:rPr>
        <w:t xml:space="preserve">the simplified </w:t>
      </w:r>
      <w:r w:rsidRPr="002F010D">
        <w:rPr>
          <w:rFonts w:ascii="Times New Roman" w:hAnsi="Times New Roman" w:cs="Times New Roman"/>
          <w:color w:val="000000" w:themeColor="text1"/>
        </w:rPr>
        <w:t>Heartmate 2</w:t>
      </w:r>
      <w:r w:rsidR="00E0355F" w:rsidRPr="002F010D">
        <w:rPr>
          <w:rFonts w:ascii="Times New Roman" w:hAnsi="Times New Roman" w:cs="Times New Roman"/>
          <w:color w:val="000000" w:themeColor="text1"/>
        </w:rPr>
        <w:t xml:space="preserve"> without contact bearing</w:t>
      </w:r>
      <w:r w:rsidRPr="002F010D">
        <w:rPr>
          <w:rFonts w:ascii="Times New Roman" w:hAnsi="Times New Roman" w:cs="Times New Roman"/>
          <w:color w:val="000000" w:themeColor="text1"/>
        </w:rPr>
        <w:t xml:space="preserve"> (a) and of Heartmate 2 with modelled front bearing (b)</w:t>
      </w:r>
      <w:bookmarkEnd w:id="5"/>
      <w:r w:rsidRPr="002F010D">
        <w:rPr>
          <w:rFonts w:ascii="Times New Roman" w:hAnsi="Times New Roman" w:cs="Times New Roman"/>
          <w:color w:val="000000" w:themeColor="text1"/>
        </w:rPr>
        <w:t xml:space="preserve"> </w:t>
      </w:r>
    </w:p>
    <w:p w14:paraId="67D8E139" w14:textId="77777777" w:rsidR="00DE77B2" w:rsidRPr="002F010D" w:rsidRDefault="00DE77B2" w:rsidP="00DE77B2">
      <w:pPr>
        <w:spacing w:line="288" w:lineRule="auto"/>
        <w:rPr>
          <w:rFonts w:ascii="Times New Roman" w:hAnsi="Times New Roman" w:cs="Times New Roman"/>
        </w:rPr>
      </w:pPr>
    </w:p>
    <w:p w14:paraId="064526B8" w14:textId="77777777" w:rsidR="00694344" w:rsidRPr="002F010D" w:rsidRDefault="002C4903" w:rsidP="00DE77B2">
      <w:pPr>
        <w:spacing w:line="288" w:lineRule="auto"/>
        <w:rPr>
          <w:rFonts w:ascii="Times New Roman" w:hAnsi="Times New Roman" w:cs="Times New Roman"/>
          <w:b/>
          <w:sz w:val="28"/>
        </w:rPr>
      </w:pPr>
      <w:r w:rsidRPr="002F010D">
        <w:rPr>
          <w:rFonts w:ascii="Times New Roman" w:hAnsi="Times New Roman" w:cs="Times New Roman"/>
          <w:b/>
          <w:sz w:val="28"/>
        </w:rPr>
        <w:t>Supplementary results</w:t>
      </w:r>
    </w:p>
    <w:p w14:paraId="25EB209C" w14:textId="77777777" w:rsidR="006F4CE6" w:rsidRPr="002F010D" w:rsidRDefault="006F4CE6" w:rsidP="00DE77B2">
      <w:pPr>
        <w:spacing w:line="288" w:lineRule="auto"/>
        <w:rPr>
          <w:rFonts w:ascii="Times New Roman" w:hAnsi="Times New Roman" w:cs="Times New Roman"/>
          <w:i/>
          <w:sz w:val="28"/>
        </w:rPr>
      </w:pPr>
    </w:p>
    <w:p w14:paraId="484ECA40" w14:textId="77777777" w:rsidR="006F4CE6" w:rsidRPr="002F010D" w:rsidRDefault="006F4CE6" w:rsidP="00DE77B2">
      <w:pPr>
        <w:spacing w:line="288" w:lineRule="auto"/>
        <w:rPr>
          <w:rFonts w:ascii="Times New Roman" w:hAnsi="Times New Roman" w:cs="Times New Roman"/>
          <w:i/>
        </w:rPr>
      </w:pPr>
      <w:r w:rsidRPr="002F010D">
        <w:rPr>
          <w:rFonts w:ascii="Times New Roman" w:hAnsi="Times New Roman" w:cs="Times New Roman"/>
          <w:i/>
        </w:rPr>
        <w:t>Operating point analysis</w:t>
      </w:r>
    </w:p>
    <w:p w14:paraId="11B1E154" w14:textId="31B89D99" w:rsidR="003D57BE" w:rsidRPr="002F010D" w:rsidRDefault="00380182" w:rsidP="00DE77B2">
      <w:pPr>
        <w:spacing w:line="288" w:lineRule="auto"/>
        <w:rPr>
          <w:rFonts w:ascii="Times New Roman" w:hAnsi="Times New Roman" w:cs="Times New Roman"/>
        </w:rPr>
      </w:pPr>
      <w:r w:rsidRPr="002F010D">
        <w:rPr>
          <w:rFonts w:ascii="Times New Roman" w:hAnsi="Times New Roman" w:cs="Times New Roman"/>
        </w:rPr>
        <w:t>The correlation between numerical and clinical data for different rational speeds and different flow rates is shown in Figure S</w:t>
      </w:r>
      <w:r w:rsidR="00DC088F" w:rsidRPr="002F010D">
        <w:rPr>
          <w:rFonts w:ascii="Times New Roman" w:hAnsi="Times New Roman" w:cs="Times New Roman"/>
        </w:rPr>
        <w:t>4</w:t>
      </w:r>
      <w:r w:rsidRPr="002F010D">
        <w:rPr>
          <w:rFonts w:ascii="Times New Roman" w:hAnsi="Times New Roman" w:cs="Times New Roman"/>
        </w:rPr>
        <w:t>.</w:t>
      </w:r>
    </w:p>
    <w:p w14:paraId="701E1274" w14:textId="2E53886A" w:rsidR="00380182" w:rsidRPr="002F010D" w:rsidRDefault="00E65BCE" w:rsidP="00380182">
      <w:pPr>
        <w:keepNext/>
        <w:spacing w:line="288" w:lineRule="auto"/>
        <w:jc w:val="center"/>
        <w:rPr>
          <w:rFonts w:ascii="Times New Roman" w:hAnsi="Times New Roman" w:cs="Times New Roman"/>
        </w:rPr>
      </w:pPr>
      <w:r w:rsidRPr="002F010D">
        <w:rPr>
          <w:rFonts w:ascii="Times New Roman" w:hAnsi="Times New Roman" w:cs="Times New Roman"/>
          <w:noProof/>
          <w:lang w:eastAsia="en-US"/>
        </w:rPr>
        <w:drawing>
          <wp:inline distT="0" distB="0" distL="0" distR="0" wp14:anchorId="55A51788" wp14:editId="742DE6AA">
            <wp:extent cx="5760720" cy="3056255"/>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4"/>
                        </a:ext>
                      </a:extLst>
                    </a:blip>
                    <a:stretch>
                      <a:fillRect/>
                    </a:stretch>
                  </pic:blipFill>
                  <pic:spPr>
                    <a:xfrm>
                      <a:off x="0" y="0"/>
                      <a:ext cx="5760720" cy="3056255"/>
                    </a:xfrm>
                    <a:prstGeom prst="rect">
                      <a:avLst/>
                    </a:prstGeom>
                  </pic:spPr>
                </pic:pic>
              </a:graphicData>
            </a:graphic>
          </wp:inline>
        </w:drawing>
      </w:r>
    </w:p>
    <w:p w14:paraId="4CB6DC28" w14:textId="3DC22515" w:rsidR="003D57BE" w:rsidRPr="002F010D" w:rsidRDefault="00380182" w:rsidP="00380182">
      <w:pPr>
        <w:pStyle w:val="Caption"/>
        <w:jc w:val="center"/>
        <w:rPr>
          <w:rFonts w:ascii="Times New Roman" w:hAnsi="Times New Roman" w:cs="Times New Roman"/>
          <w:i w:val="0"/>
          <w:color w:val="000000" w:themeColor="text1"/>
        </w:rPr>
      </w:pPr>
      <w:r w:rsidRPr="002F010D">
        <w:rPr>
          <w:rFonts w:ascii="Times New Roman" w:hAnsi="Times New Roman" w:cs="Times New Roman"/>
          <w:color w:val="000000" w:themeColor="text1"/>
        </w:rPr>
        <w:t>Figure S</w:t>
      </w:r>
      <w:r w:rsidR="00DC088F" w:rsidRPr="002F010D">
        <w:rPr>
          <w:rFonts w:ascii="Times New Roman" w:hAnsi="Times New Roman" w:cs="Times New Roman"/>
          <w:color w:val="000000" w:themeColor="text1"/>
        </w:rPr>
        <w:t>4</w:t>
      </w:r>
      <w:r w:rsidRPr="002F010D">
        <w:rPr>
          <w:rFonts w:ascii="Times New Roman" w:hAnsi="Times New Roman" w:cs="Times New Roman"/>
          <w:color w:val="000000" w:themeColor="text1"/>
        </w:rPr>
        <w:t>: Correlation between normalized AP platelet concentration and measured thrombus frequency from the Rowlands et al. study for left – rpms ranging from 7000-11000 and right – flow rates ranging from 1-4 l/min</w:t>
      </w:r>
    </w:p>
    <w:p w14:paraId="1E28D9A7" w14:textId="77777777" w:rsidR="006F4CE6" w:rsidRPr="002F010D" w:rsidRDefault="006F4CE6" w:rsidP="00DE77B2">
      <w:pPr>
        <w:spacing w:line="288" w:lineRule="auto"/>
        <w:rPr>
          <w:rFonts w:ascii="Times New Roman" w:hAnsi="Times New Roman" w:cs="Times New Roman"/>
          <w:i/>
        </w:rPr>
      </w:pPr>
    </w:p>
    <w:p w14:paraId="20329D75" w14:textId="34D7FD1E" w:rsidR="00380182" w:rsidRPr="002F010D" w:rsidRDefault="00331A8B" w:rsidP="00DE77B2">
      <w:pPr>
        <w:spacing w:line="288" w:lineRule="auto"/>
        <w:rPr>
          <w:rFonts w:ascii="Times New Roman" w:hAnsi="Times New Roman" w:cs="Times New Roman"/>
          <w:i/>
        </w:rPr>
      </w:pPr>
      <w:r w:rsidRPr="002F010D">
        <w:rPr>
          <w:rFonts w:ascii="Times New Roman" w:hAnsi="Times New Roman" w:cs="Times New Roman"/>
          <w:i/>
        </w:rPr>
        <w:t>Shear stress power law model</w:t>
      </w:r>
    </w:p>
    <w:p w14:paraId="5D164AE1" w14:textId="4BB5855D" w:rsidR="00331A8B" w:rsidRPr="002F010D" w:rsidRDefault="00331A8B" w:rsidP="00DE77B2">
      <w:pPr>
        <w:spacing w:line="288" w:lineRule="auto"/>
        <w:rPr>
          <w:rFonts w:ascii="Times New Roman" w:hAnsi="Times New Roman" w:cs="Times New Roman"/>
        </w:rPr>
      </w:pPr>
      <w:r w:rsidRPr="002F010D">
        <w:rPr>
          <w:rFonts w:ascii="Times New Roman" w:hAnsi="Times New Roman" w:cs="Times New Roman"/>
        </w:rPr>
        <w:t>Figure S</w:t>
      </w:r>
      <w:r w:rsidR="00DC088F" w:rsidRPr="002F010D">
        <w:rPr>
          <w:rFonts w:ascii="Times New Roman" w:hAnsi="Times New Roman" w:cs="Times New Roman"/>
        </w:rPr>
        <w:t>5</w:t>
      </w:r>
      <w:r w:rsidRPr="002F010D">
        <w:rPr>
          <w:rFonts w:ascii="Times New Roman" w:hAnsi="Times New Roman" w:cs="Times New Roman"/>
        </w:rPr>
        <w:t xml:space="preserve"> again looks at the distribution of the AP concentration on the surface. The left side of the figure shows the results of the </w:t>
      </w:r>
      <w:r w:rsidRPr="002F010D">
        <w:rPr>
          <w:rFonts w:ascii="Times New Roman" w:hAnsi="Times New Roman" w:cs="Times New Roman"/>
          <w:i/>
        </w:rPr>
        <w:t>α</w:t>
      </w:r>
      <w:r w:rsidRPr="002F010D">
        <w:rPr>
          <w:rFonts w:ascii="Times New Roman" w:hAnsi="Times New Roman" w:cs="Times New Roman"/>
        </w:rPr>
        <w:t xml:space="preserve"> perturbation simulations with the scale that has been used for the AP concentration contour plots in the main text.</w:t>
      </w:r>
      <w:r w:rsidR="0009719B" w:rsidRPr="002F010D">
        <w:rPr>
          <w:rFonts w:ascii="Times New Roman" w:hAnsi="Times New Roman" w:cs="Times New Roman"/>
        </w:rPr>
        <w:t xml:space="preserve"> An adjustment of the scale for each of the three cases is done on the right side of the figure. The maximum value of the scale is adjusted in such a way that a similar distribution is obtained as in the baseline case with baseline </w:t>
      </w:r>
      <w:r w:rsidR="0009719B" w:rsidRPr="002F010D">
        <w:rPr>
          <w:rFonts w:ascii="Times New Roman" w:hAnsi="Times New Roman" w:cs="Times New Roman"/>
          <w:i/>
        </w:rPr>
        <w:t>α</w:t>
      </w:r>
      <w:r w:rsidR="0009719B" w:rsidRPr="002F010D">
        <w:rPr>
          <w:rFonts w:ascii="Times New Roman" w:hAnsi="Times New Roman" w:cs="Times New Roman"/>
        </w:rPr>
        <w:t xml:space="preserve"> value. Changing the α value results in different AP concentration </w:t>
      </w:r>
      <w:r w:rsidR="00563064" w:rsidRPr="002F010D">
        <w:rPr>
          <w:rFonts w:ascii="Times New Roman" w:hAnsi="Times New Roman" w:cs="Times New Roman"/>
        </w:rPr>
        <w:t>levels but</w:t>
      </w:r>
      <w:r w:rsidR="0009719B" w:rsidRPr="002F010D">
        <w:rPr>
          <w:rFonts w:ascii="Times New Roman" w:hAnsi="Times New Roman" w:cs="Times New Roman"/>
        </w:rPr>
        <w:t xml:space="preserve"> does not change the final output of the simulation, because by adjusting the scale, very similar contour plots can be created on the surface.  </w:t>
      </w:r>
    </w:p>
    <w:p w14:paraId="4344C9FA" w14:textId="7C55F0A0" w:rsidR="00331A8B" w:rsidRPr="002F010D" w:rsidRDefault="00213CE8" w:rsidP="00213CE8">
      <w:pPr>
        <w:keepNext/>
        <w:spacing w:line="288" w:lineRule="auto"/>
        <w:jc w:val="center"/>
      </w:pPr>
      <w:r w:rsidRPr="002F010D">
        <w:rPr>
          <w:noProof/>
          <w:lang w:eastAsia="en-US"/>
        </w:rPr>
        <w:drawing>
          <wp:inline distT="0" distB="0" distL="0" distR="0" wp14:anchorId="2A1E4609" wp14:editId="66A67AB1">
            <wp:extent cx="5094622" cy="2845791"/>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99007" cy="2848240"/>
                    </a:xfrm>
                    <a:prstGeom prst="rect">
                      <a:avLst/>
                    </a:prstGeom>
                    <a:noFill/>
                    <a:ln>
                      <a:noFill/>
                    </a:ln>
                  </pic:spPr>
                </pic:pic>
              </a:graphicData>
            </a:graphic>
          </wp:inline>
        </w:drawing>
      </w:r>
    </w:p>
    <w:p w14:paraId="79866C10" w14:textId="089D7397" w:rsidR="00331A8B" w:rsidRPr="002F010D" w:rsidRDefault="00331A8B" w:rsidP="00331A8B">
      <w:pPr>
        <w:pStyle w:val="Caption"/>
        <w:rPr>
          <w:rFonts w:ascii="Times New Roman" w:hAnsi="Times New Roman" w:cs="Times New Roman"/>
          <w:color w:val="000000" w:themeColor="text1"/>
        </w:rPr>
      </w:pPr>
      <w:r w:rsidRPr="002F010D">
        <w:rPr>
          <w:rFonts w:ascii="Times New Roman" w:hAnsi="Times New Roman" w:cs="Times New Roman"/>
          <w:color w:val="000000" w:themeColor="text1"/>
        </w:rPr>
        <w:t>Figure S</w:t>
      </w:r>
      <w:r w:rsidR="00DC088F" w:rsidRPr="002F010D">
        <w:rPr>
          <w:rFonts w:ascii="Times New Roman" w:hAnsi="Times New Roman" w:cs="Times New Roman"/>
          <w:color w:val="000000" w:themeColor="text1"/>
        </w:rPr>
        <w:t>5</w:t>
      </w:r>
      <w:r w:rsidRPr="002F010D">
        <w:rPr>
          <w:rFonts w:ascii="Times New Roman" w:hAnsi="Times New Roman" w:cs="Times New Roman"/>
          <w:color w:val="000000" w:themeColor="text1"/>
        </w:rPr>
        <w:t>: Comparison of different simulations with varying α parameter using contour plots of the AP variable with same scale (left) and different scales(right).</w:t>
      </w:r>
    </w:p>
    <w:p w14:paraId="7D2683F1" w14:textId="6F980137" w:rsidR="00331A8B" w:rsidRPr="002F010D" w:rsidRDefault="00331A8B" w:rsidP="00DE77B2">
      <w:pPr>
        <w:spacing w:line="288" w:lineRule="auto"/>
        <w:rPr>
          <w:rFonts w:ascii="Times New Roman" w:hAnsi="Times New Roman" w:cs="Times New Roman"/>
        </w:rPr>
      </w:pPr>
    </w:p>
    <w:p w14:paraId="7EF37F0A" w14:textId="77777777" w:rsidR="00F847E0" w:rsidRPr="002F010D" w:rsidRDefault="00F847E0" w:rsidP="00DE77B2">
      <w:pPr>
        <w:spacing w:line="288" w:lineRule="auto"/>
        <w:rPr>
          <w:rFonts w:ascii="Times New Roman" w:hAnsi="Times New Roman" w:cs="Times New Roman"/>
        </w:rPr>
      </w:pPr>
    </w:p>
    <w:p w14:paraId="439660E1" w14:textId="3CED8426" w:rsidR="00F821C4" w:rsidRPr="002F010D" w:rsidRDefault="00F821C4" w:rsidP="00DE77B2">
      <w:pPr>
        <w:spacing w:line="288" w:lineRule="auto"/>
        <w:rPr>
          <w:rFonts w:ascii="Times New Roman" w:hAnsi="Times New Roman" w:cs="Times New Roman"/>
          <w:i/>
        </w:rPr>
      </w:pPr>
      <w:r w:rsidRPr="002F010D">
        <w:rPr>
          <w:rFonts w:ascii="Times New Roman" w:hAnsi="Times New Roman" w:cs="Times New Roman"/>
          <w:i/>
        </w:rPr>
        <w:t>Influence of turbulence modeling</w:t>
      </w:r>
    </w:p>
    <w:p w14:paraId="69008846" w14:textId="7924A940" w:rsidR="00F821C4" w:rsidRPr="002F010D" w:rsidRDefault="00F821C4" w:rsidP="00DE77B2">
      <w:pPr>
        <w:spacing w:line="288" w:lineRule="auto"/>
        <w:rPr>
          <w:rFonts w:ascii="Times New Roman" w:hAnsi="Times New Roman" w:cs="Times New Roman"/>
        </w:rPr>
      </w:pPr>
      <w:r w:rsidRPr="002F010D">
        <w:rPr>
          <w:rFonts w:ascii="Times New Roman" w:hAnsi="Times New Roman" w:cs="Times New Roman"/>
        </w:rPr>
        <w:t>The effects of the turbulent approach on contour plots and volume renderings are shown in Figure S</w:t>
      </w:r>
      <w:r w:rsidR="00FA7551" w:rsidRPr="002F010D">
        <w:rPr>
          <w:rFonts w:ascii="Times New Roman" w:hAnsi="Times New Roman" w:cs="Times New Roman"/>
        </w:rPr>
        <w:t>6</w:t>
      </w:r>
      <w:r w:rsidRPr="002F010D">
        <w:rPr>
          <w:rFonts w:ascii="Times New Roman" w:hAnsi="Times New Roman" w:cs="Times New Roman"/>
        </w:rPr>
        <w:t xml:space="preserve">. On the left side of the figure, the images of the baseline simulation with the laminar approach are shown for comparison purposes. The scale of the contour plot is again the same as described before and applies for both the laminar and turbulent contour plot. On the right-hand side of the figure the results for the turbulent case are shown. The volume rendering is created with the same threshold value as in the laminar case. This shows that after the bladed passage a higher AP concentration level is present in the entire flow due to platelet activation through the turbulent Reynolds stresses. </w:t>
      </w:r>
    </w:p>
    <w:p w14:paraId="7DA9DB24" w14:textId="365D7EE5" w:rsidR="00F821C4" w:rsidRPr="002F010D" w:rsidRDefault="00F821C4" w:rsidP="00DE77B2">
      <w:pPr>
        <w:spacing w:line="288" w:lineRule="auto"/>
        <w:rPr>
          <w:rFonts w:ascii="Times New Roman" w:hAnsi="Times New Roman" w:cs="Times New Roman"/>
        </w:rPr>
      </w:pPr>
    </w:p>
    <w:p w14:paraId="4D90CA93" w14:textId="1B872F39" w:rsidR="00F821C4" w:rsidRPr="002F010D" w:rsidRDefault="002437F9" w:rsidP="005B7842">
      <w:pPr>
        <w:pStyle w:val="TAbbildung"/>
      </w:pPr>
      <w:r w:rsidRPr="002F010D">
        <w:rPr>
          <w:noProof/>
          <w:lang w:val="en-US" w:bidi="ar-SA"/>
        </w:rPr>
        <w:drawing>
          <wp:inline distT="0" distB="0" distL="0" distR="0" wp14:anchorId="2C2B61E5" wp14:editId="07A966BD">
            <wp:extent cx="5760720" cy="305625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7"/>
                        </a:ext>
                      </a:extLst>
                    </a:blip>
                    <a:stretch>
                      <a:fillRect/>
                    </a:stretch>
                  </pic:blipFill>
                  <pic:spPr>
                    <a:xfrm>
                      <a:off x="0" y="0"/>
                      <a:ext cx="5760720" cy="3056255"/>
                    </a:xfrm>
                    <a:prstGeom prst="rect">
                      <a:avLst/>
                    </a:prstGeom>
                  </pic:spPr>
                </pic:pic>
              </a:graphicData>
            </a:graphic>
          </wp:inline>
        </w:drawing>
      </w:r>
    </w:p>
    <w:p w14:paraId="3BD9D682" w14:textId="5731F13B" w:rsidR="00F821C4" w:rsidRPr="002F010D" w:rsidRDefault="00F821C4" w:rsidP="00F821C4">
      <w:pPr>
        <w:pStyle w:val="Caption"/>
        <w:rPr>
          <w:rFonts w:ascii="Times New Roman" w:hAnsi="Times New Roman" w:cs="Times New Roman"/>
          <w:color w:val="000000" w:themeColor="text1"/>
        </w:rPr>
      </w:pPr>
      <w:r w:rsidRPr="002F010D">
        <w:rPr>
          <w:rFonts w:ascii="Times New Roman" w:hAnsi="Times New Roman" w:cs="Times New Roman"/>
          <w:color w:val="000000" w:themeColor="text1"/>
        </w:rPr>
        <w:t>Figure S</w:t>
      </w:r>
      <w:r w:rsidR="00FA7551" w:rsidRPr="002F010D">
        <w:rPr>
          <w:rFonts w:ascii="Times New Roman" w:hAnsi="Times New Roman" w:cs="Times New Roman"/>
          <w:color w:val="000000" w:themeColor="text1"/>
        </w:rPr>
        <w:t>6</w:t>
      </w:r>
      <w:r w:rsidRPr="002F010D">
        <w:rPr>
          <w:rFonts w:ascii="Times New Roman" w:hAnsi="Times New Roman" w:cs="Times New Roman"/>
          <w:color w:val="000000" w:themeColor="text1"/>
        </w:rPr>
        <w:t>: Comparison of laminar and turbulent shear stress simulations using contour plots and volume renderings of the variable Activated Platelets.</w:t>
      </w:r>
    </w:p>
    <w:p w14:paraId="7EF7908B" w14:textId="77777777" w:rsidR="00F847E0" w:rsidRPr="002F010D" w:rsidRDefault="00F847E0" w:rsidP="00F847E0">
      <w:pPr>
        <w:spacing w:line="288" w:lineRule="auto"/>
        <w:rPr>
          <w:rFonts w:ascii="Times New Roman" w:hAnsi="Times New Roman" w:cs="Times New Roman"/>
          <w:i/>
        </w:rPr>
      </w:pPr>
      <w:r w:rsidRPr="002F010D">
        <w:rPr>
          <w:rFonts w:ascii="Times New Roman" w:hAnsi="Times New Roman" w:cs="Times New Roman"/>
          <w:i/>
        </w:rPr>
        <w:t>Influence of different background activation levels</w:t>
      </w:r>
    </w:p>
    <w:p w14:paraId="7A7126CB" w14:textId="7261A97D" w:rsidR="00F847E0" w:rsidRPr="002F010D" w:rsidRDefault="00F847E0" w:rsidP="00F847E0">
      <w:pPr>
        <w:spacing w:line="288" w:lineRule="auto"/>
        <w:rPr>
          <w:rFonts w:ascii="Times New Roman" w:hAnsi="Times New Roman" w:cs="Times New Roman"/>
          <w:iCs/>
        </w:rPr>
      </w:pPr>
      <w:r w:rsidRPr="002F010D">
        <w:rPr>
          <w:rFonts w:ascii="Times New Roman" w:hAnsi="Times New Roman" w:cs="Times New Roman"/>
          <w:iCs/>
        </w:rPr>
        <w:t>Figure S</w:t>
      </w:r>
      <w:r w:rsidR="00FA7551" w:rsidRPr="002F010D">
        <w:rPr>
          <w:rFonts w:ascii="Times New Roman" w:hAnsi="Times New Roman" w:cs="Times New Roman"/>
          <w:iCs/>
        </w:rPr>
        <w:t>7</w:t>
      </w:r>
      <w:r w:rsidRPr="002F010D">
        <w:rPr>
          <w:rFonts w:ascii="Times New Roman" w:hAnsi="Times New Roman" w:cs="Times New Roman"/>
          <w:iCs/>
        </w:rPr>
        <w:t xml:space="preserve"> shows the influence of the initial concentration of activated platelets on the results of the AP concentration distribution. The initial percentage distribution of 5% activated platelets to 95% non-activated platelets from the model of Taylor et al. is compared with simulations showing 1%, 10% and 20% pre-activation at constant total platelet number. The results are scaled in a) with the respective number of activated platelets. This means that the values cannot be visualized equally well on one y-axis scaling. As can be seen in b), c) and d) on different y-axis scalings, the number of initially activated platelets does not play a role in the concentration differences between the individual regions. The correlation to the data from the Rowlands et al study can be drawn for each initial concentration of activated platelets with similar accuracy.</w:t>
      </w:r>
    </w:p>
    <w:p w14:paraId="61EA3527" w14:textId="34D653ED" w:rsidR="00F847E0" w:rsidRPr="002F010D" w:rsidRDefault="00925A21" w:rsidP="00F847E0">
      <w:pPr>
        <w:pStyle w:val="TAbbildung"/>
      </w:pPr>
      <w:r w:rsidRPr="002F010D">
        <w:rPr>
          <w:noProof/>
          <w:lang w:val="en-US" w:bidi="ar-SA"/>
        </w:rPr>
        <w:drawing>
          <wp:inline distT="0" distB="0" distL="0" distR="0" wp14:anchorId="1D5E7175" wp14:editId="392FDF92">
            <wp:extent cx="5760720" cy="612267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9"/>
                        </a:ext>
                      </a:extLst>
                    </a:blip>
                    <a:stretch>
                      <a:fillRect/>
                    </a:stretch>
                  </pic:blipFill>
                  <pic:spPr>
                    <a:xfrm>
                      <a:off x="0" y="0"/>
                      <a:ext cx="5760720" cy="6122670"/>
                    </a:xfrm>
                    <a:prstGeom prst="rect">
                      <a:avLst/>
                    </a:prstGeom>
                  </pic:spPr>
                </pic:pic>
              </a:graphicData>
            </a:graphic>
          </wp:inline>
        </w:drawing>
      </w:r>
    </w:p>
    <w:p w14:paraId="7105F94C" w14:textId="4BC8BCF5" w:rsidR="00F847E0" w:rsidRPr="002F010D" w:rsidRDefault="00F847E0" w:rsidP="00F847E0">
      <w:pPr>
        <w:pStyle w:val="Caption"/>
        <w:jc w:val="center"/>
      </w:pPr>
      <w:r w:rsidRPr="002F010D">
        <w:t>Figure S</w:t>
      </w:r>
      <w:r w:rsidR="00FA7551" w:rsidRPr="002F010D">
        <w:t>7</w:t>
      </w:r>
      <w:r w:rsidRPr="002F010D">
        <w:t>: Influence of initial background activation levels ranging from 1 to 20 percent activated platelets of the overall platelet count</w:t>
      </w:r>
    </w:p>
    <w:p w14:paraId="5D6D0CD0" w14:textId="3B916BD1" w:rsidR="00F847E0" w:rsidRPr="002F010D" w:rsidRDefault="00F847E0" w:rsidP="00F847E0"/>
    <w:p w14:paraId="54E20C1D" w14:textId="77777777" w:rsidR="00F847E0" w:rsidRPr="002F010D" w:rsidRDefault="00F847E0" w:rsidP="00F847E0"/>
    <w:p w14:paraId="246DC60E" w14:textId="5735E5D7" w:rsidR="00B774D0" w:rsidRPr="002F010D" w:rsidRDefault="00F821C4" w:rsidP="00DE77B2">
      <w:pPr>
        <w:spacing w:line="288" w:lineRule="auto"/>
        <w:rPr>
          <w:rFonts w:ascii="Times New Roman" w:hAnsi="Times New Roman" w:cs="Times New Roman"/>
          <w:i/>
        </w:rPr>
      </w:pPr>
      <w:r w:rsidRPr="002F010D">
        <w:rPr>
          <w:rFonts w:ascii="Times New Roman" w:hAnsi="Times New Roman" w:cs="Times New Roman"/>
          <w:i/>
        </w:rPr>
        <w:t>Influence of chemical activation</w:t>
      </w:r>
    </w:p>
    <w:p w14:paraId="05D8591A" w14:textId="199F18BB" w:rsidR="00F623AF" w:rsidRPr="002F010D" w:rsidRDefault="00F623AF" w:rsidP="00DE77B2">
      <w:pPr>
        <w:spacing w:line="288" w:lineRule="auto"/>
        <w:rPr>
          <w:rFonts w:ascii="Times New Roman" w:hAnsi="Times New Roman" w:cs="Times New Roman"/>
        </w:rPr>
      </w:pPr>
      <w:r w:rsidRPr="002F010D">
        <w:rPr>
          <w:rFonts w:ascii="Times New Roman" w:hAnsi="Times New Roman" w:cs="Times New Roman"/>
        </w:rPr>
        <w:t>The results of the simulation with effective chemical activation (ADP</w:t>
      </w:r>
      <w:r w:rsidRPr="002F010D">
        <w:rPr>
          <w:rFonts w:ascii="Times New Roman" w:hAnsi="Times New Roman" w:cs="Times New Roman"/>
          <w:vertAlign w:val="subscript"/>
        </w:rPr>
        <w:t xml:space="preserve">t </w:t>
      </w:r>
      <w:r w:rsidRPr="002F010D">
        <w:rPr>
          <w:rFonts w:ascii="Times New Roman" w:hAnsi="Times New Roman" w:cs="Times New Roman"/>
        </w:rPr>
        <w:t>= 1e-4 [mol m^-3] and activation t</w:t>
      </w:r>
      <w:r w:rsidRPr="002F010D">
        <w:rPr>
          <w:rFonts w:ascii="Times New Roman" w:hAnsi="Times New Roman" w:cs="Times New Roman"/>
          <w:vertAlign w:val="subscript"/>
        </w:rPr>
        <w:t xml:space="preserve">ADP </w:t>
      </w:r>
      <w:r w:rsidRPr="002F010D">
        <w:rPr>
          <w:rFonts w:ascii="Times New Roman" w:hAnsi="Times New Roman" w:cs="Times New Roman"/>
        </w:rPr>
        <w:t>=100s) can be seen in Figure S</w:t>
      </w:r>
      <w:r w:rsidR="00DC088F" w:rsidRPr="002F010D">
        <w:rPr>
          <w:rFonts w:ascii="Times New Roman" w:hAnsi="Times New Roman" w:cs="Times New Roman"/>
        </w:rPr>
        <w:t>8</w:t>
      </w:r>
      <w:r w:rsidRPr="002F010D">
        <w:rPr>
          <w:rFonts w:ascii="Times New Roman" w:hAnsi="Times New Roman" w:cs="Times New Roman"/>
        </w:rPr>
        <w:t>. The bar chart on the left shows that the simulation with the modified chemical activation produces substantially higher AP concentration values in region 2. On the right side of Figure S</w:t>
      </w:r>
      <w:r w:rsidR="00DC088F" w:rsidRPr="002F010D">
        <w:rPr>
          <w:rFonts w:ascii="Times New Roman" w:hAnsi="Times New Roman" w:cs="Times New Roman"/>
        </w:rPr>
        <w:t>8</w:t>
      </w:r>
      <w:r w:rsidRPr="002F010D">
        <w:rPr>
          <w:rFonts w:ascii="Times New Roman" w:hAnsi="Times New Roman" w:cs="Times New Roman"/>
        </w:rPr>
        <w:t xml:space="preserve">, it can be seen from the contour plots that the AP concentration values in the regions of the bearings of the modified simulation are substantially higher than in the baseline simulation. Furthermore, the values in the areas around the bearings are also slightly elevated. The remaining regions remain unaffected by the change. </w:t>
      </w:r>
      <w:r w:rsidR="0079444D" w:rsidRPr="002F010D">
        <w:rPr>
          <w:rFonts w:ascii="Times New Roman" w:hAnsi="Times New Roman" w:cs="Times New Roman"/>
        </w:rPr>
        <w:t xml:space="preserve">In c)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M</m:t>
            </m:r>
          </m:sub>
        </m:sSub>
      </m:oMath>
      <w:r w:rsidR="00293578" w:rsidRPr="002F010D">
        <w:rPr>
          <w:rFonts w:ascii="Times New Roman" w:hAnsi="Times New Roman" w:cs="Times New Roman"/>
        </w:rPr>
        <w:t xml:space="preserve"> </w:t>
      </w:r>
      <w:r w:rsidR="0079444D" w:rsidRPr="002F010D">
        <w:rPr>
          <w:rFonts w:ascii="Times New Roman" w:hAnsi="Times New Roman" w:cs="Times New Roman"/>
        </w:rPr>
        <w:t xml:space="preserve">and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C</m:t>
            </m:r>
          </m:sub>
        </m:sSub>
      </m:oMath>
      <w:r w:rsidR="00293578" w:rsidRPr="002F010D">
        <w:rPr>
          <w:rFonts w:ascii="Times New Roman" w:hAnsi="Times New Roman" w:cs="Times New Roman"/>
        </w:rPr>
        <w:t xml:space="preserve"> </w:t>
      </w:r>
      <w:r w:rsidR="0079444D" w:rsidRPr="002F010D">
        <w:rPr>
          <w:rFonts w:ascii="Times New Roman" w:hAnsi="Times New Roman" w:cs="Times New Roman"/>
        </w:rPr>
        <w:t xml:space="preserve">are plotted respectively. These correspond to the components of the source term of the convection-diffusion equation for </w:t>
      </w:r>
      <w:r w:rsidR="00293578" w:rsidRPr="002F010D">
        <w:rPr>
          <w:rFonts w:ascii="Times New Roman" w:hAnsi="Times New Roman" w:cs="Times New Roman"/>
        </w:rPr>
        <w:t>AP</w:t>
      </w:r>
      <w:r w:rsidR="0079444D" w:rsidRPr="002F010D">
        <w:rPr>
          <w:rFonts w:ascii="Times New Roman" w:hAnsi="Times New Roman" w:cs="Times New Roman"/>
        </w:rPr>
        <w:t xml:space="preserve"> (eq.1). From this, it can be concluded where and in what intensity </w:t>
      </w:r>
      <w:r w:rsidR="00293578" w:rsidRPr="002F010D">
        <w:rPr>
          <w:rFonts w:ascii="Times New Roman" w:hAnsi="Times New Roman" w:cs="Times New Roman"/>
        </w:rPr>
        <w:t xml:space="preserve">platelet </w:t>
      </w:r>
      <w:r w:rsidR="0079444D" w:rsidRPr="002F010D">
        <w:rPr>
          <w:rFonts w:ascii="Times New Roman" w:hAnsi="Times New Roman" w:cs="Times New Roman"/>
        </w:rPr>
        <w:t>activation occurs. This approach provides the user of the model not only with information about the location of thrombus deposition but also with information about the location of activation</w:t>
      </w:r>
      <w:r w:rsidR="00293578" w:rsidRPr="002F010D">
        <w:rPr>
          <w:rFonts w:ascii="Times New Roman" w:hAnsi="Times New Roman" w:cs="Times New Roman"/>
        </w:rPr>
        <w:t>.</w:t>
      </w:r>
      <w:r w:rsidR="00596288" w:rsidRPr="002F010D">
        <w:rPr>
          <w:rFonts w:ascii="Times New Roman" w:hAnsi="Times New Roman" w:cs="Times New Roman"/>
        </w:rPr>
        <w:t xml:space="preserve"> </w:t>
      </w:r>
      <w:r w:rsidR="00596288" w:rsidRPr="002F010D">
        <w:rPr>
          <w:color w:val="FF0000"/>
        </w:rPr>
        <w:t>(R#2.3)</w:t>
      </w:r>
    </w:p>
    <w:p w14:paraId="49BF4C3C" w14:textId="16C45AB4" w:rsidR="00F623AF" w:rsidRPr="002F010D" w:rsidRDefault="00F623AF" w:rsidP="00DE77B2">
      <w:pPr>
        <w:spacing w:line="288" w:lineRule="auto"/>
        <w:rPr>
          <w:rFonts w:ascii="Times New Roman" w:hAnsi="Times New Roman" w:cs="Times New Roman"/>
        </w:rPr>
      </w:pPr>
      <w:r w:rsidRPr="002F010D">
        <w:rPr>
          <w:rFonts w:ascii="Times New Roman" w:hAnsi="Times New Roman" w:cs="Times New Roman"/>
        </w:rPr>
        <w:t xml:space="preserve"> </w:t>
      </w:r>
    </w:p>
    <w:p w14:paraId="42115D38" w14:textId="44636D46" w:rsidR="00F821C4" w:rsidRPr="002F010D" w:rsidRDefault="00C67B87" w:rsidP="00213CE8">
      <w:pPr>
        <w:keepNext/>
        <w:spacing w:line="288" w:lineRule="auto"/>
        <w:jc w:val="center"/>
      </w:pPr>
      <w:r w:rsidRPr="002F010D">
        <w:rPr>
          <w:noProof/>
          <w:lang w:eastAsia="en-US"/>
        </w:rPr>
        <w:drawing>
          <wp:inline distT="0" distB="0" distL="0" distR="0" wp14:anchorId="3563F092" wp14:editId="5F43CB9C">
            <wp:extent cx="5753100" cy="4953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1"/>
                        </a:ext>
                      </a:extLst>
                    </a:blip>
                    <a:stretch>
                      <a:fillRect/>
                    </a:stretch>
                  </pic:blipFill>
                  <pic:spPr>
                    <a:xfrm>
                      <a:off x="0" y="0"/>
                      <a:ext cx="5753100" cy="4953000"/>
                    </a:xfrm>
                    <a:prstGeom prst="rect">
                      <a:avLst/>
                    </a:prstGeom>
                  </pic:spPr>
                </pic:pic>
              </a:graphicData>
            </a:graphic>
          </wp:inline>
        </w:drawing>
      </w:r>
    </w:p>
    <w:p w14:paraId="53DE341A" w14:textId="4D9B5D76" w:rsidR="00F821C4" w:rsidRPr="002F010D" w:rsidRDefault="00F821C4" w:rsidP="00F821C4">
      <w:pPr>
        <w:pStyle w:val="Caption"/>
        <w:rPr>
          <w:rFonts w:ascii="Times New Roman" w:hAnsi="Times New Roman" w:cs="Times New Roman"/>
          <w:color w:val="000000" w:themeColor="text1"/>
        </w:rPr>
      </w:pPr>
      <w:r w:rsidRPr="002F010D">
        <w:rPr>
          <w:rFonts w:ascii="Times New Roman" w:hAnsi="Times New Roman" w:cs="Times New Roman"/>
          <w:color w:val="000000" w:themeColor="text1"/>
        </w:rPr>
        <w:t xml:space="preserve">Figure </w:t>
      </w:r>
      <w:r w:rsidR="00F623AF" w:rsidRPr="002F010D">
        <w:rPr>
          <w:rFonts w:ascii="Times New Roman" w:hAnsi="Times New Roman" w:cs="Times New Roman"/>
          <w:color w:val="000000" w:themeColor="text1"/>
        </w:rPr>
        <w:t>S</w:t>
      </w:r>
      <w:r w:rsidR="00DC088F" w:rsidRPr="002F010D">
        <w:rPr>
          <w:rFonts w:ascii="Times New Roman" w:hAnsi="Times New Roman" w:cs="Times New Roman"/>
          <w:color w:val="000000" w:themeColor="text1"/>
        </w:rPr>
        <w:t>8</w:t>
      </w:r>
      <w:r w:rsidR="00F623AF" w:rsidRPr="002F010D">
        <w:rPr>
          <w:rFonts w:ascii="Times New Roman" w:hAnsi="Times New Roman" w:cs="Times New Roman"/>
          <w:color w:val="000000" w:themeColor="text1"/>
        </w:rPr>
        <w:t xml:space="preserve">: </w:t>
      </w:r>
      <w:r w:rsidRPr="002F010D">
        <w:rPr>
          <w:rFonts w:ascii="Times New Roman" w:hAnsi="Times New Roman" w:cs="Times New Roman"/>
          <w:color w:val="000000" w:themeColor="text1"/>
        </w:rPr>
        <w:t xml:space="preserve">Comparison between the baseline simulation, which showed no </w:t>
      </w:r>
      <w:r w:rsidR="00F623AF" w:rsidRPr="002F010D">
        <w:rPr>
          <w:rFonts w:ascii="Times New Roman" w:hAnsi="Times New Roman" w:cs="Times New Roman"/>
          <w:color w:val="000000" w:themeColor="text1"/>
        </w:rPr>
        <w:t>chemical activation, and a modi</w:t>
      </w:r>
      <w:r w:rsidRPr="002F010D">
        <w:rPr>
          <w:rFonts w:ascii="Times New Roman" w:hAnsi="Times New Roman" w:cs="Times New Roman"/>
          <w:color w:val="000000" w:themeColor="text1"/>
        </w:rPr>
        <w:t xml:space="preserve">fied variant of chemical activation using </w:t>
      </w:r>
      <w:r w:rsidR="00293578" w:rsidRPr="002F010D">
        <w:rPr>
          <w:rFonts w:ascii="Times New Roman" w:hAnsi="Times New Roman" w:cs="Times New Roman"/>
          <w:color w:val="000000" w:themeColor="text1"/>
        </w:rPr>
        <w:t xml:space="preserve">a) </w:t>
      </w:r>
      <w:r w:rsidRPr="002F010D">
        <w:rPr>
          <w:rFonts w:ascii="Times New Roman" w:hAnsi="Times New Roman" w:cs="Times New Roman"/>
          <w:color w:val="000000" w:themeColor="text1"/>
        </w:rPr>
        <w:t xml:space="preserve">the variable AP in a bar chart and </w:t>
      </w:r>
      <w:r w:rsidR="00293578" w:rsidRPr="002F010D">
        <w:rPr>
          <w:rFonts w:ascii="Times New Roman" w:hAnsi="Times New Roman" w:cs="Times New Roman"/>
          <w:color w:val="000000" w:themeColor="text1"/>
        </w:rPr>
        <w:t xml:space="preserve">b) in </w:t>
      </w:r>
      <w:r w:rsidRPr="002F010D">
        <w:rPr>
          <w:rFonts w:ascii="Times New Roman" w:hAnsi="Times New Roman" w:cs="Times New Roman"/>
          <w:color w:val="000000" w:themeColor="text1"/>
        </w:rPr>
        <w:t>a contour plot</w:t>
      </w:r>
      <w:r w:rsidR="00293578" w:rsidRPr="002F010D">
        <w:rPr>
          <w:rFonts w:ascii="Times New Roman" w:hAnsi="Times New Roman" w:cs="Times New Roman"/>
          <w:color w:val="000000" w:themeColor="text1"/>
        </w:rPr>
        <w:t>. In c) the source terms Am and Ac of eq.1 are plotted</w:t>
      </w:r>
    </w:p>
    <w:p w14:paraId="42FD72BE" w14:textId="77777777" w:rsidR="00F623AF" w:rsidRPr="002F010D" w:rsidRDefault="00F623AF" w:rsidP="00F623AF"/>
    <w:p w14:paraId="2253BE63" w14:textId="77777777" w:rsidR="007F74CD" w:rsidRPr="002F010D" w:rsidRDefault="007F74CD" w:rsidP="00DE77B2">
      <w:pPr>
        <w:spacing w:line="288" w:lineRule="auto"/>
        <w:rPr>
          <w:rFonts w:ascii="Times New Roman" w:hAnsi="Times New Roman" w:cs="Times New Roman"/>
          <w:i/>
        </w:rPr>
      </w:pPr>
      <w:r w:rsidRPr="002F010D">
        <w:rPr>
          <w:rFonts w:ascii="Times New Roman" w:hAnsi="Times New Roman" w:cs="Times New Roman"/>
          <w:i/>
        </w:rPr>
        <w:t>Accelerated thrombosis model with DP3</w:t>
      </w:r>
    </w:p>
    <w:p w14:paraId="13C5705D" w14:textId="50DEBA5A" w:rsidR="007F74CD" w:rsidRPr="002F010D" w:rsidRDefault="008409B9" w:rsidP="00DE77B2">
      <w:pPr>
        <w:spacing w:line="288" w:lineRule="auto"/>
        <w:rPr>
          <w:rFonts w:ascii="Times New Roman" w:hAnsi="Times New Roman" w:cs="Times New Roman"/>
        </w:rPr>
      </w:pPr>
      <w:r w:rsidRPr="002F010D">
        <w:rPr>
          <w:rFonts w:ascii="Times New Roman" w:hAnsi="Times New Roman" w:cs="Times New Roman"/>
        </w:rPr>
        <w:t>In additio</w:t>
      </w:r>
      <w:r w:rsidR="003C364D" w:rsidRPr="002F010D">
        <w:rPr>
          <w:rFonts w:ascii="Times New Roman" w:hAnsi="Times New Roman" w:cs="Times New Roman"/>
        </w:rPr>
        <w:t>n, the Medos DP3 geometry from the</w:t>
      </w:r>
      <w:r w:rsidR="00AC4BC7" w:rsidRPr="002F010D">
        <w:rPr>
          <w:rFonts w:ascii="Times New Roman" w:hAnsi="Times New Roman" w:cs="Times New Roman"/>
        </w:rPr>
        <w:t xml:space="preserve"> study by Groß-Hardt et al. [1</w:t>
      </w:r>
      <w:r w:rsidR="003C364D" w:rsidRPr="002F010D">
        <w:rPr>
          <w:rFonts w:ascii="Times New Roman" w:hAnsi="Times New Roman" w:cs="Times New Roman"/>
        </w:rPr>
        <w:t xml:space="preserve">] </w:t>
      </w:r>
      <w:r w:rsidRPr="002F010D">
        <w:rPr>
          <w:rFonts w:ascii="Times New Roman" w:hAnsi="Times New Roman" w:cs="Times New Roman"/>
        </w:rPr>
        <w:t>was taken to see how the model performs in an extracorporeal centrifugal pump</w:t>
      </w:r>
      <w:r w:rsidR="003C364D" w:rsidRPr="002F010D">
        <w:rPr>
          <w:rFonts w:ascii="Times New Roman" w:hAnsi="Times New Roman" w:cs="Times New Roman"/>
        </w:rPr>
        <w:t>. The meshed geometry is shown in Figure S</w:t>
      </w:r>
      <w:r w:rsidR="00DC088F" w:rsidRPr="002F010D">
        <w:rPr>
          <w:rFonts w:ascii="Times New Roman" w:hAnsi="Times New Roman" w:cs="Times New Roman"/>
        </w:rPr>
        <w:t>9</w:t>
      </w:r>
      <w:r w:rsidR="003C364D" w:rsidRPr="002F010D">
        <w:rPr>
          <w:rFonts w:ascii="Times New Roman" w:hAnsi="Times New Roman" w:cs="Times New Roman"/>
        </w:rPr>
        <w:t>.</w:t>
      </w:r>
      <w:r w:rsidR="00AC4BC7" w:rsidRPr="002F010D">
        <w:rPr>
          <w:rFonts w:ascii="Times New Roman" w:hAnsi="Times New Roman" w:cs="Times New Roman"/>
        </w:rPr>
        <w:t xml:space="preserve"> The similar meshing strategy as was used in the HM2 geometry resulted in a mesh of approximately 7 million elements. </w:t>
      </w:r>
      <w:r w:rsidR="007F74CD" w:rsidRPr="002F010D">
        <w:rPr>
          <w:rFonts w:ascii="Times New Roman" w:hAnsi="Times New Roman" w:cs="Times New Roman"/>
        </w:rPr>
        <w:t>To see how the model performs in another pump geometry, the accelerated thrombosis model was applied to the DP3 geometry at 5000 rpm and 1.5 l/min</w:t>
      </w:r>
      <w:r w:rsidR="0009290D" w:rsidRPr="002F010D">
        <w:rPr>
          <w:rFonts w:ascii="Times New Roman" w:hAnsi="Times New Roman" w:cs="Times New Roman"/>
        </w:rPr>
        <w:t>, a low-flow operating point known for bad hemocompatibility [1].</w:t>
      </w:r>
    </w:p>
    <w:p w14:paraId="3D54B786" w14:textId="1F27B7B2" w:rsidR="003C364D" w:rsidRPr="002F010D" w:rsidRDefault="00650781" w:rsidP="003C364D">
      <w:pPr>
        <w:keepNext/>
        <w:spacing w:line="288" w:lineRule="auto"/>
        <w:jc w:val="center"/>
      </w:pPr>
      <w:r w:rsidRPr="002F010D">
        <w:rPr>
          <w:noProof/>
          <w:lang w:eastAsia="en-US"/>
        </w:rPr>
        <w:drawing>
          <wp:inline distT="0" distB="0" distL="0" distR="0" wp14:anchorId="11E5C76D" wp14:editId="23BF7C4C">
            <wp:extent cx="2018599" cy="2588336"/>
            <wp:effectExtent l="0" t="0" r="127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2633" cy="2593509"/>
                    </a:xfrm>
                    <a:prstGeom prst="rect">
                      <a:avLst/>
                    </a:prstGeom>
                    <a:noFill/>
                    <a:ln>
                      <a:noFill/>
                    </a:ln>
                  </pic:spPr>
                </pic:pic>
              </a:graphicData>
            </a:graphic>
          </wp:inline>
        </w:drawing>
      </w:r>
    </w:p>
    <w:p w14:paraId="473A2E54" w14:textId="74F019E8" w:rsidR="003C364D" w:rsidRPr="002F010D" w:rsidRDefault="003C364D" w:rsidP="003C364D">
      <w:pPr>
        <w:pStyle w:val="Caption"/>
        <w:jc w:val="center"/>
        <w:rPr>
          <w:rFonts w:ascii="Times New Roman" w:hAnsi="Times New Roman" w:cs="Times New Roman"/>
          <w:color w:val="000000" w:themeColor="text1"/>
        </w:rPr>
      </w:pPr>
      <w:r w:rsidRPr="002F010D">
        <w:rPr>
          <w:rFonts w:ascii="Times New Roman" w:hAnsi="Times New Roman" w:cs="Times New Roman"/>
          <w:color w:val="000000" w:themeColor="text1"/>
        </w:rPr>
        <w:t>Figure S</w:t>
      </w:r>
      <w:r w:rsidR="00DC088F" w:rsidRPr="002F010D">
        <w:rPr>
          <w:rFonts w:ascii="Times New Roman" w:hAnsi="Times New Roman" w:cs="Times New Roman"/>
          <w:color w:val="000000" w:themeColor="text1"/>
        </w:rPr>
        <w:t>9</w:t>
      </w:r>
      <w:r w:rsidRPr="002F010D">
        <w:rPr>
          <w:rFonts w:ascii="Times New Roman" w:hAnsi="Times New Roman" w:cs="Times New Roman"/>
          <w:color w:val="000000" w:themeColor="text1"/>
        </w:rPr>
        <w:t xml:space="preserve">: </w:t>
      </w:r>
      <w:r w:rsidR="0009290D" w:rsidRPr="002F010D">
        <w:rPr>
          <w:rFonts w:ascii="Times New Roman" w:hAnsi="Times New Roman" w:cs="Times New Roman"/>
          <w:color w:val="000000" w:themeColor="text1"/>
        </w:rPr>
        <w:t>G</w:t>
      </w:r>
      <w:r w:rsidRPr="002F010D">
        <w:rPr>
          <w:rFonts w:ascii="Times New Roman" w:hAnsi="Times New Roman" w:cs="Times New Roman"/>
          <w:color w:val="000000" w:themeColor="text1"/>
        </w:rPr>
        <w:t>eometry of the Medos DP3 pump</w:t>
      </w:r>
      <w:r w:rsidR="0009290D" w:rsidRPr="002F010D">
        <w:rPr>
          <w:rFonts w:ascii="Times New Roman" w:hAnsi="Times New Roman" w:cs="Times New Roman"/>
          <w:color w:val="000000" w:themeColor="text1"/>
        </w:rPr>
        <w:t xml:space="preserve"> with inflow and outflow</w:t>
      </w:r>
    </w:p>
    <w:p w14:paraId="18745AC2" w14:textId="2BC6D3E3" w:rsidR="007F74CD" w:rsidRPr="002F010D" w:rsidRDefault="00AC4BC7" w:rsidP="00DE77B2">
      <w:pPr>
        <w:spacing w:line="288" w:lineRule="auto"/>
        <w:rPr>
          <w:rFonts w:ascii="Times New Roman" w:hAnsi="Times New Roman" w:cs="Times New Roman"/>
        </w:rPr>
      </w:pPr>
      <w:r w:rsidRPr="002F010D">
        <w:rPr>
          <w:rFonts w:ascii="Times New Roman" w:hAnsi="Times New Roman" w:cs="Times New Roman"/>
        </w:rPr>
        <w:t>Figure S</w:t>
      </w:r>
      <w:r w:rsidR="00DC088F" w:rsidRPr="002F010D">
        <w:rPr>
          <w:rFonts w:ascii="Times New Roman" w:hAnsi="Times New Roman" w:cs="Times New Roman"/>
        </w:rPr>
        <w:t>10</w:t>
      </w:r>
      <w:r w:rsidRPr="002F010D">
        <w:rPr>
          <w:rFonts w:ascii="Times New Roman" w:hAnsi="Times New Roman" w:cs="Times New Roman"/>
        </w:rPr>
        <w:t xml:space="preserve"> – </w:t>
      </w:r>
      <w:r w:rsidR="0009290D" w:rsidRPr="002F010D">
        <w:rPr>
          <w:rFonts w:ascii="Times New Roman" w:hAnsi="Times New Roman" w:cs="Times New Roman"/>
        </w:rPr>
        <w:t>a</w:t>
      </w:r>
      <w:r w:rsidRPr="002F010D">
        <w:rPr>
          <w:rFonts w:ascii="Times New Roman" w:hAnsi="Times New Roman" w:cs="Times New Roman"/>
        </w:rPr>
        <w:t xml:space="preserve">, </w:t>
      </w:r>
      <w:r w:rsidR="007F74CD" w:rsidRPr="002F010D">
        <w:rPr>
          <w:rFonts w:ascii="Times New Roman" w:hAnsi="Times New Roman" w:cs="Times New Roman"/>
        </w:rPr>
        <w:t>illustrates the AP concentration distribution over the simulation domains on the left side. The AP concent</w:t>
      </w:r>
      <w:r w:rsidRPr="002F010D">
        <w:rPr>
          <w:rFonts w:ascii="Times New Roman" w:hAnsi="Times New Roman" w:cs="Times New Roman"/>
        </w:rPr>
        <w:t>ration is initially low in the i</w:t>
      </w:r>
      <w:r w:rsidR="007F74CD" w:rsidRPr="002F010D">
        <w:rPr>
          <w:rFonts w:ascii="Times New Roman" w:hAnsi="Times New Roman" w:cs="Times New Roman"/>
        </w:rPr>
        <w:t xml:space="preserve">nlet section and then increases abruptly from the </w:t>
      </w:r>
      <w:r w:rsidRPr="002F010D">
        <w:rPr>
          <w:rFonts w:ascii="Times New Roman" w:hAnsi="Times New Roman" w:cs="Times New Roman"/>
        </w:rPr>
        <w:t>r</w:t>
      </w:r>
      <w:r w:rsidR="007F74CD" w:rsidRPr="002F010D">
        <w:rPr>
          <w:rFonts w:ascii="Times New Roman" w:hAnsi="Times New Roman" w:cs="Times New Roman"/>
        </w:rPr>
        <w:t xml:space="preserve">otor domain onwards. The concentration is highest in the Secondary Gap region. In </w:t>
      </w:r>
      <w:r w:rsidRPr="002F010D">
        <w:rPr>
          <w:rFonts w:ascii="Times New Roman" w:hAnsi="Times New Roman" w:cs="Times New Roman"/>
        </w:rPr>
        <w:t>Figure S</w:t>
      </w:r>
      <w:r w:rsidR="00DC088F" w:rsidRPr="002F010D">
        <w:rPr>
          <w:rFonts w:ascii="Times New Roman" w:hAnsi="Times New Roman" w:cs="Times New Roman"/>
        </w:rPr>
        <w:t>10</w:t>
      </w:r>
      <w:r w:rsidR="0007576C" w:rsidRPr="002F010D">
        <w:rPr>
          <w:rFonts w:ascii="Times New Roman" w:hAnsi="Times New Roman" w:cs="Times New Roman"/>
        </w:rPr>
        <w:t xml:space="preserve"> – </w:t>
      </w:r>
      <w:r w:rsidR="00E0355F" w:rsidRPr="002F010D">
        <w:rPr>
          <w:rFonts w:ascii="Times New Roman" w:hAnsi="Times New Roman" w:cs="Times New Roman"/>
        </w:rPr>
        <w:t>b</w:t>
      </w:r>
      <w:r w:rsidRPr="002F010D">
        <w:rPr>
          <w:rFonts w:ascii="Times New Roman" w:hAnsi="Times New Roman" w:cs="Times New Roman"/>
        </w:rPr>
        <w:t>,</w:t>
      </w:r>
      <w:r w:rsidR="007F74CD" w:rsidRPr="002F010D">
        <w:rPr>
          <w:rFonts w:ascii="Times New Roman" w:hAnsi="Times New Roman" w:cs="Times New Roman"/>
        </w:rPr>
        <w:t xml:space="preserve"> it is possible to identify that the volumes with the highest AP concentration are located exactly at the bearing of the impeller.</w:t>
      </w:r>
    </w:p>
    <w:p w14:paraId="1FE68DCA" w14:textId="6ED70C12" w:rsidR="00F821C4" w:rsidRPr="002F010D" w:rsidRDefault="00F821C4" w:rsidP="00DE77B2">
      <w:pPr>
        <w:spacing w:line="288" w:lineRule="auto"/>
        <w:rPr>
          <w:rFonts w:ascii="Times New Roman" w:hAnsi="Times New Roman" w:cs="Times New Roman"/>
        </w:rPr>
      </w:pPr>
    </w:p>
    <w:p w14:paraId="42CA8D15" w14:textId="655597BC" w:rsidR="007F74CD" w:rsidRPr="002F010D" w:rsidRDefault="00650781" w:rsidP="00DE77B2">
      <w:pPr>
        <w:keepNext/>
        <w:spacing w:line="288" w:lineRule="auto"/>
        <w:jc w:val="center"/>
        <w:rPr>
          <w:rFonts w:ascii="Times New Roman" w:hAnsi="Times New Roman" w:cs="Times New Roman"/>
        </w:rPr>
      </w:pPr>
      <w:r w:rsidRPr="002F010D">
        <w:rPr>
          <w:rFonts w:ascii="Times New Roman" w:hAnsi="Times New Roman" w:cs="Times New Roman"/>
          <w:noProof/>
          <w:lang w:eastAsia="en-US"/>
        </w:rPr>
        <w:drawing>
          <wp:inline distT="0" distB="0" distL="0" distR="0" wp14:anchorId="566B8620" wp14:editId="01AD02EB">
            <wp:extent cx="5750560" cy="3042285"/>
            <wp:effectExtent l="0" t="0" r="254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0560" cy="3042285"/>
                    </a:xfrm>
                    <a:prstGeom prst="rect">
                      <a:avLst/>
                    </a:prstGeom>
                    <a:noFill/>
                    <a:ln>
                      <a:noFill/>
                    </a:ln>
                  </pic:spPr>
                </pic:pic>
              </a:graphicData>
            </a:graphic>
          </wp:inline>
        </w:drawing>
      </w:r>
    </w:p>
    <w:p w14:paraId="6F9338D7" w14:textId="01871650" w:rsidR="007F74CD" w:rsidRPr="002F010D" w:rsidRDefault="007F74CD" w:rsidP="00DE77B2">
      <w:pPr>
        <w:pStyle w:val="Caption"/>
        <w:spacing w:line="288" w:lineRule="auto"/>
        <w:jc w:val="center"/>
        <w:rPr>
          <w:rFonts w:ascii="Times New Roman" w:hAnsi="Times New Roman" w:cs="Times New Roman"/>
          <w:color w:val="auto"/>
        </w:rPr>
      </w:pPr>
      <w:bookmarkStart w:id="6" w:name="_Ref74060165"/>
      <w:r w:rsidRPr="002F010D">
        <w:rPr>
          <w:rFonts w:ascii="Times New Roman" w:hAnsi="Times New Roman" w:cs="Times New Roman"/>
          <w:color w:val="auto"/>
        </w:rPr>
        <w:t>Figure</w:t>
      </w:r>
      <w:bookmarkEnd w:id="6"/>
      <w:r w:rsidR="0058691C" w:rsidRPr="002F010D">
        <w:rPr>
          <w:rFonts w:ascii="Times New Roman" w:hAnsi="Times New Roman" w:cs="Times New Roman"/>
          <w:color w:val="auto"/>
        </w:rPr>
        <w:t xml:space="preserve"> S</w:t>
      </w:r>
      <w:r w:rsidR="00DC088F" w:rsidRPr="002F010D">
        <w:rPr>
          <w:rFonts w:ascii="Times New Roman" w:hAnsi="Times New Roman" w:cs="Times New Roman"/>
          <w:color w:val="auto"/>
        </w:rPr>
        <w:t>10</w:t>
      </w:r>
      <w:r w:rsidRPr="002F010D">
        <w:rPr>
          <w:rFonts w:ascii="Times New Roman" w:hAnsi="Times New Roman" w:cs="Times New Roman"/>
          <w:color w:val="auto"/>
        </w:rPr>
        <w:t>: Application of the accelerated thrombosis model to DP3 geometry at 5000rpm and 1.5 L/min and the resulting AP concentration</w:t>
      </w:r>
    </w:p>
    <w:p w14:paraId="7DF8849E" w14:textId="10D6447B" w:rsidR="00D96235" w:rsidRPr="002F010D" w:rsidRDefault="002F010D" w:rsidP="00DE77B2">
      <w:pPr>
        <w:spacing w:line="288" w:lineRule="auto"/>
        <w:rPr>
          <w:rFonts w:ascii="Times New Roman" w:hAnsi="Times New Roman" w:cs="Times New Roman"/>
        </w:rPr>
      </w:pPr>
    </w:p>
    <w:p w14:paraId="070DCF32" w14:textId="435CA3EC" w:rsidR="00AC4BC7" w:rsidRPr="002F010D" w:rsidRDefault="00AC4BC7" w:rsidP="00DE77B2">
      <w:pPr>
        <w:spacing w:line="288" w:lineRule="auto"/>
        <w:rPr>
          <w:rFonts w:ascii="Times New Roman" w:hAnsi="Times New Roman" w:cs="Times New Roman"/>
          <w:b/>
          <w:lang w:val="de-DE"/>
        </w:rPr>
      </w:pPr>
      <w:r w:rsidRPr="002F010D">
        <w:rPr>
          <w:rFonts w:ascii="Times New Roman" w:hAnsi="Times New Roman" w:cs="Times New Roman"/>
          <w:b/>
          <w:lang w:val="de-DE"/>
        </w:rPr>
        <w:t>References:</w:t>
      </w:r>
    </w:p>
    <w:p w14:paraId="54096907" w14:textId="080F18A6" w:rsidR="00AC4BC7" w:rsidRPr="002F010D" w:rsidRDefault="00AC4BC7" w:rsidP="00DE77B2">
      <w:pPr>
        <w:spacing w:line="288" w:lineRule="auto"/>
        <w:rPr>
          <w:rFonts w:ascii="Times New Roman" w:hAnsi="Times New Roman" w:cs="Times New Roman"/>
          <w:b/>
          <w:lang w:val="de-DE"/>
        </w:rPr>
      </w:pPr>
    </w:p>
    <w:p w14:paraId="46314962" w14:textId="4F0B7E07" w:rsidR="00AC4BC7" w:rsidRPr="00AC4BC7" w:rsidRDefault="00AC4BC7" w:rsidP="00DE77B2">
      <w:pPr>
        <w:spacing w:line="288" w:lineRule="auto"/>
        <w:rPr>
          <w:rFonts w:ascii="Times New Roman" w:hAnsi="Times New Roman" w:cs="Times New Roman"/>
        </w:rPr>
      </w:pPr>
      <w:r w:rsidRPr="002F010D">
        <w:rPr>
          <w:rFonts w:ascii="Times New Roman" w:hAnsi="Times New Roman" w:cs="Times New Roman"/>
          <w:lang w:val="de-DE"/>
        </w:rPr>
        <w:t xml:space="preserve">[1] Gross-Hardt S, Hesselmann F, Arens J, Steinseifer U, Vercaemst L, Windisch W, et al. </w:t>
      </w:r>
      <w:r w:rsidRPr="002F010D">
        <w:rPr>
          <w:rFonts w:ascii="Times New Roman" w:hAnsi="Times New Roman" w:cs="Times New Roman"/>
        </w:rPr>
        <w:t>Low-flow assessment of current ECMO/ECCO2R rotary blood pumps and the potential effect on hemocompatibility. Crit Care. 2019;23:348.</w:t>
      </w:r>
    </w:p>
    <w:sectPr w:rsidR="00AC4BC7" w:rsidRPr="00AC4BC7" w:rsidSect="002F010D">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E18AD" w14:textId="77777777" w:rsidR="008864F8" w:rsidRDefault="008864F8" w:rsidP="00880AA3">
      <w:pPr>
        <w:spacing w:line="240" w:lineRule="auto"/>
      </w:pPr>
      <w:r>
        <w:separator/>
      </w:r>
    </w:p>
  </w:endnote>
  <w:endnote w:type="continuationSeparator" w:id="0">
    <w:p w14:paraId="61D14D98" w14:textId="77777777" w:rsidR="008864F8" w:rsidRDefault="008864F8" w:rsidP="00880A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4583E" w14:textId="77777777" w:rsidR="00880AA3" w:rsidRDefault="00880A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3405842"/>
      <w:docPartObj>
        <w:docPartGallery w:val="Page Numbers (Bottom of Page)"/>
        <w:docPartUnique/>
      </w:docPartObj>
    </w:sdtPr>
    <w:sdtEndPr/>
    <w:sdtContent>
      <w:p w14:paraId="2772A23C" w14:textId="1CF6B114" w:rsidR="00880AA3" w:rsidRDefault="00880AA3">
        <w:pPr>
          <w:pStyle w:val="Footer"/>
          <w:jc w:val="right"/>
        </w:pPr>
        <w:r>
          <w:fldChar w:fldCharType="begin"/>
        </w:r>
        <w:r>
          <w:instrText>PAGE   \* MERGEFORMAT</w:instrText>
        </w:r>
        <w:r>
          <w:fldChar w:fldCharType="separate"/>
        </w:r>
        <w:r w:rsidR="002F010D" w:rsidRPr="002F010D">
          <w:rPr>
            <w:noProof/>
            <w:lang w:val="de-DE"/>
          </w:rPr>
          <w:t>8</w:t>
        </w:r>
        <w:r>
          <w:fldChar w:fldCharType="end"/>
        </w:r>
      </w:p>
    </w:sdtContent>
  </w:sdt>
  <w:p w14:paraId="576849D6" w14:textId="77777777" w:rsidR="00880AA3" w:rsidRDefault="00880A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FCCDB" w14:textId="77777777" w:rsidR="00880AA3" w:rsidRDefault="00880A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BD5BBB" w14:textId="77777777" w:rsidR="008864F8" w:rsidRDefault="008864F8" w:rsidP="00880AA3">
      <w:pPr>
        <w:spacing w:line="240" w:lineRule="auto"/>
      </w:pPr>
      <w:r>
        <w:separator/>
      </w:r>
    </w:p>
  </w:footnote>
  <w:footnote w:type="continuationSeparator" w:id="0">
    <w:p w14:paraId="2060C5F8" w14:textId="77777777" w:rsidR="008864F8" w:rsidRDefault="008864F8" w:rsidP="00880A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14B35" w14:textId="77777777" w:rsidR="00880AA3" w:rsidRDefault="00880A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8F17F" w14:textId="77777777" w:rsidR="00880AA3" w:rsidRDefault="00880A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F3324" w14:textId="77777777" w:rsidR="00880AA3" w:rsidRDefault="00880A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F5BD9"/>
    <w:multiLevelType w:val="multilevel"/>
    <w:tmpl w:val="20DAB3DC"/>
    <w:lvl w:ilvl="0">
      <w:start w:val="1"/>
      <w:numFmt w:val="decimal"/>
      <w:pStyle w:val="Heading1"/>
      <w:lvlText w:val="%1"/>
      <w:lvlJc w:val="left"/>
      <w:pPr>
        <w:ind w:left="574"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464A3FAD"/>
    <w:multiLevelType w:val="hybridMultilevel"/>
    <w:tmpl w:val="2CEE136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de-DE" w:vendorID="64" w:dllVersion="6" w:nlCheck="1" w:checkStyle="0"/>
  <w:activeWritingStyle w:appName="MSWord" w:lang="en-US" w:vendorID="64" w:dllVersion="6" w:nlCheck="1" w:checkStyle="1"/>
  <w:activeWritingStyle w:appName="MSWord" w:lang="en-AU"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29E"/>
    <w:rsid w:val="00044EA1"/>
    <w:rsid w:val="00063DBC"/>
    <w:rsid w:val="0007576C"/>
    <w:rsid w:val="0009290D"/>
    <w:rsid w:val="0009719B"/>
    <w:rsid w:val="000B2854"/>
    <w:rsid w:val="000D59ED"/>
    <w:rsid w:val="000F7D9C"/>
    <w:rsid w:val="001140CC"/>
    <w:rsid w:val="00123530"/>
    <w:rsid w:val="001429EB"/>
    <w:rsid w:val="001838C9"/>
    <w:rsid w:val="001C1160"/>
    <w:rsid w:val="00213CE8"/>
    <w:rsid w:val="00227C60"/>
    <w:rsid w:val="0024229E"/>
    <w:rsid w:val="002437F9"/>
    <w:rsid w:val="0024417A"/>
    <w:rsid w:val="00270F24"/>
    <w:rsid w:val="002849D9"/>
    <w:rsid w:val="0028544C"/>
    <w:rsid w:val="002871D0"/>
    <w:rsid w:val="00293578"/>
    <w:rsid w:val="002B6EBE"/>
    <w:rsid w:val="002C4903"/>
    <w:rsid w:val="002F010D"/>
    <w:rsid w:val="002F70A1"/>
    <w:rsid w:val="00331A8B"/>
    <w:rsid w:val="0037221D"/>
    <w:rsid w:val="00380182"/>
    <w:rsid w:val="0039015A"/>
    <w:rsid w:val="003C364D"/>
    <w:rsid w:val="003D57BE"/>
    <w:rsid w:val="004F750D"/>
    <w:rsid w:val="00563064"/>
    <w:rsid w:val="0058691C"/>
    <w:rsid w:val="005924CD"/>
    <w:rsid w:val="00596288"/>
    <w:rsid w:val="005B7842"/>
    <w:rsid w:val="005E0F39"/>
    <w:rsid w:val="005E77A2"/>
    <w:rsid w:val="005F3D54"/>
    <w:rsid w:val="00650781"/>
    <w:rsid w:val="00656504"/>
    <w:rsid w:val="00694344"/>
    <w:rsid w:val="006A7F38"/>
    <w:rsid w:val="006F4CE6"/>
    <w:rsid w:val="00721A9D"/>
    <w:rsid w:val="00730A9B"/>
    <w:rsid w:val="007544C2"/>
    <w:rsid w:val="00775E99"/>
    <w:rsid w:val="0079444D"/>
    <w:rsid w:val="007A1C82"/>
    <w:rsid w:val="007E47C4"/>
    <w:rsid w:val="007E5E31"/>
    <w:rsid w:val="007E64BE"/>
    <w:rsid w:val="007F74CD"/>
    <w:rsid w:val="008409B9"/>
    <w:rsid w:val="00880AA3"/>
    <w:rsid w:val="00884CC4"/>
    <w:rsid w:val="008864F8"/>
    <w:rsid w:val="008C6DF7"/>
    <w:rsid w:val="00925A21"/>
    <w:rsid w:val="009408E4"/>
    <w:rsid w:val="00967D4D"/>
    <w:rsid w:val="00A43107"/>
    <w:rsid w:val="00A43C3E"/>
    <w:rsid w:val="00A44357"/>
    <w:rsid w:val="00A75BFD"/>
    <w:rsid w:val="00AC4BC7"/>
    <w:rsid w:val="00B675A1"/>
    <w:rsid w:val="00B774D0"/>
    <w:rsid w:val="00BF27A2"/>
    <w:rsid w:val="00C67B87"/>
    <w:rsid w:val="00CA6D78"/>
    <w:rsid w:val="00CE4EE3"/>
    <w:rsid w:val="00D4549C"/>
    <w:rsid w:val="00DC088F"/>
    <w:rsid w:val="00DE77B2"/>
    <w:rsid w:val="00DE7F90"/>
    <w:rsid w:val="00E0355F"/>
    <w:rsid w:val="00E65BCE"/>
    <w:rsid w:val="00E74EC8"/>
    <w:rsid w:val="00EB14EB"/>
    <w:rsid w:val="00EC0271"/>
    <w:rsid w:val="00ED546A"/>
    <w:rsid w:val="00F0320F"/>
    <w:rsid w:val="00F623AF"/>
    <w:rsid w:val="00F66D7A"/>
    <w:rsid w:val="00F821C4"/>
    <w:rsid w:val="00F847E0"/>
    <w:rsid w:val="00FA7551"/>
    <w:rsid w:val="00FC1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72166"/>
  <w15:chartTrackingRefBased/>
  <w15:docId w15:val="{CF33B70F-240D-483C-87FE-59C18B8F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de-DE"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842"/>
    <w:rPr>
      <w:rFonts w:ascii="Arial" w:eastAsiaTheme="minorEastAsia" w:hAnsi="Arial" w:cs="Arial"/>
      <w:sz w:val="24"/>
      <w:szCs w:val="24"/>
      <w:lang w:val="en-US" w:eastAsia="zh-TW"/>
    </w:rPr>
  </w:style>
  <w:style w:type="paragraph" w:styleId="Heading1">
    <w:name w:val="heading 1"/>
    <w:basedOn w:val="Normal"/>
    <w:next w:val="Normal"/>
    <w:link w:val="Heading1Char"/>
    <w:uiPriority w:val="9"/>
    <w:qFormat/>
    <w:rsid w:val="00DE77B2"/>
    <w:pPr>
      <w:numPr>
        <w:numId w:val="2"/>
      </w:numPr>
      <w:ind w:left="432"/>
      <w:outlineLvl w:val="0"/>
    </w:pPr>
    <w:rPr>
      <w:b/>
    </w:rPr>
  </w:style>
  <w:style w:type="paragraph" w:styleId="Heading2">
    <w:name w:val="heading 2"/>
    <w:basedOn w:val="Normal"/>
    <w:next w:val="Normal"/>
    <w:link w:val="Heading2Char"/>
    <w:uiPriority w:val="9"/>
    <w:unhideWhenUsed/>
    <w:qFormat/>
    <w:rsid w:val="00DE77B2"/>
    <w:pPr>
      <w:numPr>
        <w:ilvl w:val="1"/>
        <w:numId w:val="2"/>
      </w:numPr>
      <w:outlineLvl w:val="1"/>
    </w:pPr>
    <w:rPr>
      <w:b/>
    </w:rPr>
  </w:style>
  <w:style w:type="paragraph" w:styleId="Heading3">
    <w:name w:val="heading 3"/>
    <w:basedOn w:val="Normal"/>
    <w:next w:val="Normal"/>
    <w:link w:val="Heading3Char"/>
    <w:uiPriority w:val="9"/>
    <w:semiHidden/>
    <w:unhideWhenUsed/>
    <w:qFormat/>
    <w:rsid w:val="00DE77B2"/>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DE77B2"/>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E77B2"/>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E77B2"/>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E77B2"/>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E77B2"/>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E77B2"/>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T_Beschriftung"/>
    <w:basedOn w:val="Normal"/>
    <w:next w:val="Normal"/>
    <w:uiPriority w:val="1"/>
    <w:unhideWhenUsed/>
    <w:qFormat/>
    <w:rsid w:val="007F74C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7F74CD"/>
    <w:rPr>
      <w:sz w:val="16"/>
      <w:szCs w:val="16"/>
    </w:rPr>
  </w:style>
  <w:style w:type="paragraph" w:styleId="CommentText">
    <w:name w:val="annotation text"/>
    <w:basedOn w:val="Normal"/>
    <w:link w:val="CommentTextChar"/>
    <w:uiPriority w:val="99"/>
    <w:unhideWhenUsed/>
    <w:rsid w:val="007F74CD"/>
    <w:pPr>
      <w:spacing w:line="240" w:lineRule="auto"/>
    </w:pPr>
    <w:rPr>
      <w:sz w:val="20"/>
      <w:szCs w:val="20"/>
    </w:rPr>
  </w:style>
  <w:style w:type="character" w:customStyle="1" w:styleId="CommentTextChar">
    <w:name w:val="Comment Text Char"/>
    <w:basedOn w:val="DefaultParagraphFont"/>
    <w:link w:val="CommentText"/>
    <w:uiPriority w:val="99"/>
    <w:rsid w:val="007F74CD"/>
    <w:rPr>
      <w:rFonts w:ascii="Arial" w:eastAsiaTheme="minorEastAsia" w:hAnsi="Arial" w:cs="Arial"/>
      <w:sz w:val="20"/>
      <w:szCs w:val="20"/>
      <w:lang w:val="en-US" w:eastAsia="zh-TW"/>
    </w:rPr>
  </w:style>
  <w:style w:type="paragraph" w:styleId="BalloonText">
    <w:name w:val="Balloon Text"/>
    <w:basedOn w:val="Normal"/>
    <w:link w:val="BalloonTextChar"/>
    <w:uiPriority w:val="99"/>
    <w:semiHidden/>
    <w:unhideWhenUsed/>
    <w:rsid w:val="007F74C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4CD"/>
    <w:rPr>
      <w:rFonts w:ascii="Segoe UI" w:eastAsiaTheme="minorEastAsia" w:hAnsi="Segoe UI" w:cs="Segoe UI"/>
      <w:sz w:val="18"/>
      <w:szCs w:val="18"/>
      <w:lang w:val="en-US" w:eastAsia="zh-TW"/>
    </w:rPr>
  </w:style>
  <w:style w:type="paragraph" w:styleId="NoSpacing">
    <w:name w:val="No Spacing"/>
    <w:uiPriority w:val="1"/>
    <w:qFormat/>
    <w:rsid w:val="00DE77B2"/>
    <w:pPr>
      <w:spacing w:line="276" w:lineRule="auto"/>
      <w:jc w:val="left"/>
    </w:pPr>
    <w:rPr>
      <w:rFonts w:asciiTheme="minorHAnsi" w:eastAsiaTheme="minorEastAsia" w:hAnsiTheme="minorHAnsi" w:cstheme="minorBidi"/>
      <w:sz w:val="20"/>
      <w:szCs w:val="20"/>
      <w:lang w:val="en-AU" w:eastAsia="zh-TW"/>
    </w:rPr>
  </w:style>
  <w:style w:type="character" w:customStyle="1" w:styleId="Heading1Char">
    <w:name w:val="Heading 1 Char"/>
    <w:basedOn w:val="DefaultParagraphFont"/>
    <w:link w:val="Heading1"/>
    <w:uiPriority w:val="9"/>
    <w:rsid w:val="00DE77B2"/>
    <w:rPr>
      <w:rFonts w:ascii="Arial" w:eastAsiaTheme="minorEastAsia" w:hAnsi="Arial" w:cs="Arial"/>
      <w:b/>
      <w:sz w:val="24"/>
      <w:szCs w:val="24"/>
      <w:lang w:val="en-US" w:eastAsia="zh-TW"/>
    </w:rPr>
  </w:style>
  <w:style w:type="character" w:customStyle="1" w:styleId="Heading2Char">
    <w:name w:val="Heading 2 Char"/>
    <w:basedOn w:val="DefaultParagraphFont"/>
    <w:link w:val="Heading2"/>
    <w:uiPriority w:val="9"/>
    <w:rsid w:val="00DE77B2"/>
    <w:rPr>
      <w:rFonts w:ascii="Arial" w:eastAsiaTheme="minorEastAsia" w:hAnsi="Arial" w:cs="Arial"/>
      <w:b/>
      <w:sz w:val="24"/>
      <w:szCs w:val="24"/>
      <w:lang w:val="en-US" w:eastAsia="zh-TW"/>
    </w:rPr>
  </w:style>
  <w:style w:type="character" w:customStyle="1" w:styleId="Heading3Char">
    <w:name w:val="Heading 3 Char"/>
    <w:basedOn w:val="DefaultParagraphFont"/>
    <w:link w:val="Heading3"/>
    <w:uiPriority w:val="9"/>
    <w:semiHidden/>
    <w:rsid w:val="00DE77B2"/>
    <w:rPr>
      <w:rFonts w:asciiTheme="majorHAnsi" w:eastAsiaTheme="majorEastAsia" w:hAnsiTheme="majorHAnsi" w:cstheme="majorBidi"/>
      <w:color w:val="1F4D78" w:themeColor="accent1" w:themeShade="7F"/>
      <w:sz w:val="24"/>
      <w:szCs w:val="24"/>
      <w:lang w:val="en-US" w:eastAsia="zh-TW"/>
    </w:rPr>
  </w:style>
  <w:style w:type="character" w:customStyle="1" w:styleId="Heading4Char">
    <w:name w:val="Heading 4 Char"/>
    <w:basedOn w:val="DefaultParagraphFont"/>
    <w:link w:val="Heading4"/>
    <w:uiPriority w:val="9"/>
    <w:semiHidden/>
    <w:rsid w:val="00DE77B2"/>
    <w:rPr>
      <w:rFonts w:asciiTheme="majorHAnsi" w:eastAsiaTheme="majorEastAsia" w:hAnsiTheme="majorHAnsi" w:cstheme="majorBidi"/>
      <w:i/>
      <w:iCs/>
      <w:color w:val="2E74B5" w:themeColor="accent1" w:themeShade="BF"/>
      <w:sz w:val="24"/>
      <w:szCs w:val="24"/>
      <w:lang w:val="en-US" w:eastAsia="zh-TW"/>
    </w:rPr>
  </w:style>
  <w:style w:type="character" w:customStyle="1" w:styleId="Heading5Char">
    <w:name w:val="Heading 5 Char"/>
    <w:basedOn w:val="DefaultParagraphFont"/>
    <w:link w:val="Heading5"/>
    <w:uiPriority w:val="9"/>
    <w:semiHidden/>
    <w:rsid w:val="00DE77B2"/>
    <w:rPr>
      <w:rFonts w:asciiTheme="majorHAnsi" w:eastAsiaTheme="majorEastAsia" w:hAnsiTheme="majorHAnsi" w:cstheme="majorBidi"/>
      <w:color w:val="2E74B5" w:themeColor="accent1" w:themeShade="BF"/>
      <w:sz w:val="24"/>
      <w:szCs w:val="24"/>
      <w:lang w:val="en-US" w:eastAsia="zh-TW"/>
    </w:rPr>
  </w:style>
  <w:style w:type="character" w:customStyle="1" w:styleId="Heading6Char">
    <w:name w:val="Heading 6 Char"/>
    <w:basedOn w:val="DefaultParagraphFont"/>
    <w:link w:val="Heading6"/>
    <w:uiPriority w:val="9"/>
    <w:semiHidden/>
    <w:rsid w:val="00DE77B2"/>
    <w:rPr>
      <w:rFonts w:asciiTheme="majorHAnsi" w:eastAsiaTheme="majorEastAsia" w:hAnsiTheme="majorHAnsi" w:cstheme="majorBidi"/>
      <w:color w:val="1F4D78" w:themeColor="accent1" w:themeShade="7F"/>
      <w:sz w:val="24"/>
      <w:szCs w:val="24"/>
      <w:lang w:val="en-US" w:eastAsia="zh-TW"/>
    </w:rPr>
  </w:style>
  <w:style w:type="character" w:customStyle="1" w:styleId="Heading7Char">
    <w:name w:val="Heading 7 Char"/>
    <w:basedOn w:val="DefaultParagraphFont"/>
    <w:link w:val="Heading7"/>
    <w:uiPriority w:val="9"/>
    <w:semiHidden/>
    <w:rsid w:val="00DE77B2"/>
    <w:rPr>
      <w:rFonts w:asciiTheme="majorHAnsi" w:eastAsiaTheme="majorEastAsia" w:hAnsiTheme="majorHAnsi" w:cstheme="majorBidi"/>
      <w:i/>
      <w:iCs/>
      <w:color w:val="1F4D78" w:themeColor="accent1" w:themeShade="7F"/>
      <w:sz w:val="24"/>
      <w:szCs w:val="24"/>
      <w:lang w:val="en-US" w:eastAsia="zh-TW"/>
    </w:rPr>
  </w:style>
  <w:style w:type="character" w:customStyle="1" w:styleId="Heading8Char">
    <w:name w:val="Heading 8 Char"/>
    <w:basedOn w:val="DefaultParagraphFont"/>
    <w:link w:val="Heading8"/>
    <w:uiPriority w:val="9"/>
    <w:semiHidden/>
    <w:rsid w:val="00DE77B2"/>
    <w:rPr>
      <w:rFonts w:asciiTheme="majorHAnsi" w:eastAsiaTheme="majorEastAsia" w:hAnsiTheme="majorHAnsi" w:cstheme="majorBidi"/>
      <w:color w:val="272727" w:themeColor="text1" w:themeTint="D8"/>
      <w:sz w:val="21"/>
      <w:szCs w:val="21"/>
      <w:lang w:val="en-US" w:eastAsia="zh-TW"/>
    </w:rPr>
  </w:style>
  <w:style w:type="character" w:customStyle="1" w:styleId="Heading9Char">
    <w:name w:val="Heading 9 Char"/>
    <w:basedOn w:val="DefaultParagraphFont"/>
    <w:link w:val="Heading9"/>
    <w:uiPriority w:val="9"/>
    <w:semiHidden/>
    <w:rsid w:val="00DE77B2"/>
    <w:rPr>
      <w:rFonts w:asciiTheme="majorHAnsi" w:eastAsiaTheme="majorEastAsia" w:hAnsiTheme="majorHAnsi" w:cstheme="majorBidi"/>
      <w:i/>
      <w:iCs/>
      <w:color w:val="272727" w:themeColor="text1" w:themeTint="D8"/>
      <w:sz w:val="21"/>
      <w:szCs w:val="21"/>
      <w:lang w:val="en-US" w:eastAsia="zh-TW"/>
    </w:rPr>
  </w:style>
  <w:style w:type="character" w:styleId="Hyperlink">
    <w:name w:val="Hyperlink"/>
    <w:basedOn w:val="DefaultParagraphFont"/>
    <w:uiPriority w:val="99"/>
    <w:unhideWhenUsed/>
    <w:rsid w:val="00DE77B2"/>
    <w:rPr>
      <w:color w:val="0563C1" w:themeColor="hyperlink"/>
      <w:u w:val="single"/>
    </w:rPr>
  </w:style>
  <w:style w:type="paragraph" w:customStyle="1" w:styleId="TAbbildung">
    <w:name w:val="T_Abbildung"/>
    <w:basedOn w:val="Normal"/>
    <w:next w:val="Caption"/>
    <w:uiPriority w:val="1"/>
    <w:qFormat/>
    <w:rsid w:val="00DE77B2"/>
    <w:pPr>
      <w:keepNext/>
      <w:spacing w:before="120" w:after="120" w:line="288" w:lineRule="auto"/>
      <w:jc w:val="center"/>
    </w:pPr>
    <w:rPr>
      <w:rFonts w:asciiTheme="majorHAnsi" w:eastAsiaTheme="minorHAnsi" w:hAnsiTheme="majorHAnsi"/>
      <w:sz w:val="22"/>
      <w:lang w:val="de-DE" w:eastAsia="en-US" w:bidi="en-US"/>
    </w:rPr>
  </w:style>
  <w:style w:type="character" w:styleId="PlaceholderText">
    <w:name w:val="Placeholder Text"/>
    <w:aliases w:val="Thesis_Platzhaltertext"/>
    <w:basedOn w:val="DefaultParagraphFont"/>
    <w:uiPriority w:val="99"/>
    <w:unhideWhenUsed/>
    <w:rsid w:val="00DE77B2"/>
    <w:rPr>
      <w:color w:val="808080"/>
    </w:rPr>
  </w:style>
  <w:style w:type="paragraph" w:styleId="CommentSubject">
    <w:name w:val="annotation subject"/>
    <w:basedOn w:val="CommentText"/>
    <w:next w:val="CommentText"/>
    <w:link w:val="CommentSubjectChar"/>
    <w:uiPriority w:val="99"/>
    <w:semiHidden/>
    <w:unhideWhenUsed/>
    <w:rsid w:val="00380182"/>
    <w:rPr>
      <w:b/>
      <w:bCs/>
    </w:rPr>
  </w:style>
  <w:style w:type="character" w:customStyle="1" w:styleId="CommentSubjectChar">
    <w:name w:val="Comment Subject Char"/>
    <w:basedOn w:val="CommentTextChar"/>
    <w:link w:val="CommentSubject"/>
    <w:uiPriority w:val="99"/>
    <w:semiHidden/>
    <w:rsid w:val="00380182"/>
    <w:rPr>
      <w:rFonts w:ascii="Arial" w:eastAsiaTheme="minorEastAsia" w:hAnsi="Arial" w:cs="Arial"/>
      <w:b/>
      <w:bCs/>
      <w:sz w:val="20"/>
      <w:szCs w:val="20"/>
      <w:lang w:val="en-US" w:eastAsia="zh-TW"/>
    </w:rPr>
  </w:style>
  <w:style w:type="paragraph" w:styleId="Header">
    <w:name w:val="header"/>
    <w:basedOn w:val="Normal"/>
    <w:link w:val="HeaderChar"/>
    <w:uiPriority w:val="99"/>
    <w:unhideWhenUsed/>
    <w:rsid w:val="00880AA3"/>
    <w:pPr>
      <w:tabs>
        <w:tab w:val="center" w:pos="4703"/>
        <w:tab w:val="right" w:pos="9406"/>
      </w:tabs>
      <w:spacing w:line="240" w:lineRule="auto"/>
    </w:pPr>
  </w:style>
  <w:style w:type="character" w:customStyle="1" w:styleId="HeaderChar">
    <w:name w:val="Header Char"/>
    <w:basedOn w:val="DefaultParagraphFont"/>
    <w:link w:val="Header"/>
    <w:uiPriority w:val="99"/>
    <w:rsid w:val="00880AA3"/>
    <w:rPr>
      <w:rFonts w:ascii="Arial" w:eastAsiaTheme="minorEastAsia" w:hAnsi="Arial" w:cs="Arial"/>
      <w:sz w:val="24"/>
      <w:szCs w:val="24"/>
      <w:lang w:val="en-US" w:eastAsia="zh-TW"/>
    </w:rPr>
  </w:style>
  <w:style w:type="paragraph" w:styleId="Footer">
    <w:name w:val="footer"/>
    <w:basedOn w:val="Normal"/>
    <w:link w:val="FooterChar"/>
    <w:uiPriority w:val="99"/>
    <w:unhideWhenUsed/>
    <w:rsid w:val="00880AA3"/>
    <w:pPr>
      <w:tabs>
        <w:tab w:val="center" w:pos="4703"/>
        <w:tab w:val="right" w:pos="9406"/>
      </w:tabs>
      <w:spacing w:line="240" w:lineRule="auto"/>
    </w:pPr>
  </w:style>
  <w:style w:type="character" w:customStyle="1" w:styleId="FooterChar">
    <w:name w:val="Footer Char"/>
    <w:basedOn w:val="DefaultParagraphFont"/>
    <w:link w:val="Footer"/>
    <w:uiPriority w:val="99"/>
    <w:rsid w:val="00880AA3"/>
    <w:rPr>
      <w:rFonts w:ascii="Arial" w:eastAsiaTheme="minorEastAsia" w:hAnsi="Arial" w:cs="Arial"/>
      <w:sz w:val="24"/>
      <w:szCs w:val="24"/>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idlin@ame.rwth-aachen.de"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sv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9.sv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sv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11.sv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image" Target="media/image9.png"/><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336AA-0919-45BA-93E4-EBD57560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1309</Words>
  <Characters>7467</Characters>
  <Application>Microsoft Office Word</Application>
  <DocSecurity>0</DocSecurity>
  <Lines>62</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Neidlin</dc:creator>
  <cp:keywords/>
  <dc:description/>
  <cp:lastModifiedBy>Vanitha A.</cp:lastModifiedBy>
  <cp:revision>16</cp:revision>
  <dcterms:created xsi:type="dcterms:W3CDTF">2021-09-06T14:59:00Z</dcterms:created>
  <dcterms:modified xsi:type="dcterms:W3CDTF">2021-12-21T02:29:00Z</dcterms:modified>
</cp:coreProperties>
</file>