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B02" w:rsidRPr="00AC74EF" w:rsidRDefault="00FB2B02" w:rsidP="00FB2B02">
      <w:pPr>
        <w:rPr>
          <w:rFonts w:eastAsia="SimSun"/>
          <w:b/>
          <w:sz w:val="20"/>
          <w:szCs w:val="20"/>
        </w:rPr>
      </w:pPr>
      <w:proofErr w:type="gramStart"/>
      <w:r w:rsidRPr="00AC74EF">
        <w:rPr>
          <w:rFonts w:eastAsia="SimSun"/>
          <w:b/>
          <w:sz w:val="20"/>
          <w:szCs w:val="20"/>
        </w:rPr>
        <w:t xml:space="preserve">Figure </w:t>
      </w:r>
      <w:r>
        <w:rPr>
          <w:rFonts w:eastAsia="SimSun"/>
          <w:b/>
          <w:sz w:val="20"/>
          <w:szCs w:val="20"/>
        </w:rPr>
        <w:t>S1</w:t>
      </w:r>
      <w:r w:rsidRPr="00AC74EF">
        <w:rPr>
          <w:rFonts w:eastAsia="SimSun"/>
          <w:b/>
          <w:sz w:val="20"/>
          <w:szCs w:val="20"/>
        </w:rPr>
        <w:t>a (appendix).</w:t>
      </w:r>
      <w:proofErr w:type="gramEnd"/>
      <w:r w:rsidRPr="00AC74EF">
        <w:rPr>
          <w:rFonts w:eastAsia="SimSun"/>
          <w:b/>
          <w:sz w:val="20"/>
          <w:szCs w:val="20"/>
        </w:rPr>
        <w:t xml:space="preserve"> NCQA State of Health Care Quality Glycemic Control Measures (HbA1c&lt;7.0%)</w:t>
      </w:r>
    </w:p>
    <w:p w:rsidR="00FB2B02" w:rsidRDefault="00FB2B02" w:rsidP="00FB2B02">
      <w:pPr>
        <w:rPr>
          <w:sz w:val="20"/>
          <w:szCs w:val="20"/>
        </w:rPr>
      </w:pPr>
      <w:proofErr w:type="gramStart"/>
      <w:r w:rsidRPr="00AC74EF">
        <w:rPr>
          <w:sz w:val="20"/>
          <w:szCs w:val="20"/>
        </w:rPr>
        <w:t>HMO, health maintenance organization; NCQA, National Committee for Quality Assurance; PPO, preferred provider organization.</w:t>
      </w:r>
      <w:proofErr w:type="gramEnd"/>
      <w:r w:rsidR="00B94E48" w:rsidRPr="00B94E48">
        <w:rPr>
          <w:noProof/>
        </w:rPr>
        <w:t xml:space="preserve"> </w:t>
      </w:r>
      <w:r w:rsidR="00B94E48">
        <w:rPr>
          <w:noProof/>
        </w:rPr>
        <w:drawing>
          <wp:inline distT="0" distB="0" distL="0" distR="0" wp14:anchorId="7616D088" wp14:editId="644AE8EA">
            <wp:extent cx="5727700" cy="4295775"/>
            <wp:effectExtent l="0" t="0" r="6350" b="9525"/>
            <wp:docPr id="1" name="Picture 1" descr="N:\Operations\Springer Healthcare Rapid Publication Journals\Diabetes Therapy\Tech Edit\DIAT-17-52 Carls\Figure_S1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Operations\Springer Healthcare Rapid Publication Journals\Diabetes Therapy\Tech Edit\DIAT-17-52 Carls\Figure_S1a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E48" w:rsidRDefault="00B94E48" w:rsidP="00B94E48">
      <w:pPr>
        <w:rPr>
          <w:rFonts w:eastAsia="SimSun"/>
          <w:b/>
          <w:sz w:val="20"/>
          <w:szCs w:val="20"/>
        </w:rPr>
      </w:pPr>
    </w:p>
    <w:p w:rsidR="00B94E48" w:rsidRDefault="00B94E48" w:rsidP="00B94E48">
      <w:pPr>
        <w:rPr>
          <w:rFonts w:eastAsia="SimSun"/>
          <w:b/>
          <w:sz w:val="20"/>
          <w:szCs w:val="20"/>
        </w:rPr>
      </w:pPr>
    </w:p>
    <w:p w:rsidR="00B94E48" w:rsidRDefault="00B94E48" w:rsidP="00B94E48">
      <w:pPr>
        <w:rPr>
          <w:rFonts w:eastAsia="SimSun"/>
          <w:b/>
          <w:sz w:val="20"/>
          <w:szCs w:val="20"/>
        </w:rPr>
      </w:pPr>
    </w:p>
    <w:p w:rsidR="00B94E48" w:rsidRDefault="00B94E48" w:rsidP="00B94E48">
      <w:pPr>
        <w:rPr>
          <w:rFonts w:eastAsia="SimSun"/>
          <w:b/>
          <w:sz w:val="20"/>
          <w:szCs w:val="20"/>
        </w:rPr>
      </w:pPr>
    </w:p>
    <w:p w:rsidR="00B94E48" w:rsidRDefault="00B94E48" w:rsidP="00B94E48">
      <w:pPr>
        <w:rPr>
          <w:rFonts w:eastAsia="SimSun"/>
          <w:b/>
          <w:sz w:val="20"/>
          <w:szCs w:val="20"/>
        </w:rPr>
      </w:pPr>
    </w:p>
    <w:p w:rsidR="00B94E48" w:rsidRDefault="00B94E48" w:rsidP="00B94E48">
      <w:pPr>
        <w:rPr>
          <w:rFonts w:eastAsia="SimSun"/>
          <w:b/>
          <w:sz w:val="20"/>
          <w:szCs w:val="20"/>
        </w:rPr>
      </w:pPr>
    </w:p>
    <w:p w:rsidR="00B94E48" w:rsidRDefault="00B94E48" w:rsidP="00B94E48">
      <w:pPr>
        <w:rPr>
          <w:rFonts w:eastAsia="SimSun"/>
          <w:b/>
          <w:sz w:val="20"/>
          <w:szCs w:val="20"/>
        </w:rPr>
      </w:pPr>
    </w:p>
    <w:p w:rsidR="00B94E48" w:rsidRDefault="00B94E48" w:rsidP="00B94E48">
      <w:pPr>
        <w:rPr>
          <w:rFonts w:eastAsia="SimSun"/>
          <w:b/>
          <w:sz w:val="20"/>
          <w:szCs w:val="20"/>
        </w:rPr>
      </w:pPr>
    </w:p>
    <w:p w:rsidR="00B94E48" w:rsidRDefault="00B94E48" w:rsidP="00B94E48">
      <w:pPr>
        <w:rPr>
          <w:rFonts w:eastAsia="SimSun"/>
          <w:b/>
          <w:sz w:val="20"/>
          <w:szCs w:val="20"/>
        </w:rPr>
      </w:pPr>
    </w:p>
    <w:p w:rsidR="00B94E48" w:rsidRDefault="00B94E48" w:rsidP="00B94E48">
      <w:pPr>
        <w:rPr>
          <w:rFonts w:eastAsia="SimSun"/>
          <w:b/>
          <w:sz w:val="20"/>
          <w:szCs w:val="20"/>
        </w:rPr>
      </w:pPr>
    </w:p>
    <w:p w:rsidR="00B94E48" w:rsidRDefault="00B94E48" w:rsidP="00B94E48">
      <w:pPr>
        <w:rPr>
          <w:rFonts w:eastAsia="SimSun"/>
          <w:b/>
          <w:sz w:val="20"/>
          <w:szCs w:val="20"/>
        </w:rPr>
      </w:pPr>
    </w:p>
    <w:p w:rsidR="00B94E48" w:rsidRDefault="00B94E48" w:rsidP="00B94E48">
      <w:pPr>
        <w:rPr>
          <w:rFonts w:eastAsia="SimSun"/>
          <w:b/>
          <w:sz w:val="20"/>
          <w:szCs w:val="20"/>
        </w:rPr>
      </w:pPr>
    </w:p>
    <w:p w:rsidR="00B94E48" w:rsidRPr="00AC74EF" w:rsidRDefault="00B94E48" w:rsidP="00B94E48">
      <w:pPr>
        <w:rPr>
          <w:rFonts w:eastAsia="SimSun"/>
          <w:b/>
          <w:sz w:val="20"/>
          <w:szCs w:val="20"/>
        </w:rPr>
      </w:pPr>
      <w:proofErr w:type="gramStart"/>
      <w:r>
        <w:rPr>
          <w:rFonts w:eastAsia="SimSun"/>
          <w:b/>
          <w:sz w:val="20"/>
          <w:szCs w:val="20"/>
        </w:rPr>
        <w:lastRenderedPageBreak/>
        <w:t>Figure S1</w:t>
      </w:r>
      <w:r w:rsidRPr="00AC74EF">
        <w:rPr>
          <w:rFonts w:eastAsia="SimSun"/>
          <w:b/>
          <w:sz w:val="20"/>
          <w:szCs w:val="20"/>
        </w:rPr>
        <w:t>b (appendix).</w:t>
      </w:r>
      <w:proofErr w:type="gramEnd"/>
      <w:r w:rsidRPr="00AC74EF">
        <w:rPr>
          <w:rFonts w:eastAsia="SimSun"/>
          <w:b/>
          <w:sz w:val="20"/>
          <w:szCs w:val="20"/>
        </w:rPr>
        <w:t xml:space="preserve"> NCQA State of Health Care Quality Glycemic Control Measures (HbA1c&lt;8.0%)</w:t>
      </w:r>
    </w:p>
    <w:p w:rsidR="00B94E48" w:rsidRPr="00AC74EF" w:rsidRDefault="00B94E48" w:rsidP="00B94E48">
      <w:pPr>
        <w:rPr>
          <w:sz w:val="20"/>
          <w:szCs w:val="20"/>
        </w:rPr>
      </w:pPr>
      <w:proofErr w:type="gramStart"/>
      <w:r w:rsidRPr="00AC74EF">
        <w:rPr>
          <w:sz w:val="20"/>
          <w:szCs w:val="20"/>
        </w:rPr>
        <w:t>HMO, health maintenance organization; NCQA, National Committee for Quality Assurance; PPO, preferred provider organization.</w:t>
      </w:r>
      <w:proofErr w:type="gramEnd"/>
      <w:r>
        <w:rPr>
          <w:noProof/>
          <w:sz w:val="20"/>
          <w:szCs w:val="20"/>
        </w:rPr>
        <w:drawing>
          <wp:inline distT="0" distB="0" distL="0" distR="0">
            <wp:extent cx="5727700" cy="4295775"/>
            <wp:effectExtent l="0" t="0" r="6350" b="9525"/>
            <wp:docPr id="2" name="Picture 2" descr="N:\Operations\Springer Healthcare Rapid Publication Journals\Diabetes Therapy\Tech Edit\DIAT-17-52 Carls\Figure_S1b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Operations\Springer Healthcare Rapid Publication Journals\Diabetes Therapy\Tech Edit\DIAT-17-52 Carls\Figure_S1b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E48" w:rsidRPr="00AC74EF" w:rsidRDefault="00B94E48" w:rsidP="00FB2B02">
      <w:pPr>
        <w:rPr>
          <w:sz w:val="20"/>
          <w:szCs w:val="20"/>
        </w:rPr>
      </w:pPr>
    </w:p>
    <w:p w:rsidR="00B94E48" w:rsidRDefault="00B94E48" w:rsidP="00B94E48">
      <w:pPr>
        <w:rPr>
          <w:sz w:val="20"/>
          <w:szCs w:val="20"/>
        </w:rPr>
      </w:pPr>
    </w:p>
    <w:p w:rsidR="00B94E48" w:rsidRDefault="00B94E48" w:rsidP="00B94E48">
      <w:pPr>
        <w:rPr>
          <w:sz w:val="20"/>
          <w:szCs w:val="20"/>
        </w:rPr>
      </w:pPr>
    </w:p>
    <w:p w:rsidR="00B94E48" w:rsidRDefault="00B94E48" w:rsidP="00B94E48">
      <w:pPr>
        <w:rPr>
          <w:sz w:val="20"/>
          <w:szCs w:val="20"/>
        </w:rPr>
      </w:pPr>
    </w:p>
    <w:p w:rsidR="00B94E48" w:rsidRDefault="00B94E48" w:rsidP="00B94E48">
      <w:pPr>
        <w:rPr>
          <w:sz w:val="20"/>
          <w:szCs w:val="20"/>
        </w:rPr>
      </w:pPr>
    </w:p>
    <w:p w:rsidR="00B94E48" w:rsidRDefault="00B94E48" w:rsidP="00B94E48">
      <w:pPr>
        <w:rPr>
          <w:sz w:val="20"/>
          <w:szCs w:val="20"/>
        </w:rPr>
      </w:pPr>
    </w:p>
    <w:p w:rsidR="00B94E48" w:rsidRDefault="00B94E48" w:rsidP="00B94E48">
      <w:pPr>
        <w:rPr>
          <w:sz w:val="20"/>
          <w:szCs w:val="20"/>
        </w:rPr>
      </w:pPr>
    </w:p>
    <w:p w:rsidR="00B94E48" w:rsidRDefault="00B94E48" w:rsidP="00B94E48">
      <w:pPr>
        <w:rPr>
          <w:sz w:val="20"/>
          <w:szCs w:val="20"/>
        </w:rPr>
      </w:pPr>
    </w:p>
    <w:p w:rsidR="00B94E48" w:rsidRDefault="00B94E48" w:rsidP="00B94E48">
      <w:pPr>
        <w:rPr>
          <w:sz w:val="20"/>
          <w:szCs w:val="20"/>
        </w:rPr>
      </w:pPr>
    </w:p>
    <w:p w:rsidR="00B94E48" w:rsidRDefault="00B94E48" w:rsidP="00B94E48">
      <w:pPr>
        <w:rPr>
          <w:sz w:val="20"/>
          <w:szCs w:val="20"/>
        </w:rPr>
      </w:pPr>
    </w:p>
    <w:p w:rsidR="00B94E48" w:rsidRDefault="00B94E48" w:rsidP="00B94E48">
      <w:pPr>
        <w:rPr>
          <w:sz w:val="20"/>
          <w:szCs w:val="20"/>
        </w:rPr>
      </w:pPr>
    </w:p>
    <w:p w:rsidR="00B94E48" w:rsidRPr="00AC74EF" w:rsidRDefault="00B94E48" w:rsidP="00B94E48">
      <w:pPr>
        <w:rPr>
          <w:sz w:val="20"/>
          <w:szCs w:val="20"/>
        </w:rPr>
      </w:pPr>
      <w:bookmarkStart w:id="0" w:name="_GoBack"/>
      <w:bookmarkEnd w:id="0"/>
    </w:p>
    <w:p w:rsidR="00B94E48" w:rsidRPr="00AC74EF" w:rsidRDefault="00B94E48" w:rsidP="00B94E48">
      <w:pPr>
        <w:pStyle w:val="FootnoteText"/>
        <w:rPr>
          <w:rFonts w:eastAsia="SimSun"/>
          <w:sz w:val="20"/>
          <w:szCs w:val="20"/>
        </w:rPr>
      </w:pPr>
    </w:p>
    <w:p w:rsidR="00B94E48" w:rsidRPr="00AC74EF" w:rsidRDefault="00B94E48" w:rsidP="00B94E48">
      <w:pPr>
        <w:rPr>
          <w:rFonts w:eastAsia="SimSun"/>
          <w:b/>
          <w:sz w:val="20"/>
          <w:szCs w:val="20"/>
        </w:rPr>
      </w:pPr>
      <w:proofErr w:type="gramStart"/>
      <w:r>
        <w:rPr>
          <w:rFonts w:eastAsia="SimSun"/>
          <w:b/>
          <w:sz w:val="20"/>
          <w:szCs w:val="20"/>
        </w:rPr>
        <w:t>Figure S1</w:t>
      </w:r>
      <w:r w:rsidRPr="00AC74EF">
        <w:rPr>
          <w:rFonts w:eastAsia="SimSun"/>
          <w:b/>
          <w:sz w:val="20"/>
          <w:szCs w:val="20"/>
        </w:rPr>
        <w:t>c (appendix).</w:t>
      </w:r>
      <w:proofErr w:type="gramEnd"/>
      <w:r w:rsidRPr="00AC74EF">
        <w:rPr>
          <w:rFonts w:eastAsia="SimSun"/>
          <w:b/>
          <w:sz w:val="20"/>
          <w:szCs w:val="20"/>
        </w:rPr>
        <w:t xml:space="preserve"> NCQA State of Health Care Quality Glycemic Control Measures (HbA1c&gt;9.0%)</w:t>
      </w:r>
    </w:p>
    <w:p w:rsidR="00B94E48" w:rsidRPr="00AC74EF" w:rsidRDefault="00B94E48" w:rsidP="00B94E48">
      <w:pPr>
        <w:rPr>
          <w:sz w:val="20"/>
          <w:szCs w:val="20"/>
        </w:rPr>
      </w:pPr>
      <w:proofErr w:type="gramStart"/>
      <w:r w:rsidRPr="00AC74EF">
        <w:rPr>
          <w:sz w:val="20"/>
          <w:szCs w:val="20"/>
        </w:rPr>
        <w:t>HMO, health maintenance organization; NCQA, National Committee for Quality Assurance; PPO, preferred provider organization.</w:t>
      </w:r>
      <w:proofErr w:type="gramEnd"/>
      <w:r w:rsidRPr="00B94E48">
        <w:rPr>
          <w:noProof/>
          <w:sz w:val="20"/>
          <w:szCs w:val="20"/>
        </w:rPr>
        <w:t xml:space="preserve"> </w:t>
      </w:r>
      <w:r>
        <w:rPr>
          <w:noProof/>
          <w:sz w:val="20"/>
          <w:szCs w:val="20"/>
        </w:rPr>
        <w:drawing>
          <wp:inline distT="0" distB="0" distL="0" distR="0" wp14:anchorId="70D8BAC8" wp14:editId="45827401">
            <wp:extent cx="5943600" cy="4459605"/>
            <wp:effectExtent l="0" t="0" r="0" b="0"/>
            <wp:docPr id="4" name="Picture 4" descr="N:\Operations\Springer Healthcare Rapid Publication Journals\Diabetes Therapy\Tech Edit\DIAT-17-52 Carls\Figure_S1b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:\Operations\Springer Healthcare Rapid Publication Journals\Diabetes Therapy\Tech Edit\DIAT-17-52 Carls\Figure_S1b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633" w:rsidRPr="00FB2B02" w:rsidRDefault="006E7633">
      <w:pPr>
        <w:rPr>
          <w:b/>
        </w:rPr>
      </w:pPr>
    </w:p>
    <w:sectPr w:rsidR="006E7633" w:rsidRPr="00FB2B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B02"/>
    <w:rsid w:val="001374CE"/>
    <w:rsid w:val="001677D1"/>
    <w:rsid w:val="0027010E"/>
    <w:rsid w:val="002A64AE"/>
    <w:rsid w:val="002A6E4E"/>
    <w:rsid w:val="003C2C35"/>
    <w:rsid w:val="00637D5A"/>
    <w:rsid w:val="00696B25"/>
    <w:rsid w:val="006C0019"/>
    <w:rsid w:val="006E7633"/>
    <w:rsid w:val="00A96D9F"/>
    <w:rsid w:val="00B94E48"/>
    <w:rsid w:val="00CD61D6"/>
    <w:rsid w:val="00DD298A"/>
    <w:rsid w:val="00E024CC"/>
    <w:rsid w:val="00FB2B02"/>
    <w:rsid w:val="00FC1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AG Normal"/>
    <w:qFormat/>
    <w:rsid w:val="00FB2B02"/>
    <w:pPr>
      <w:spacing w:before="120" w:after="120" w:line="36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2B02"/>
    <w:pPr>
      <w:spacing w:before="0"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B02"/>
    <w:rPr>
      <w:rFonts w:ascii="Tahoma" w:hAnsi="Tahoma" w:cs="Tahoma"/>
      <w:sz w:val="16"/>
      <w:szCs w:val="16"/>
      <w:lang w:val="en-US"/>
    </w:rPr>
  </w:style>
  <w:style w:type="paragraph" w:styleId="FootnoteText">
    <w:name w:val="footnote text"/>
    <w:aliases w:val="AG Footnote Text"/>
    <w:basedOn w:val="Normal"/>
    <w:link w:val="FootnoteTextChar"/>
    <w:autoRedefine/>
    <w:uiPriority w:val="99"/>
    <w:rsid w:val="00B94E48"/>
    <w:pPr>
      <w:spacing w:before="0" w:after="0" w:line="240" w:lineRule="auto"/>
    </w:pPr>
    <w:rPr>
      <w:sz w:val="16"/>
      <w:szCs w:val="16"/>
    </w:rPr>
  </w:style>
  <w:style w:type="character" w:customStyle="1" w:styleId="FootnoteTextChar">
    <w:name w:val="Footnote Text Char"/>
    <w:aliases w:val="AG Footnote Text Char"/>
    <w:basedOn w:val="DefaultParagraphFont"/>
    <w:link w:val="FootnoteText"/>
    <w:uiPriority w:val="99"/>
    <w:rsid w:val="00B94E48"/>
    <w:rPr>
      <w:rFonts w:ascii="Times New Roman" w:eastAsia="Times New Roman" w:hAnsi="Times New Roman" w:cs="Times New Roman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AG Normal"/>
    <w:qFormat/>
    <w:rsid w:val="00FB2B02"/>
    <w:pPr>
      <w:spacing w:before="120" w:after="120" w:line="36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2B02"/>
    <w:pPr>
      <w:spacing w:before="0"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B02"/>
    <w:rPr>
      <w:rFonts w:ascii="Tahoma" w:hAnsi="Tahoma" w:cs="Tahoma"/>
      <w:sz w:val="16"/>
      <w:szCs w:val="16"/>
      <w:lang w:val="en-US"/>
    </w:rPr>
  </w:style>
  <w:style w:type="paragraph" w:styleId="FootnoteText">
    <w:name w:val="footnote text"/>
    <w:aliases w:val="AG Footnote Text"/>
    <w:basedOn w:val="Normal"/>
    <w:link w:val="FootnoteTextChar"/>
    <w:autoRedefine/>
    <w:uiPriority w:val="99"/>
    <w:rsid w:val="00B94E48"/>
    <w:pPr>
      <w:spacing w:before="0" w:after="0" w:line="240" w:lineRule="auto"/>
    </w:pPr>
    <w:rPr>
      <w:sz w:val="16"/>
      <w:szCs w:val="16"/>
    </w:rPr>
  </w:style>
  <w:style w:type="character" w:customStyle="1" w:styleId="FootnoteTextChar">
    <w:name w:val="Footnote Text Char"/>
    <w:aliases w:val="AG Footnote Text Char"/>
    <w:basedOn w:val="DefaultParagraphFont"/>
    <w:link w:val="FootnoteText"/>
    <w:uiPriority w:val="99"/>
    <w:rsid w:val="00B94E48"/>
    <w:rPr>
      <w:rFonts w:ascii="Times New Roman" w:eastAsia="Times New Roman" w:hAnsi="Times New Roman" w:cs="Times New Roman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Springer-SBM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Gabrysch, Katey, Springer Healthcare UK</dc:creator>
  <cp:lastModifiedBy>Gabrysch, Katey, Springer Healthcare UK</cp:lastModifiedBy>
  <cp:revision>2</cp:revision>
  <dcterms:created xsi:type="dcterms:W3CDTF">2017-06-06T09:05:00Z</dcterms:created>
  <dcterms:modified xsi:type="dcterms:W3CDTF">2017-06-06T09:27:00Z</dcterms:modified>
</cp:coreProperties>
</file>