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9B3C0" w14:textId="293CBF41" w:rsidR="003670EC" w:rsidRDefault="00F70F17" w:rsidP="003670EC">
      <w:pPr>
        <w:pStyle w:val="Manuheading"/>
      </w:pPr>
      <w:r>
        <w:t>Supplementary material</w:t>
      </w:r>
    </w:p>
    <w:p w14:paraId="5AF1AADC" w14:textId="5C5C3434" w:rsidR="003670EC" w:rsidRPr="008D3CCE" w:rsidRDefault="003670EC" w:rsidP="003670EC">
      <w:pPr>
        <w:pStyle w:val="Caption"/>
      </w:pPr>
      <w:bookmarkStart w:id="0" w:name="_Ref529285211"/>
      <w:bookmarkStart w:id="1" w:name="_Ref505590056"/>
      <w:r w:rsidRPr="008D3CCE">
        <w:t xml:space="preserve">Table </w:t>
      </w:r>
      <w:r>
        <w:t>S</w:t>
      </w:r>
      <w:r w:rsidRPr="008D3CCE">
        <w:rPr>
          <w:noProof/>
        </w:rPr>
        <w:fldChar w:fldCharType="begin"/>
      </w:r>
      <w:r w:rsidRPr="008D3CCE">
        <w:rPr>
          <w:noProof/>
        </w:rPr>
        <w:instrText xml:space="preserve"> SEQ Table \* ARABIC \s 1 </w:instrText>
      </w:r>
      <w:r w:rsidRPr="008D3CCE">
        <w:rPr>
          <w:noProof/>
        </w:rPr>
        <w:fldChar w:fldCharType="separate"/>
      </w:r>
      <w:r w:rsidR="00BA2FE5">
        <w:rPr>
          <w:noProof/>
        </w:rPr>
        <w:t>1</w:t>
      </w:r>
      <w:r w:rsidRPr="008D3CCE">
        <w:rPr>
          <w:noProof/>
        </w:rPr>
        <w:fldChar w:fldCharType="end"/>
      </w:r>
      <w:bookmarkEnd w:id="0"/>
      <w:r w:rsidRPr="008D3CCE">
        <w:tab/>
      </w:r>
      <w:r>
        <w:t>B</w:t>
      </w:r>
      <w:r w:rsidRPr="008D3CCE">
        <w:t>aseline cohort characteristics</w:t>
      </w:r>
      <w:r>
        <w:t xml:space="preserve"> from SUSTAIN 7 and SUSTAIN 3</w:t>
      </w:r>
    </w:p>
    <w:tbl>
      <w:tblPr>
        <w:tblStyle w:val="OssianReportTable"/>
        <w:tblW w:w="0" w:type="auto"/>
        <w:tblLook w:val="04A0" w:firstRow="1" w:lastRow="0" w:firstColumn="1" w:lastColumn="0" w:noHBand="0" w:noVBand="1"/>
      </w:tblPr>
      <w:tblGrid>
        <w:gridCol w:w="3081"/>
        <w:gridCol w:w="3081"/>
        <w:gridCol w:w="3081"/>
      </w:tblGrid>
      <w:tr w:rsidR="003670EC" w:rsidRPr="008D3CCE" w14:paraId="59D40515" w14:textId="77777777" w:rsidTr="001A144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081" w:type="dxa"/>
          </w:tcPr>
          <w:p w14:paraId="04349929" w14:textId="77777777" w:rsidR="003670EC" w:rsidRPr="008D3CCE" w:rsidRDefault="003670EC" w:rsidP="001A1442">
            <w:pPr>
              <w:pStyle w:val="Tabletext"/>
              <w:jc w:val="left"/>
            </w:pPr>
            <w:r w:rsidRPr="008D3CCE">
              <w:t>Characteristic</w:t>
            </w:r>
          </w:p>
        </w:tc>
        <w:tc>
          <w:tcPr>
            <w:tcW w:w="3081" w:type="dxa"/>
          </w:tcPr>
          <w:p w14:paraId="70E46833" w14:textId="77777777" w:rsidR="003670EC" w:rsidRPr="008D3CCE" w:rsidRDefault="003670EC" w:rsidP="001A1442">
            <w:pPr>
              <w:pStyle w:val="Tabletext"/>
              <w:cnfStyle w:val="100000000000" w:firstRow="1" w:lastRow="0" w:firstColumn="0" w:lastColumn="0" w:oddVBand="0" w:evenVBand="0" w:oddHBand="0" w:evenHBand="0" w:firstRowFirstColumn="0" w:firstRowLastColumn="0" w:lastRowFirstColumn="0" w:lastRowLastColumn="0"/>
            </w:pPr>
            <w:r>
              <w:t>SUSTAIN 7, m</w:t>
            </w:r>
            <w:r w:rsidRPr="008D3CCE">
              <w:t>ean (standard deviation)</w:t>
            </w:r>
          </w:p>
        </w:tc>
        <w:tc>
          <w:tcPr>
            <w:tcW w:w="3081" w:type="dxa"/>
          </w:tcPr>
          <w:p w14:paraId="057E501C" w14:textId="77777777" w:rsidR="003670EC" w:rsidRPr="008D3CCE" w:rsidRDefault="003670EC" w:rsidP="001A1442">
            <w:pPr>
              <w:pStyle w:val="Tabletext"/>
              <w:cnfStyle w:val="100000000000" w:firstRow="1" w:lastRow="0" w:firstColumn="0" w:lastColumn="0" w:oddVBand="0" w:evenVBand="0" w:oddHBand="0" w:evenHBand="0" w:firstRowFirstColumn="0" w:firstRowLastColumn="0" w:lastRowFirstColumn="0" w:lastRowLastColumn="0"/>
            </w:pPr>
            <w:r>
              <w:t>SUSTAIN 3, mean (standard deviation)</w:t>
            </w:r>
          </w:p>
        </w:tc>
      </w:tr>
      <w:tr w:rsidR="003670EC" w:rsidRPr="008D3CCE" w14:paraId="2B62F33C"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35D3D856" w14:textId="77777777" w:rsidR="003670EC" w:rsidRPr="008D3CCE" w:rsidRDefault="003670EC" w:rsidP="001A1442">
            <w:pPr>
              <w:pStyle w:val="Tabletext"/>
            </w:pPr>
            <w:r w:rsidRPr="008D3CCE">
              <w:t>Start age (years)</w:t>
            </w:r>
          </w:p>
        </w:tc>
        <w:tc>
          <w:tcPr>
            <w:tcW w:w="3081" w:type="dxa"/>
          </w:tcPr>
          <w:p w14:paraId="1B1F2FB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55.67 (10.62)</w:t>
            </w:r>
          </w:p>
        </w:tc>
        <w:tc>
          <w:tcPr>
            <w:tcW w:w="3081" w:type="dxa"/>
          </w:tcPr>
          <w:p w14:paraId="1675419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56.56 (10.69)</w:t>
            </w:r>
          </w:p>
        </w:tc>
      </w:tr>
      <w:tr w:rsidR="003670EC" w:rsidRPr="008D3CCE" w14:paraId="5F133C2D"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0E1A1E6A" w14:textId="77777777" w:rsidR="003670EC" w:rsidRPr="008D3CCE" w:rsidRDefault="003670EC" w:rsidP="001A1442">
            <w:pPr>
              <w:pStyle w:val="Tabletext"/>
            </w:pPr>
            <w:r w:rsidRPr="008D3CCE">
              <w:t>Duration of diabetes (years)</w:t>
            </w:r>
            <w:r w:rsidRPr="008D3CCE">
              <w:rPr>
                <w:vertAlign w:val="superscript"/>
              </w:rPr>
              <w:t xml:space="preserve"> </w:t>
            </w:r>
          </w:p>
        </w:tc>
        <w:tc>
          <w:tcPr>
            <w:tcW w:w="3081" w:type="dxa"/>
          </w:tcPr>
          <w:p w14:paraId="1B0D854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rPr>
                <w:vertAlign w:val="superscript"/>
              </w:rPr>
            </w:pPr>
            <w:r w:rsidRPr="008D3CCE">
              <w:t>7.42 (5.68)</w:t>
            </w:r>
          </w:p>
        </w:tc>
        <w:tc>
          <w:tcPr>
            <w:tcW w:w="3081" w:type="dxa"/>
          </w:tcPr>
          <w:p w14:paraId="70BEB42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9.21 (6.34)</w:t>
            </w:r>
          </w:p>
        </w:tc>
      </w:tr>
      <w:tr w:rsidR="003670EC" w:rsidRPr="008D3CCE" w14:paraId="2026474A"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7FF860BD" w14:textId="77777777" w:rsidR="003670EC" w:rsidRPr="008D3CCE" w:rsidRDefault="003670EC" w:rsidP="001A1442">
            <w:pPr>
              <w:pStyle w:val="Tabletext"/>
            </w:pPr>
            <w:r w:rsidRPr="008D3CCE">
              <w:t>Percentage male (%)</w:t>
            </w:r>
          </w:p>
        </w:tc>
        <w:tc>
          <w:tcPr>
            <w:tcW w:w="3081" w:type="dxa"/>
          </w:tcPr>
          <w:p w14:paraId="76A41D0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55.21</w:t>
            </w:r>
          </w:p>
        </w:tc>
        <w:tc>
          <w:tcPr>
            <w:tcW w:w="3081" w:type="dxa"/>
          </w:tcPr>
          <w:p w14:paraId="10FB9F9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55.25</w:t>
            </w:r>
          </w:p>
        </w:tc>
      </w:tr>
      <w:tr w:rsidR="003670EC" w:rsidRPr="008D3CCE" w14:paraId="520DDA32"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778996C7" w14:textId="77777777" w:rsidR="003670EC" w:rsidRPr="008D3CCE" w:rsidRDefault="003670EC" w:rsidP="001A1442">
            <w:pPr>
              <w:pStyle w:val="Tabletext"/>
            </w:pPr>
            <w:r>
              <w:t>Percentage white (%)</w:t>
            </w:r>
          </w:p>
        </w:tc>
        <w:tc>
          <w:tcPr>
            <w:tcW w:w="3081" w:type="dxa"/>
          </w:tcPr>
          <w:p w14:paraId="746A59A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66.89</w:t>
            </w:r>
          </w:p>
        </w:tc>
        <w:tc>
          <w:tcPr>
            <w:tcW w:w="3081" w:type="dxa"/>
          </w:tcPr>
          <w:p w14:paraId="2EFD9A1B"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61.68</w:t>
            </w:r>
          </w:p>
        </w:tc>
      </w:tr>
      <w:tr w:rsidR="003670EC" w:rsidRPr="008D3CCE" w14:paraId="6884A1A3"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78788894" w14:textId="77777777" w:rsidR="003670EC" w:rsidRDefault="003670EC" w:rsidP="001A1442">
            <w:pPr>
              <w:pStyle w:val="Tabletext"/>
            </w:pPr>
            <w:r>
              <w:t>Percentage black (%)</w:t>
            </w:r>
          </w:p>
        </w:tc>
        <w:tc>
          <w:tcPr>
            <w:tcW w:w="3081" w:type="dxa"/>
          </w:tcPr>
          <w:p w14:paraId="431C7C7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5.67</w:t>
            </w:r>
          </w:p>
        </w:tc>
        <w:tc>
          <w:tcPr>
            <w:tcW w:w="3081" w:type="dxa"/>
          </w:tcPr>
          <w:p w14:paraId="36E0C8D0"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6.18</w:t>
            </w:r>
          </w:p>
        </w:tc>
      </w:tr>
      <w:tr w:rsidR="003670EC" w:rsidRPr="008D3CCE" w14:paraId="4E263BDB"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4339CE65" w14:textId="77777777" w:rsidR="003670EC" w:rsidRDefault="003670EC" w:rsidP="001A1442">
            <w:pPr>
              <w:pStyle w:val="Tabletext"/>
            </w:pPr>
            <w:r>
              <w:t>Percentage Hispanic (%)</w:t>
            </w:r>
          </w:p>
        </w:tc>
        <w:tc>
          <w:tcPr>
            <w:tcW w:w="3081" w:type="dxa"/>
          </w:tcPr>
          <w:p w14:paraId="1BAFCCE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11.51</w:t>
            </w:r>
          </w:p>
        </w:tc>
        <w:tc>
          <w:tcPr>
            <w:tcW w:w="3081" w:type="dxa"/>
          </w:tcPr>
          <w:p w14:paraId="4254E6C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24.35</w:t>
            </w:r>
          </w:p>
        </w:tc>
      </w:tr>
      <w:tr w:rsidR="003670EC" w:rsidRPr="008D3CCE" w14:paraId="6CA0CBF1"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2BD3190D" w14:textId="77777777" w:rsidR="003670EC" w:rsidRDefault="003670EC" w:rsidP="001A1442">
            <w:pPr>
              <w:pStyle w:val="Tabletext"/>
            </w:pPr>
            <w:r>
              <w:t>Percentage Native American (%)</w:t>
            </w:r>
          </w:p>
        </w:tc>
        <w:tc>
          <w:tcPr>
            <w:tcW w:w="3081" w:type="dxa"/>
          </w:tcPr>
          <w:p w14:paraId="5C74CF0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0.00</w:t>
            </w:r>
          </w:p>
        </w:tc>
        <w:tc>
          <w:tcPr>
            <w:tcW w:w="3081" w:type="dxa"/>
          </w:tcPr>
          <w:p w14:paraId="083822EE" w14:textId="77777777" w:rsidR="003670EC" w:rsidRPr="0029079B"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0.25</w:t>
            </w:r>
          </w:p>
        </w:tc>
      </w:tr>
      <w:tr w:rsidR="003670EC" w:rsidRPr="008D3CCE" w14:paraId="4795F2EB"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6FBCC154" w14:textId="77777777" w:rsidR="003670EC" w:rsidRDefault="003670EC" w:rsidP="001A1442">
            <w:pPr>
              <w:pStyle w:val="Tabletext"/>
            </w:pPr>
            <w:r>
              <w:t>Percentage Asian (%)</w:t>
            </w:r>
          </w:p>
        </w:tc>
        <w:tc>
          <w:tcPr>
            <w:tcW w:w="3081" w:type="dxa"/>
          </w:tcPr>
          <w:p w14:paraId="3751993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15.60</w:t>
            </w:r>
          </w:p>
        </w:tc>
        <w:tc>
          <w:tcPr>
            <w:tcW w:w="3081" w:type="dxa"/>
          </w:tcPr>
          <w:p w14:paraId="506ED95F"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1.98</w:t>
            </w:r>
          </w:p>
        </w:tc>
      </w:tr>
      <w:tr w:rsidR="003670EC" w:rsidRPr="008D3CCE" w14:paraId="091FA172"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5E95004E" w14:textId="77777777" w:rsidR="003670EC" w:rsidRDefault="003670EC" w:rsidP="001A1442">
            <w:pPr>
              <w:pStyle w:val="Tabletext"/>
            </w:pPr>
            <w:r>
              <w:t>Percentage Australian (%)</w:t>
            </w:r>
          </w:p>
        </w:tc>
        <w:tc>
          <w:tcPr>
            <w:tcW w:w="3081" w:type="dxa"/>
          </w:tcPr>
          <w:p w14:paraId="15398F7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0.33</w:t>
            </w:r>
          </w:p>
        </w:tc>
        <w:tc>
          <w:tcPr>
            <w:tcW w:w="3081" w:type="dxa"/>
          </w:tcPr>
          <w:p w14:paraId="5C42C8D6"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5.56</w:t>
            </w:r>
          </w:p>
        </w:tc>
      </w:tr>
      <w:tr w:rsidR="003670EC" w:rsidRPr="008D3CCE" w14:paraId="46D8619B"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1D8154E1" w14:textId="77777777" w:rsidR="003670EC" w:rsidRPr="008D3CCE" w:rsidRDefault="003670EC" w:rsidP="001A1442">
            <w:pPr>
              <w:pStyle w:val="Tabletext"/>
            </w:pPr>
            <w:r w:rsidRPr="008D3CCE">
              <w:t>HbA1c (%)</w:t>
            </w:r>
          </w:p>
        </w:tc>
        <w:tc>
          <w:tcPr>
            <w:tcW w:w="3081" w:type="dxa"/>
          </w:tcPr>
          <w:p w14:paraId="05A1F3A4"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8.22 (0.92)</w:t>
            </w:r>
          </w:p>
        </w:tc>
        <w:tc>
          <w:tcPr>
            <w:tcW w:w="3081" w:type="dxa"/>
          </w:tcPr>
          <w:p w14:paraId="310C7B0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8.35 (0.95)</w:t>
            </w:r>
          </w:p>
        </w:tc>
      </w:tr>
      <w:tr w:rsidR="003670EC" w:rsidRPr="008D3CCE" w14:paraId="44611D79"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76255BA2" w14:textId="77777777" w:rsidR="003670EC" w:rsidRPr="008D3CCE" w:rsidRDefault="003670EC" w:rsidP="001A1442">
            <w:pPr>
              <w:pStyle w:val="Tabletext"/>
            </w:pPr>
            <w:r w:rsidRPr="008D3CCE">
              <w:t>Systolic blood pressure (mmHg)</w:t>
            </w:r>
          </w:p>
        </w:tc>
        <w:tc>
          <w:tcPr>
            <w:tcW w:w="3081" w:type="dxa"/>
          </w:tcPr>
          <w:p w14:paraId="12395E6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132.96 (14.26)</w:t>
            </w:r>
          </w:p>
        </w:tc>
        <w:tc>
          <w:tcPr>
            <w:tcW w:w="3081" w:type="dxa"/>
          </w:tcPr>
          <w:p w14:paraId="3DE63A8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133.51 (14.55)</w:t>
            </w:r>
          </w:p>
        </w:tc>
      </w:tr>
      <w:tr w:rsidR="003670EC" w:rsidRPr="008D3CCE" w14:paraId="5569A692"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5CB47429" w14:textId="77777777" w:rsidR="003670EC" w:rsidRPr="008D3CCE" w:rsidRDefault="003670EC" w:rsidP="001A1442">
            <w:pPr>
              <w:pStyle w:val="Tabletext"/>
            </w:pPr>
            <w:r w:rsidRPr="008D3CCE">
              <w:t>Diastolic blood pressure (mmHg)</w:t>
            </w:r>
          </w:p>
        </w:tc>
        <w:tc>
          <w:tcPr>
            <w:tcW w:w="3081" w:type="dxa"/>
          </w:tcPr>
          <w:p w14:paraId="11D9347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80.85 (8.94)</w:t>
            </w:r>
          </w:p>
        </w:tc>
        <w:tc>
          <w:tcPr>
            <w:tcW w:w="3081" w:type="dxa"/>
          </w:tcPr>
          <w:p w14:paraId="54BF995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79.90 (8.73)</w:t>
            </w:r>
          </w:p>
        </w:tc>
      </w:tr>
      <w:tr w:rsidR="003670EC" w:rsidRPr="008D3CCE" w14:paraId="24221137"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51280954" w14:textId="77777777" w:rsidR="003670EC" w:rsidRPr="008D3CCE" w:rsidRDefault="003670EC" w:rsidP="001A1442">
            <w:pPr>
              <w:pStyle w:val="Tabletext"/>
            </w:pPr>
            <w:r w:rsidRPr="008D3CCE">
              <w:t>Total cholesterol (mg/dL)</w:t>
            </w:r>
          </w:p>
        </w:tc>
        <w:tc>
          <w:tcPr>
            <w:tcW w:w="3081" w:type="dxa"/>
          </w:tcPr>
          <w:p w14:paraId="07FAB0A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181.24 (43.46)</w:t>
            </w:r>
          </w:p>
        </w:tc>
        <w:tc>
          <w:tcPr>
            <w:tcW w:w="3081" w:type="dxa"/>
          </w:tcPr>
          <w:p w14:paraId="37571DE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186.91 (42.68)</w:t>
            </w:r>
          </w:p>
        </w:tc>
      </w:tr>
      <w:tr w:rsidR="003670EC" w:rsidRPr="008D3CCE" w14:paraId="18D46467"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49FB219A" w14:textId="77777777" w:rsidR="003670EC" w:rsidRPr="008D3CCE" w:rsidRDefault="003670EC" w:rsidP="001A1442">
            <w:pPr>
              <w:pStyle w:val="Tabletext"/>
            </w:pPr>
            <w:r w:rsidRPr="008D3CCE">
              <w:t>HDL cholesterol (mg/dL)</w:t>
            </w:r>
          </w:p>
        </w:tc>
        <w:tc>
          <w:tcPr>
            <w:tcW w:w="3081" w:type="dxa"/>
          </w:tcPr>
          <w:p w14:paraId="4244FAB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44.82 (10.68)</w:t>
            </w:r>
          </w:p>
        </w:tc>
        <w:tc>
          <w:tcPr>
            <w:tcW w:w="3081" w:type="dxa"/>
          </w:tcPr>
          <w:p w14:paraId="6B54372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47.18 (12.11)</w:t>
            </w:r>
          </w:p>
        </w:tc>
      </w:tr>
      <w:tr w:rsidR="003670EC" w:rsidRPr="008D3CCE" w14:paraId="389AC72E"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271C94DE" w14:textId="77777777" w:rsidR="003670EC" w:rsidRPr="008D3CCE" w:rsidRDefault="003670EC" w:rsidP="001A1442">
            <w:pPr>
              <w:pStyle w:val="Tabletext"/>
            </w:pPr>
            <w:r w:rsidRPr="008D3CCE">
              <w:t>LDL cholesterol (mg/dL)</w:t>
            </w:r>
          </w:p>
        </w:tc>
        <w:tc>
          <w:tcPr>
            <w:tcW w:w="3081" w:type="dxa"/>
          </w:tcPr>
          <w:p w14:paraId="0E87CD2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102.29 (37.29)</w:t>
            </w:r>
          </w:p>
        </w:tc>
        <w:tc>
          <w:tcPr>
            <w:tcW w:w="3081" w:type="dxa"/>
          </w:tcPr>
          <w:p w14:paraId="0AD56BF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103.91 (36.67)</w:t>
            </w:r>
          </w:p>
        </w:tc>
      </w:tr>
      <w:tr w:rsidR="003670EC" w:rsidRPr="008D3CCE" w14:paraId="3FF4CA6F"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24D80641" w14:textId="77777777" w:rsidR="003670EC" w:rsidRPr="008D3CCE" w:rsidRDefault="003670EC" w:rsidP="001A1442">
            <w:pPr>
              <w:pStyle w:val="Tabletext"/>
            </w:pPr>
            <w:r w:rsidRPr="008D3CCE">
              <w:t>Triglycerides (mg/dL)</w:t>
            </w:r>
          </w:p>
        </w:tc>
        <w:tc>
          <w:tcPr>
            <w:tcW w:w="3081" w:type="dxa"/>
          </w:tcPr>
          <w:p w14:paraId="0E74BD9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181.31 (109.41)</w:t>
            </w:r>
          </w:p>
        </w:tc>
        <w:tc>
          <w:tcPr>
            <w:tcW w:w="3081" w:type="dxa"/>
          </w:tcPr>
          <w:p w14:paraId="2F99F26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191.66 (131.62)</w:t>
            </w:r>
          </w:p>
        </w:tc>
      </w:tr>
      <w:tr w:rsidR="003670EC" w:rsidRPr="008D3CCE" w14:paraId="7F69C06D"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2D06D194" w14:textId="77777777" w:rsidR="003670EC" w:rsidRPr="008D3CCE" w:rsidRDefault="003670EC" w:rsidP="001A1442">
            <w:pPr>
              <w:pStyle w:val="Tabletext"/>
            </w:pPr>
            <w:r w:rsidRPr="008D3CCE">
              <w:t>BMI (kg/m</w:t>
            </w:r>
            <w:r w:rsidRPr="008D3CCE">
              <w:rPr>
                <w:vertAlign w:val="superscript"/>
              </w:rPr>
              <w:t>2</w:t>
            </w:r>
            <w:r w:rsidRPr="008D3CCE">
              <w:t>)</w:t>
            </w:r>
          </w:p>
        </w:tc>
        <w:tc>
          <w:tcPr>
            <w:tcW w:w="3081" w:type="dxa"/>
          </w:tcPr>
          <w:p w14:paraId="79A2D8A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33.50 (6.77)</w:t>
            </w:r>
          </w:p>
        </w:tc>
        <w:tc>
          <w:tcPr>
            <w:tcW w:w="3081" w:type="dxa"/>
          </w:tcPr>
          <w:p w14:paraId="775E803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33.76 (6.75)</w:t>
            </w:r>
          </w:p>
        </w:tc>
      </w:tr>
      <w:tr w:rsidR="003670EC" w:rsidRPr="008D3CCE" w14:paraId="2EF9733C"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17081EF2" w14:textId="77777777" w:rsidR="003670EC" w:rsidRPr="008D3CCE" w:rsidRDefault="003670EC" w:rsidP="001A1442">
            <w:pPr>
              <w:pStyle w:val="Tabletext"/>
            </w:pPr>
            <w:r w:rsidRPr="008D3CCE">
              <w:t>Estimated glomerular filtration rate (ml/min/1.73m</w:t>
            </w:r>
            <w:r w:rsidRPr="008D3CCE">
              <w:rPr>
                <w:vertAlign w:val="superscript"/>
              </w:rPr>
              <w:t>2</w:t>
            </w:r>
            <w:r w:rsidRPr="008D3CCE">
              <w:t>)</w:t>
            </w:r>
          </w:p>
        </w:tc>
        <w:tc>
          <w:tcPr>
            <w:tcW w:w="3081" w:type="dxa"/>
          </w:tcPr>
          <w:p w14:paraId="2D97DB7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97.20 (15.80)</w:t>
            </w:r>
          </w:p>
        </w:tc>
        <w:tc>
          <w:tcPr>
            <w:tcW w:w="3081" w:type="dxa"/>
          </w:tcPr>
          <w:p w14:paraId="35CA5A5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29079B">
              <w:t>100.52 (23.62)</w:t>
            </w:r>
          </w:p>
        </w:tc>
      </w:tr>
      <w:tr w:rsidR="003670EC" w:rsidRPr="008D3CCE" w14:paraId="386162FF"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32C68948" w14:textId="77777777" w:rsidR="003670EC" w:rsidRPr="008D3CCE" w:rsidRDefault="003670EC" w:rsidP="001A1442">
            <w:pPr>
              <w:pStyle w:val="Tabletext"/>
            </w:pPr>
            <w:r w:rsidRPr="008D3CCE">
              <w:t>Percentage smokers (%)</w:t>
            </w:r>
          </w:p>
        </w:tc>
        <w:tc>
          <w:tcPr>
            <w:tcW w:w="3081" w:type="dxa"/>
          </w:tcPr>
          <w:p w14:paraId="058D69C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14.01</w:t>
            </w:r>
          </w:p>
        </w:tc>
        <w:tc>
          <w:tcPr>
            <w:tcW w:w="3081" w:type="dxa"/>
          </w:tcPr>
          <w:p w14:paraId="1D1E8F0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16.07</w:t>
            </w:r>
          </w:p>
        </w:tc>
      </w:tr>
      <w:tr w:rsidR="003670EC" w:rsidRPr="008D3CCE" w14:paraId="2B3BFAB2"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0B1FA29D" w14:textId="77777777" w:rsidR="003670EC" w:rsidRPr="008D3CCE" w:rsidRDefault="003670EC" w:rsidP="001A1442">
            <w:pPr>
              <w:pStyle w:val="Tabletext"/>
            </w:pPr>
            <w:r w:rsidRPr="008D3CCE">
              <w:t>Cigarettes per day</w:t>
            </w:r>
          </w:p>
        </w:tc>
        <w:tc>
          <w:tcPr>
            <w:tcW w:w="3081" w:type="dxa"/>
          </w:tcPr>
          <w:p w14:paraId="57AE099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13.70</w:t>
            </w:r>
            <w:r w:rsidRPr="008D3CCE">
              <w:rPr>
                <w:vertAlign w:val="superscript"/>
              </w:rPr>
              <w:t>†</w:t>
            </w:r>
          </w:p>
        </w:tc>
        <w:tc>
          <w:tcPr>
            <w:tcW w:w="3081" w:type="dxa"/>
          </w:tcPr>
          <w:p w14:paraId="4AB20A2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13.70</w:t>
            </w:r>
            <w:r w:rsidRPr="008D3CCE">
              <w:rPr>
                <w:vertAlign w:val="superscript"/>
              </w:rPr>
              <w:t>†</w:t>
            </w:r>
          </w:p>
        </w:tc>
      </w:tr>
      <w:tr w:rsidR="003670EC" w:rsidRPr="008D3CCE" w14:paraId="06B6E27E"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081" w:type="dxa"/>
          </w:tcPr>
          <w:p w14:paraId="370D3C8E" w14:textId="77777777" w:rsidR="003670EC" w:rsidRPr="008D3CCE" w:rsidRDefault="003670EC" w:rsidP="001A1442">
            <w:pPr>
              <w:pStyle w:val="Tabletext"/>
            </w:pPr>
            <w:r w:rsidRPr="008D3CCE">
              <w:t>Alcohol consumption (oz/week)</w:t>
            </w:r>
          </w:p>
        </w:tc>
        <w:tc>
          <w:tcPr>
            <w:tcW w:w="3081" w:type="dxa"/>
          </w:tcPr>
          <w:p w14:paraId="11D8EEC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7.39</w:t>
            </w:r>
            <w:r w:rsidRPr="008D3CCE">
              <w:rPr>
                <w:vertAlign w:val="superscript"/>
              </w:rPr>
              <w:t>‡</w:t>
            </w:r>
          </w:p>
        </w:tc>
        <w:tc>
          <w:tcPr>
            <w:tcW w:w="3081" w:type="dxa"/>
          </w:tcPr>
          <w:p w14:paraId="4A4CFDF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7.39</w:t>
            </w:r>
            <w:r w:rsidRPr="008D3CCE">
              <w:rPr>
                <w:vertAlign w:val="superscript"/>
              </w:rPr>
              <w:t>‡</w:t>
            </w:r>
          </w:p>
        </w:tc>
      </w:tr>
    </w:tbl>
    <w:p w14:paraId="311BAA61" w14:textId="1E0FBC83" w:rsidR="003670EC" w:rsidRDefault="003670EC" w:rsidP="003670EC">
      <w:pPr>
        <w:pStyle w:val="Footnote"/>
      </w:pPr>
      <w:r w:rsidRPr="008D3CCE">
        <w:t xml:space="preserve">BMI, body mass index; HbA1c, glycated hemoglobin; HDL, high-density lipoprotein; LDL, low-density lipoprotein. </w:t>
      </w:r>
      <w:r w:rsidRPr="008D3CCE">
        <w:rPr>
          <w:vertAlign w:val="superscript"/>
        </w:rPr>
        <w:t>†</w:t>
      </w:r>
      <w:r w:rsidRPr="008D3CCE">
        <w:t>Sourced from 2017 Eurobarometer</w:t>
      </w:r>
      <w:bookmarkStart w:id="2" w:name="_Ref530667713"/>
      <w:r>
        <w:t xml:space="preserve"> [</w:t>
      </w:r>
      <w:r w:rsidRPr="003670EC">
        <w:rPr>
          <w:rStyle w:val="EndnoteReference"/>
          <w:vertAlign w:val="baseline"/>
        </w:rPr>
        <w:endnoteReference w:id="2"/>
      </w:r>
      <w:bookmarkEnd w:id="2"/>
      <w:r>
        <w:t>].</w:t>
      </w:r>
      <w:r w:rsidRPr="008D3CCE">
        <w:t xml:space="preserve">  </w:t>
      </w:r>
      <w:r w:rsidRPr="008D3CCE">
        <w:rPr>
          <w:vertAlign w:val="superscript"/>
        </w:rPr>
        <w:t>‡</w:t>
      </w:r>
      <w:r w:rsidRPr="008D3CCE">
        <w:t>Derived from a 2014 World Health Organization report on alcohol consumption</w:t>
      </w:r>
      <w:bookmarkStart w:id="3" w:name="_Ref530667719"/>
      <w:r>
        <w:t xml:space="preserve"> [</w:t>
      </w:r>
      <w:r w:rsidRPr="003670EC">
        <w:rPr>
          <w:rStyle w:val="EndnoteReference"/>
          <w:vertAlign w:val="baseline"/>
        </w:rPr>
        <w:endnoteReference w:id="3"/>
      </w:r>
      <w:bookmarkEnd w:id="3"/>
      <w:r>
        <w:t>].</w:t>
      </w:r>
    </w:p>
    <w:bookmarkEnd w:id="1"/>
    <w:p w14:paraId="0D642455" w14:textId="77777777" w:rsidR="003670EC" w:rsidRDefault="003670EC" w:rsidP="003670EC">
      <w:pPr>
        <w:pStyle w:val="Text"/>
      </w:pPr>
    </w:p>
    <w:p w14:paraId="55D2833B" w14:textId="4465144A" w:rsidR="003670EC" w:rsidRPr="00A242EA" w:rsidRDefault="003670EC" w:rsidP="003670EC">
      <w:pPr>
        <w:pStyle w:val="Caption"/>
        <w:rPr>
          <w:lang w:val="en-GB"/>
        </w:rPr>
      </w:pPr>
      <w:bookmarkStart w:id="4" w:name="_Ref529285173"/>
      <w:r w:rsidRPr="00A242EA">
        <w:rPr>
          <w:lang w:val="en-GB"/>
        </w:rPr>
        <w:t xml:space="preserve">Table </w:t>
      </w:r>
      <w:r>
        <w:rPr>
          <w:lang w:val="en-GB"/>
        </w:rPr>
        <w:t>S</w:t>
      </w:r>
      <w:r w:rsidRPr="00A242EA">
        <w:rPr>
          <w:lang w:val="en-GB"/>
        </w:rPr>
        <w:fldChar w:fldCharType="begin"/>
      </w:r>
      <w:r w:rsidRPr="00A242EA">
        <w:rPr>
          <w:lang w:val="en-GB"/>
        </w:rPr>
        <w:instrText xml:space="preserve"> SEQ Table \* ARABIC \s 1 </w:instrText>
      </w:r>
      <w:r w:rsidRPr="00A242EA">
        <w:rPr>
          <w:lang w:val="en-GB"/>
        </w:rPr>
        <w:fldChar w:fldCharType="separate"/>
      </w:r>
      <w:r w:rsidR="00BA2FE5">
        <w:rPr>
          <w:noProof/>
          <w:lang w:val="en-GB"/>
        </w:rPr>
        <w:t>2</w:t>
      </w:r>
      <w:r w:rsidRPr="00A242EA">
        <w:rPr>
          <w:lang w:val="en-GB"/>
        </w:rPr>
        <w:fldChar w:fldCharType="end"/>
      </w:r>
      <w:bookmarkEnd w:id="4"/>
      <w:r w:rsidRPr="00A242EA">
        <w:rPr>
          <w:lang w:val="en-GB"/>
        </w:rPr>
        <w:tab/>
      </w:r>
      <w:r>
        <w:rPr>
          <w:lang w:val="en-GB"/>
        </w:rPr>
        <w:t>Annual pharmacy costs in the primary analysis based on SUSTAIN 7</w:t>
      </w:r>
    </w:p>
    <w:tbl>
      <w:tblPr>
        <w:tblStyle w:val="OssianReportTable"/>
        <w:tblW w:w="9288" w:type="dxa"/>
        <w:tblLayout w:type="fixed"/>
        <w:tblLook w:val="04A0" w:firstRow="1" w:lastRow="0" w:firstColumn="1" w:lastColumn="0" w:noHBand="0" w:noVBand="1"/>
      </w:tblPr>
      <w:tblGrid>
        <w:gridCol w:w="2628"/>
        <w:gridCol w:w="2220"/>
        <w:gridCol w:w="2220"/>
        <w:gridCol w:w="2220"/>
      </w:tblGrid>
      <w:tr w:rsidR="003670EC" w:rsidRPr="00A242EA" w14:paraId="3D4F65A8" w14:textId="77777777" w:rsidTr="001A1442">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000" w:firstRow="0" w:lastRow="0" w:firstColumn="1" w:lastColumn="0" w:oddVBand="0" w:evenVBand="0" w:oddHBand="0" w:evenHBand="0" w:firstRowFirstColumn="0" w:firstRowLastColumn="0" w:lastRowFirstColumn="0" w:lastRowLastColumn="0"/>
            <w:tcW w:w="2628" w:type="dxa"/>
            <w:noWrap/>
            <w:hideMark/>
          </w:tcPr>
          <w:p w14:paraId="08014AAD" w14:textId="77777777" w:rsidR="003670EC" w:rsidRPr="00A242EA" w:rsidRDefault="003670EC" w:rsidP="001A1442">
            <w:pPr>
              <w:pStyle w:val="Tabletext"/>
              <w:rPr>
                <w:lang w:val="en-GB"/>
              </w:rPr>
            </w:pPr>
          </w:p>
        </w:tc>
        <w:tc>
          <w:tcPr>
            <w:tcW w:w="2220" w:type="dxa"/>
            <w:noWrap/>
          </w:tcPr>
          <w:p w14:paraId="349A72F7" w14:textId="77777777" w:rsidR="003670EC" w:rsidRPr="00A242EA" w:rsidRDefault="003670EC" w:rsidP="001A1442">
            <w:pPr>
              <w:pStyle w:val="Tabletext"/>
              <w:cnfStyle w:val="100000000000" w:firstRow="1" w:lastRow="0" w:firstColumn="0" w:lastColumn="0" w:oddVBand="0" w:evenVBand="0" w:oddHBand="0" w:evenHBand="0" w:firstRowFirstColumn="0" w:firstRowLastColumn="0" w:lastRowFirstColumn="0" w:lastRowLastColumn="0"/>
              <w:rPr>
                <w:rFonts w:cs="Arial"/>
                <w:lang w:val="en-GB"/>
              </w:rPr>
            </w:pPr>
            <w:r>
              <w:rPr>
                <w:rFonts w:cs="Arial"/>
                <w:lang w:val="en-GB"/>
              </w:rPr>
              <w:t>Semaglutide 0.5 mg (DKK)</w:t>
            </w:r>
          </w:p>
        </w:tc>
        <w:tc>
          <w:tcPr>
            <w:tcW w:w="2220" w:type="dxa"/>
            <w:noWrap/>
          </w:tcPr>
          <w:p w14:paraId="24393657" w14:textId="77777777" w:rsidR="003670EC" w:rsidRPr="00A242EA" w:rsidRDefault="003670EC" w:rsidP="001A1442">
            <w:pPr>
              <w:pStyle w:val="Tabletext"/>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Semaglutide 1 mg (DKK)</w:t>
            </w:r>
          </w:p>
        </w:tc>
        <w:tc>
          <w:tcPr>
            <w:tcW w:w="2220" w:type="dxa"/>
          </w:tcPr>
          <w:p w14:paraId="41E65B75" w14:textId="77777777" w:rsidR="003670EC" w:rsidRPr="00A242EA" w:rsidRDefault="003670EC" w:rsidP="001A1442">
            <w:pPr>
              <w:pStyle w:val="Tabletext"/>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Dulaglutide 1.5 mg (DKK)</w:t>
            </w:r>
          </w:p>
        </w:tc>
      </w:tr>
      <w:tr w:rsidR="003670EC" w:rsidRPr="00A242EA" w14:paraId="35A1FC0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4"/>
          </w:tcPr>
          <w:p w14:paraId="29FBA2D1" w14:textId="77777777" w:rsidR="003670EC" w:rsidRPr="00FE767B" w:rsidRDefault="003670EC" w:rsidP="001A1442">
            <w:pPr>
              <w:pStyle w:val="Tabletext"/>
              <w:rPr>
                <w:rFonts w:cs="Arial"/>
                <w:b/>
                <w:i/>
                <w:color w:val="000000"/>
                <w:lang w:val="en-GB"/>
              </w:rPr>
            </w:pPr>
            <w:r>
              <w:rPr>
                <w:rFonts w:cs="Arial"/>
                <w:b/>
                <w:i/>
                <w:color w:val="000000"/>
                <w:lang w:val="en-GB"/>
              </w:rPr>
              <w:t>Initial GLP-1 receptor agonist therapy</w:t>
            </w:r>
          </w:p>
        </w:tc>
      </w:tr>
      <w:tr w:rsidR="003670EC" w:rsidRPr="00A242EA" w14:paraId="6BE1419E"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224E52B1" w14:textId="77777777" w:rsidR="003670EC" w:rsidRPr="00A242EA" w:rsidRDefault="003670EC" w:rsidP="001A1442">
            <w:pPr>
              <w:pStyle w:val="Tabletext"/>
              <w:rPr>
                <w:rFonts w:cs="Arial"/>
                <w:color w:val="000000"/>
                <w:lang w:val="en-GB"/>
              </w:rPr>
            </w:pPr>
            <w:r>
              <w:rPr>
                <w:rFonts w:cs="Arial"/>
                <w:color w:val="000000"/>
                <w:lang w:val="en-GB"/>
              </w:rPr>
              <w:t>Annual medication costs</w:t>
            </w:r>
          </w:p>
        </w:tc>
        <w:tc>
          <w:tcPr>
            <w:tcW w:w="2220" w:type="dxa"/>
            <w:noWrap/>
          </w:tcPr>
          <w:p w14:paraId="31C701FB"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13,881.63</w:t>
            </w:r>
          </w:p>
        </w:tc>
        <w:tc>
          <w:tcPr>
            <w:tcW w:w="2220" w:type="dxa"/>
            <w:noWrap/>
          </w:tcPr>
          <w:p w14:paraId="3AA3BE12"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13,881.63</w:t>
            </w:r>
          </w:p>
        </w:tc>
        <w:tc>
          <w:tcPr>
            <w:tcW w:w="2220" w:type="dxa"/>
          </w:tcPr>
          <w:p w14:paraId="36BF81BF"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12,627.33</w:t>
            </w:r>
          </w:p>
        </w:tc>
      </w:tr>
      <w:tr w:rsidR="003670EC" w:rsidRPr="00A242EA" w14:paraId="4B29D1A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noWrap/>
            <w:hideMark/>
          </w:tcPr>
          <w:p w14:paraId="3B9F444F" w14:textId="77777777" w:rsidR="003670EC" w:rsidRPr="00A242EA" w:rsidRDefault="003670EC" w:rsidP="001A1442">
            <w:pPr>
              <w:pStyle w:val="Tabletext"/>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2220" w:type="dxa"/>
            <w:noWrap/>
          </w:tcPr>
          <w:p w14:paraId="680C528E"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noWrap/>
          </w:tcPr>
          <w:p w14:paraId="3BC7F2D8"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tcPr>
          <w:p w14:paraId="00BC1978"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1E28EEC3"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1E5C00CE" w14:textId="77777777" w:rsidR="003670EC" w:rsidRPr="00A242EA" w:rsidRDefault="003670EC" w:rsidP="001A1442">
            <w:pPr>
              <w:pStyle w:val="Tabletext"/>
              <w:rPr>
                <w:rFonts w:cs="Arial"/>
                <w:color w:val="000000"/>
                <w:lang w:val="en-GB"/>
              </w:rPr>
            </w:pPr>
            <w:r>
              <w:rPr>
                <w:rFonts w:cs="Arial"/>
                <w:color w:val="000000"/>
                <w:lang w:val="en-GB"/>
              </w:rPr>
              <w:t>Annual needle costs</w:t>
            </w:r>
          </w:p>
        </w:tc>
        <w:tc>
          <w:tcPr>
            <w:tcW w:w="2220" w:type="dxa"/>
            <w:noWrap/>
          </w:tcPr>
          <w:p w14:paraId="4A97B2AE"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2220" w:type="dxa"/>
            <w:noWrap/>
          </w:tcPr>
          <w:p w14:paraId="38AEA0DE"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2220" w:type="dxa"/>
          </w:tcPr>
          <w:p w14:paraId="1E5E2E75"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r>
      <w:tr w:rsidR="003670EC" w:rsidRPr="00A242EA" w14:paraId="6565116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235C616B" w14:textId="77777777" w:rsidR="003670EC" w:rsidRPr="00A242EA" w:rsidRDefault="003670EC" w:rsidP="001A1442">
            <w:pPr>
              <w:pStyle w:val="Tabletext"/>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2220" w:type="dxa"/>
            <w:noWrap/>
          </w:tcPr>
          <w:p w14:paraId="2A1210A7"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2220" w:type="dxa"/>
            <w:noWrap/>
          </w:tcPr>
          <w:p w14:paraId="121594C9"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2220" w:type="dxa"/>
          </w:tcPr>
          <w:p w14:paraId="60F9ACBF"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r>
      <w:tr w:rsidR="003670EC" w:rsidRPr="00A242EA" w14:paraId="0BCE426A"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159531D" w14:textId="77777777" w:rsidR="003670EC" w:rsidRPr="00730227" w:rsidRDefault="003670EC" w:rsidP="001A1442">
            <w:pPr>
              <w:pStyle w:val="Tabletext"/>
              <w:rPr>
                <w:rFonts w:cs="Arial"/>
                <w:color w:val="000000"/>
                <w:lang w:val="en-GB"/>
              </w:rPr>
            </w:pPr>
            <w:r w:rsidRPr="00730227">
              <w:rPr>
                <w:rFonts w:cs="Arial"/>
                <w:color w:val="000000"/>
                <w:lang w:val="en-GB"/>
              </w:rPr>
              <w:t>Total annual costs</w:t>
            </w:r>
          </w:p>
        </w:tc>
        <w:tc>
          <w:tcPr>
            <w:tcW w:w="2220" w:type="dxa"/>
            <w:noWrap/>
          </w:tcPr>
          <w:p w14:paraId="0AD6704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14,156.88</w:t>
            </w:r>
          </w:p>
        </w:tc>
        <w:tc>
          <w:tcPr>
            <w:tcW w:w="2220" w:type="dxa"/>
            <w:noWrap/>
          </w:tcPr>
          <w:p w14:paraId="5F9F220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14,156.88</w:t>
            </w:r>
          </w:p>
        </w:tc>
        <w:tc>
          <w:tcPr>
            <w:tcW w:w="2220" w:type="dxa"/>
          </w:tcPr>
          <w:p w14:paraId="76EA0BA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12,902.57</w:t>
            </w:r>
          </w:p>
        </w:tc>
      </w:tr>
      <w:tr w:rsidR="003670EC" w:rsidRPr="00A242EA" w14:paraId="7F8EE37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4"/>
          </w:tcPr>
          <w:p w14:paraId="02D6A544" w14:textId="77777777" w:rsidR="003670EC" w:rsidRPr="00730227" w:rsidRDefault="003670EC" w:rsidP="001A1442">
            <w:pPr>
              <w:pStyle w:val="Tabletext"/>
              <w:rPr>
                <w:rFonts w:cs="Arial"/>
                <w:b/>
                <w:i/>
                <w:color w:val="000000"/>
                <w:lang w:val="en-GB"/>
              </w:rPr>
            </w:pPr>
            <w:r>
              <w:rPr>
                <w:rFonts w:cs="Arial"/>
                <w:b/>
                <w:i/>
                <w:color w:val="000000"/>
                <w:lang w:val="en-GB"/>
              </w:rPr>
              <w:t>GLP-1 receptor agonist plus basal insulin therapy (first intensification)</w:t>
            </w:r>
          </w:p>
        </w:tc>
      </w:tr>
      <w:tr w:rsidR="003670EC" w:rsidRPr="00A242EA" w14:paraId="653931F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27BA1EB0" w14:textId="77777777" w:rsidR="003670EC" w:rsidRPr="004042AA" w:rsidRDefault="003670EC" w:rsidP="001A1442">
            <w:pPr>
              <w:pStyle w:val="Tabletext"/>
              <w:rPr>
                <w:rFonts w:cs="Arial"/>
                <w:b/>
                <w:color w:val="000000"/>
                <w:lang w:val="en-GB"/>
              </w:rPr>
            </w:pPr>
            <w:r>
              <w:rPr>
                <w:rFonts w:cs="Arial"/>
                <w:color w:val="000000"/>
                <w:lang w:val="en-GB"/>
              </w:rPr>
              <w:t>Annual medication costs</w:t>
            </w:r>
          </w:p>
        </w:tc>
        <w:tc>
          <w:tcPr>
            <w:tcW w:w="2220" w:type="dxa"/>
            <w:noWrap/>
          </w:tcPr>
          <w:p w14:paraId="2A37FC1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17,889.99</w:t>
            </w:r>
          </w:p>
        </w:tc>
        <w:tc>
          <w:tcPr>
            <w:tcW w:w="2220" w:type="dxa"/>
            <w:noWrap/>
          </w:tcPr>
          <w:p w14:paraId="40CFA486"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17,889.99</w:t>
            </w:r>
          </w:p>
        </w:tc>
        <w:tc>
          <w:tcPr>
            <w:tcW w:w="2220" w:type="dxa"/>
          </w:tcPr>
          <w:p w14:paraId="78E7872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16,635.69</w:t>
            </w:r>
          </w:p>
        </w:tc>
      </w:tr>
      <w:tr w:rsidR="003670EC" w:rsidRPr="00A242EA" w14:paraId="2E9A60D0"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5E3EDD85" w14:textId="77777777" w:rsidR="003670EC" w:rsidRPr="004042AA" w:rsidRDefault="003670EC" w:rsidP="001A1442">
            <w:pPr>
              <w:pStyle w:val="Tabletext"/>
              <w:rPr>
                <w:rFonts w:cs="Arial"/>
                <w:b/>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2220" w:type="dxa"/>
            <w:noWrap/>
          </w:tcPr>
          <w:p w14:paraId="2CC51CC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noWrap/>
          </w:tcPr>
          <w:p w14:paraId="20ED892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tcPr>
          <w:p w14:paraId="53B3AA5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59E1DB2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380CE8C" w14:textId="77777777" w:rsidR="003670EC" w:rsidRPr="004042AA" w:rsidRDefault="003670EC" w:rsidP="001A1442">
            <w:pPr>
              <w:pStyle w:val="Tabletext"/>
              <w:rPr>
                <w:rFonts w:cs="Arial"/>
                <w:b/>
                <w:color w:val="000000"/>
                <w:lang w:val="en-GB"/>
              </w:rPr>
            </w:pPr>
            <w:r>
              <w:rPr>
                <w:rFonts w:cs="Arial"/>
                <w:color w:val="000000"/>
                <w:lang w:val="en-GB"/>
              </w:rPr>
              <w:t>Annual needle costs</w:t>
            </w:r>
          </w:p>
        </w:tc>
        <w:tc>
          <w:tcPr>
            <w:tcW w:w="2220" w:type="dxa"/>
            <w:noWrap/>
          </w:tcPr>
          <w:p w14:paraId="2F80B98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2220" w:type="dxa"/>
            <w:noWrap/>
          </w:tcPr>
          <w:p w14:paraId="785A8D2A"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2220" w:type="dxa"/>
          </w:tcPr>
          <w:p w14:paraId="44E680A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r>
      <w:tr w:rsidR="003670EC" w:rsidRPr="00A242EA" w14:paraId="06218FE5"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48A09319" w14:textId="77777777" w:rsidR="003670EC" w:rsidRPr="004042AA" w:rsidRDefault="003670EC" w:rsidP="001A1442">
            <w:pPr>
              <w:pStyle w:val="Tabletext"/>
              <w:rPr>
                <w:rFonts w:cs="Arial"/>
                <w:b/>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2220" w:type="dxa"/>
            <w:noWrap/>
          </w:tcPr>
          <w:p w14:paraId="53380790"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2220" w:type="dxa"/>
            <w:noWrap/>
          </w:tcPr>
          <w:p w14:paraId="2787053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2220" w:type="dxa"/>
          </w:tcPr>
          <w:p w14:paraId="01DFEA06"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r>
      <w:tr w:rsidR="003670EC" w:rsidRPr="00A242EA" w14:paraId="4101A3B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509A0202" w14:textId="77777777" w:rsidR="003670EC" w:rsidRDefault="003670EC" w:rsidP="001A1442">
            <w:pPr>
              <w:pStyle w:val="Tabletext"/>
              <w:rPr>
                <w:rFonts w:cs="Arial"/>
                <w:color w:val="000000"/>
                <w:lang w:val="en-GB"/>
              </w:rPr>
            </w:pPr>
            <w:r>
              <w:rPr>
                <w:rFonts w:cs="Arial"/>
                <w:color w:val="000000"/>
                <w:lang w:val="en-GB"/>
              </w:rPr>
              <w:t>Total annual cost</w:t>
            </w:r>
          </w:p>
        </w:tc>
        <w:tc>
          <w:tcPr>
            <w:tcW w:w="2220" w:type="dxa"/>
            <w:noWrap/>
          </w:tcPr>
          <w:p w14:paraId="3F4BF1F1"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21,601.51</w:t>
            </w:r>
          </w:p>
        </w:tc>
        <w:tc>
          <w:tcPr>
            <w:tcW w:w="2220" w:type="dxa"/>
            <w:noWrap/>
          </w:tcPr>
          <w:p w14:paraId="5F8D725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21,601.51</w:t>
            </w:r>
          </w:p>
        </w:tc>
        <w:tc>
          <w:tcPr>
            <w:tcW w:w="2220" w:type="dxa"/>
          </w:tcPr>
          <w:p w14:paraId="5068012B"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20,347.20</w:t>
            </w:r>
          </w:p>
        </w:tc>
      </w:tr>
      <w:tr w:rsidR="003670EC" w:rsidRPr="00A242EA" w14:paraId="7436E06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4"/>
          </w:tcPr>
          <w:p w14:paraId="76F370AF" w14:textId="77777777" w:rsidR="003670EC" w:rsidRDefault="003670EC" w:rsidP="001A1442">
            <w:pPr>
              <w:pStyle w:val="Tabletext"/>
              <w:rPr>
                <w:rFonts w:cs="Arial"/>
                <w:color w:val="000000"/>
                <w:lang w:val="en-GB"/>
              </w:rPr>
            </w:pPr>
            <w:r>
              <w:rPr>
                <w:rFonts w:cs="Arial"/>
                <w:b/>
                <w:i/>
                <w:color w:val="000000"/>
                <w:lang w:val="en-GB"/>
              </w:rPr>
              <w:t>Basal-bolus insulin therapy (second intensification)</w:t>
            </w:r>
          </w:p>
        </w:tc>
      </w:tr>
      <w:tr w:rsidR="003670EC" w:rsidRPr="00A242EA" w14:paraId="590843C3"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84BF947" w14:textId="77777777" w:rsidR="003670EC" w:rsidRDefault="003670EC" w:rsidP="001A1442">
            <w:pPr>
              <w:pStyle w:val="Tabletext"/>
              <w:rPr>
                <w:rFonts w:cs="Arial"/>
                <w:color w:val="000000"/>
                <w:lang w:val="en-GB"/>
              </w:rPr>
            </w:pPr>
            <w:r>
              <w:rPr>
                <w:rFonts w:cs="Arial"/>
                <w:color w:val="000000"/>
                <w:lang w:val="en-GB"/>
              </w:rPr>
              <w:t>Annual medication costs</w:t>
            </w:r>
          </w:p>
        </w:tc>
        <w:tc>
          <w:tcPr>
            <w:tcW w:w="2220" w:type="dxa"/>
            <w:noWrap/>
          </w:tcPr>
          <w:p w14:paraId="15A7109B"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2220" w:type="dxa"/>
            <w:noWrap/>
          </w:tcPr>
          <w:p w14:paraId="4534CED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2220" w:type="dxa"/>
          </w:tcPr>
          <w:p w14:paraId="15F0FC3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r>
      <w:tr w:rsidR="003670EC" w:rsidRPr="00A242EA" w14:paraId="3D4AC85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2D1C66C2" w14:textId="77777777" w:rsidR="003670EC" w:rsidRDefault="003670EC" w:rsidP="001A1442">
            <w:pPr>
              <w:pStyle w:val="Tabletext"/>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2220" w:type="dxa"/>
            <w:noWrap/>
          </w:tcPr>
          <w:p w14:paraId="359EEEE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noWrap/>
          </w:tcPr>
          <w:p w14:paraId="2D40DAC2"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2220" w:type="dxa"/>
          </w:tcPr>
          <w:p w14:paraId="2C150418"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04CACBC0"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8F561BC" w14:textId="77777777" w:rsidR="003670EC" w:rsidRDefault="003670EC" w:rsidP="001A1442">
            <w:pPr>
              <w:pStyle w:val="Tabletext"/>
              <w:rPr>
                <w:rFonts w:cs="Arial"/>
                <w:color w:val="000000"/>
                <w:lang w:val="en-GB"/>
              </w:rPr>
            </w:pPr>
            <w:r>
              <w:rPr>
                <w:rFonts w:cs="Arial"/>
                <w:color w:val="000000"/>
                <w:lang w:val="en-GB"/>
              </w:rPr>
              <w:t>Annual needle costs</w:t>
            </w:r>
          </w:p>
        </w:tc>
        <w:tc>
          <w:tcPr>
            <w:tcW w:w="2220" w:type="dxa"/>
            <w:noWrap/>
          </w:tcPr>
          <w:p w14:paraId="78B37436"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2220" w:type="dxa"/>
            <w:noWrap/>
          </w:tcPr>
          <w:p w14:paraId="177E32D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2220" w:type="dxa"/>
          </w:tcPr>
          <w:p w14:paraId="5F70C88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r>
      <w:tr w:rsidR="003670EC" w:rsidRPr="00A242EA" w14:paraId="127C9504"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2F74842" w14:textId="77777777" w:rsidR="003670EC" w:rsidRDefault="003670EC" w:rsidP="001A1442">
            <w:pPr>
              <w:pStyle w:val="Tabletext"/>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2220" w:type="dxa"/>
            <w:noWrap/>
          </w:tcPr>
          <w:p w14:paraId="139BFF12"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2220" w:type="dxa"/>
            <w:noWrap/>
          </w:tcPr>
          <w:p w14:paraId="62950903"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2220" w:type="dxa"/>
          </w:tcPr>
          <w:p w14:paraId="0A87B021"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r>
      <w:tr w:rsidR="003670EC" w:rsidRPr="00A242EA" w14:paraId="13F226B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506D88AD" w14:textId="77777777" w:rsidR="003670EC" w:rsidRDefault="003670EC" w:rsidP="001A1442">
            <w:pPr>
              <w:pStyle w:val="Tabletext"/>
              <w:rPr>
                <w:rFonts w:cs="Arial"/>
                <w:color w:val="000000"/>
                <w:lang w:val="en-GB"/>
              </w:rPr>
            </w:pPr>
            <w:r>
              <w:rPr>
                <w:rFonts w:cs="Arial"/>
                <w:color w:val="000000"/>
                <w:lang w:val="en-GB"/>
              </w:rPr>
              <w:t>Total annual cost</w:t>
            </w:r>
          </w:p>
        </w:tc>
        <w:tc>
          <w:tcPr>
            <w:tcW w:w="2220" w:type="dxa"/>
            <w:noWrap/>
          </w:tcPr>
          <w:p w14:paraId="152146F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2220" w:type="dxa"/>
            <w:noWrap/>
          </w:tcPr>
          <w:p w14:paraId="38AC3DB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2220" w:type="dxa"/>
          </w:tcPr>
          <w:p w14:paraId="42C829A3"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r>
    </w:tbl>
    <w:p w14:paraId="4BC4CFF1" w14:textId="77777777" w:rsidR="003670EC" w:rsidRDefault="003670EC" w:rsidP="003670EC">
      <w:pPr>
        <w:pStyle w:val="Footnote"/>
        <w:keepNext/>
        <w:rPr>
          <w:lang w:val="en-GB"/>
        </w:rPr>
      </w:pPr>
      <w:r>
        <w:rPr>
          <w:lang w:val="en-GB"/>
        </w:rPr>
        <w:t xml:space="preserve">DKK, 2017 Danish kroner; GLP-1, glucagon-like peptide-1; </w:t>
      </w:r>
      <w:r w:rsidRPr="00A242EA">
        <w:rPr>
          <w:lang w:val="en-GB"/>
        </w:rPr>
        <w:t>SMBG, self-monitoring of blood glucose.</w:t>
      </w:r>
    </w:p>
    <w:p w14:paraId="586A1BA1" w14:textId="77777777" w:rsidR="003670EC" w:rsidRPr="008D3CCE" w:rsidRDefault="003670EC" w:rsidP="003670EC">
      <w:pPr>
        <w:pStyle w:val="Footnote"/>
      </w:pPr>
    </w:p>
    <w:p w14:paraId="79B2C979" w14:textId="3681AD2E" w:rsidR="003670EC" w:rsidRPr="00A242EA" w:rsidRDefault="003670EC" w:rsidP="003670EC">
      <w:pPr>
        <w:pStyle w:val="Caption"/>
        <w:rPr>
          <w:lang w:val="en-GB"/>
        </w:rPr>
      </w:pPr>
      <w:bookmarkStart w:id="5" w:name="_Ref531162730"/>
      <w:r w:rsidRPr="00A242EA">
        <w:rPr>
          <w:lang w:val="en-GB"/>
        </w:rPr>
        <w:t xml:space="preserve">Table </w:t>
      </w:r>
      <w:r>
        <w:rPr>
          <w:lang w:val="en-GB"/>
        </w:rPr>
        <w:t>S</w:t>
      </w:r>
      <w:r w:rsidRPr="00A242EA">
        <w:rPr>
          <w:lang w:val="en-GB"/>
        </w:rPr>
        <w:fldChar w:fldCharType="begin"/>
      </w:r>
      <w:r w:rsidRPr="00A242EA">
        <w:rPr>
          <w:lang w:val="en-GB"/>
        </w:rPr>
        <w:instrText xml:space="preserve"> SEQ Table \* ARABIC \s 1 </w:instrText>
      </w:r>
      <w:r w:rsidRPr="00A242EA">
        <w:rPr>
          <w:lang w:val="en-GB"/>
        </w:rPr>
        <w:fldChar w:fldCharType="separate"/>
      </w:r>
      <w:r w:rsidR="00BA2FE5">
        <w:rPr>
          <w:noProof/>
          <w:lang w:val="en-GB"/>
        </w:rPr>
        <w:t>3</w:t>
      </w:r>
      <w:r w:rsidRPr="00A242EA">
        <w:rPr>
          <w:lang w:val="en-GB"/>
        </w:rPr>
        <w:fldChar w:fldCharType="end"/>
      </w:r>
      <w:bookmarkEnd w:id="5"/>
      <w:r w:rsidRPr="00A242EA">
        <w:rPr>
          <w:lang w:val="en-GB"/>
        </w:rPr>
        <w:tab/>
      </w:r>
      <w:r>
        <w:rPr>
          <w:lang w:val="en-GB"/>
        </w:rPr>
        <w:t>Annual pharmacy costs in the supporting analyses based on SUSTAIN 3</w:t>
      </w:r>
    </w:p>
    <w:tbl>
      <w:tblPr>
        <w:tblStyle w:val="OssianReportTable"/>
        <w:tblW w:w="9288" w:type="dxa"/>
        <w:tblLayout w:type="fixed"/>
        <w:tblLook w:val="04A0" w:firstRow="1" w:lastRow="0" w:firstColumn="1" w:lastColumn="0" w:noHBand="0" w:noVBand="1"/>
      </w:tblPr>
      <w:tblGrid>
        <w:gridCol w:w="2898"/>
        <w:gridCol w:w="3195"/>
        <w:gridCol w:w="3195"/>
      </w:tblGrid>
      <w:tr w:rsidR="003670EC" w:rsidRPr="00A242EA" w14:paraId="2C0D2704" w14:textId="77777777" w:rsidTr="001A1442">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000" w:firstRow="0" w:lastRow="0" w:firstColumn="1" w:lastColumn="0" w:oddVBand="0" w:evenVBand="0" w:oddHBand="0" w:evenHBand="0" w:firstRowFirstColumn="0" w:firstRowLastColumn="0" w:lastRowFirstColumn="0" w:lastRowLastColumn="0"/>
            <w:tcW w:w="2898" w:type="dxa"/>
            <w:noWrap/>
            <w:hideMark/>
          </w:tcPr>
          <w:p w14:paraId="5AE82CED" w14:textId="77777777" w:rsidR="003670EC" w:rsidRPr="00A242EA" w:rsidRDefault="003670EC" w:rsidP="001A1442">
            <w:pPr>
              <w:pStyle w:val="Tabletext"/>
              <w:rPr>
                <w:lang w:val="en-GB"/>
              </w:rPr>
            </w:pPr>
          </w:p>
        </w:tc>
        <w:tc>
          <w:tcPr>
            <w:tcW w:w="3195" w:type="dxa"/>
            <w:noWrap/>
          </w:tcPr>
          <w:p w14:paraId="1810779C" w14:textId="77777777" w:rsidR="003670EC" w:rsidRPr="00A242EA" w:rsidRDefault="003670EC" w:rsidP="001A1442">
            <w:pPr>
              <w:pStyle w:val="Tabletext"/>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Semaglutide 1 mg (DKK)</w:t>
            </w:r>
          </w:p>
        </w:tc>
        <w:tc>
          <w:tcPr>
            <w:tcW w:w="3195" w:type="dxa"/>
          </w:tcPr>
          <w:p w14:paraId="4AC96AA5" w14:textId="77777777" w:rsidR="003670EC" w:rsidRPr="00A242EA" w:rsidRDefault="003670EC" w:rsidP="001A1442">
            <w:pPr>
              <w:pStyle w:val="Tabletext"/>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Exenatide ER (DKK)</w:t>
            </w:r>
          </w:p>
        </w:tc>
      </w:tr>
      <w:tr w:rsidR="003670EC" w:rsidRPr="00A242EA" w14:paraId="50AA71C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3"/>
          </w:tcPr>
          <w:p w14:paraId="0F9E8D96" w14:textId="77777777" w:rsidR="003670EC" w:rsidRPr="00FE767B" w:rsidRDefault="003670EC" w:rsidP="001A1442">
            <w:pPr>
              <w:pStyle w:val="Tabletext"/>
              <w:rPr>
                <w:rFonts w:cs="Arial"/>
                <w:b/>
                <w:i/>
                <w:color w:val="000000"/>
                <w:lang w:val="en-GB"/>
              </w:rPr>
            </w:pPr>
            <w:r>
              <w:rPr>
                <w:rFonts w:cs="Arial"/>
                <w:b/>
                <w:i/>
                <w:color w:val="000000"/>
                <w:lang w:val="en-GB"/>
              </w:rPr>
              <w:t>Initial GLP-1 receptor agonist therapy</w:t>
            </w:r>
          </w:p>
        </w:tc>
      </w:tr>
      <w:tr w:rsidR="003670EC" w:rsidRPr="00A242EA" w14:paraId="60594C4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hideMark/>
          </w:tcPr>
          <w:p w14:paraId="35DAF725" w14:textId="77777777" w:rsidR="003670EC" w:rsidRPr="00A242EA" w:rsidRDefault="003670EC" w:rsidP="001A1442">
            <w:pPr>
              <w:pStyle w:val="Tabletext"/>
              <w:rPr>
                <w:rFonts w:cs="Arial"/>
                <w:color w:val="000000"/>
                <w:lang w:val="en-GB"/>
              </w:rPr>
            </w:pPr>
            <w:r>
              <w:rPr>
                <w:rFonts w:cs="Arial"/>
                <w:color w:val="000000"/>
                <w:lang w:val="en-GB"/>
              </w:rPr>
              <w:t>Annual medication costs</w:t>
            </w:r>
          </w:p>
        </w:tc>
        <w:tc>
          <w:tcPr>
            <w:tcW w:w="3195" w:type="dxa"/>
            <w:noWrap/>
          </w:tcPr>
          <w:p w14:paraId="2C480DD9"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13,881.63</w:t>
            </w:r>
          </w:p>
        </w:tc>
        <w:tc>
          <w:tcPr>
            <w:tcW w:w="3195" w:type="dxa"/>
          </w:tcPr>
          <w:p w14:paraId="63481BA4"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10,527.67</w:t>
            </w:r>
          </w:p>
        </w:tc>
      </w:tr>
      <w:tr w:rsidR="003670EC" w:rsidRPr="00A242EA" w14:paraId="78900947"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noWrap/>
            <w:hideMark/>
          </w:tcPr>
          <w:p w14:paraId="5CD10B20" w14:textId="77777777" w:rsidR="003670EC" w:rsidRPr="00A242EA" w:rsidRDefault="003670EC" w:rsidP="001A1442">
            <w:pPr>
              <w:pStyle w:val="Tabletext"/>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3195" w:type="dxa"/>
            <w:noWrap/>
          </w:tcPr>
          <w:p w14:paraId="5AA4ACB4"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3195" w:type="dxa"/>
          </w:tcPr>
          <w:p w14:paraId="7A826CAC"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274.56</w:t>
            </w:r>
          </w:p>
        </w:tc>
      </w:tr>
      <w:tr w:rsidR="003670EC" w:rsidRPr="00A242EA" w14:paraId="65D812F3"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noWrap/>
          </w:tcPr>
          <w:p w14:paraId="48C0E04E" w14:textId="77777777" w:rsidR="003670EC" w:rsidRDefault="003670EC" w:rsidP="001A1442">
            <w:pPr>
              <w:pStyle w:val="Tabletext"/>
              <w:rPr>
                <w:rFonts w:cs="Arial"/>
                <w:color w:val="000000"/>
                <w:lang w:val="en-GB"/>
              </w:rPr>
            </w:pPr>
            <w:r>
              <w:rPr>
                <w:rFonts w:cs="Arial"/>
                <w:color w:val="000000"/>
                <w:lang w:val="en-GB"/>
              </w:rPr>
              <w:t>Annual sulfonylurea costs</w:t>
            </w:r>
          </w:p>
        </w:tc>
        <w:tc>
          <w:tcPr>
            <w:tcW w:w="3195" w:type="dxa"/>
            <w:noWrap/>
          </w:tcPr>
          <w:p w14:paraId="2A69DF63"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63.13</w:t>
            </w:r>
          </w:p>
        </w:tc>
        <w:tc>
          <w:tcPr>
            <w:tcW w:w="3195" w:type="dxa"/>
          </w:tcPr>
          <w:p w14:paraId="3AABA4A5"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72.71</w:t>
            </w:r>
          </w:p>
        </w:tc>
      </w:tr>
      <w:tr w:rsidR="003670EC" w:rsidRPr="00A242EA" w14:paraId="2824606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noWrap/>
          </w:tcPr>
          <w:p w14:paraId="2D5BD948" w14:textId="77777777" w:rsidR="003670EC" w:rsidRDefault="003670EC" w:rsidP="001A1442">
            <w:pPr>
              <w:pStyle w:val="Tabletext"/>
              <w:rPr>
                <w:rFonts w:cs="Arial"/>
                <w:color w:val="000000"/>
                <w:lang w:val="en-GB"/>
              </w:rPr>
            </w:pPr>
            <w:r>
              <w:rPr>
                <w:rFonts w:cs="Arial"/>
                <w:color w:val="000000"/>
                <w:lang w:val="en-GB"/>
              </w:rPr>
              <w:t>Annual thiazolidinedione costs</w:t>
            </w:r>
          </w:p>
        </w:tc>
        <w:tc>
          <w:tcPr>
            <w:tcW w:w="3195" w:type="dxa"/>
            <w:noWrap/>
          </w:tcPr>
          <w:p w14:paraId="37AB734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99.91</w:t>
            </w:r>
          </w:p>
        </w:tc>
        <w:tc>
          <w:tcPr>
            <w:tcW w:w="3195" w:type="dxa"/>
          </w:tcPr>
          <w:p w14:paraId="47732A23"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46.00</w:t>
            </w:r>
          </w:p>
        </w:tc>
      </w:tr>
      <w:tr w:rsidR="003670EC" w:rsidRPr="00A242EA" w14:paraId="7432FD6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hideMark/>
          </w:tcPr>
          <w:p w14:paraId="1693012C" w14:textId="77777777" w:rsidR="003670EC" w:rsidRPr="00A242EA" w:rsidRDefault="003670EC" w:rsidP="001A1442">
            <w:pPr>
              <w:pStyle w:val="Tabletext"/>
              <w:rPr>
                <w:rFonts w:cs="Arial"/>
                <w:color w:val="000000"/>
                <w:lang w:val="en-GB"/>
              </w:rPr>
            </w:pPr>
            <w:r>
              <w:rPr>
                <w:rFonts w:cs="Arial"/>
                <w:color w:val="000000"/>
                <w:lang w:val="en-GB"/>
              </w:rPr>
              <w:t>Annual needle costs</w:t>
            </w:r>
          </w:p>
        </w:tc>
        <w:tc>
          <w:tcPr>
            <w:tcW w:w="3195" w:type="dxa"/>
            <w:noWrap/>
          </w:tcPr>
          <w:p w14:paraId="20A0BFD7"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3195" w:type="dxa"/>
          </w:tcPr>
          <w:p w14:paraId="51EC6030"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r>
      <w:tr w:rsidR="003670EC" w:rsidRPr="00A242EA" w14:paraId="72FB8BF5"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hideMark/>
          </w:tcPr>
          <w:p w14:paraId="6330752B" w14:textId="77777777" w:rsidR="003670EC" w:rsidRPr="00A242EA" w:rsidRDefault="003670EC" w:rsidP="001A1442">
            <w:pPr>
              <w:pStyle w:val="Tabletext"/>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3195" w:type="dxa"/>
            <w:noWrap/>
          </w:tcPr>
          <w:p w14:paraId="550BCC29"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504.10</w:t>
            </w:r>
          </w:p>
        </w:tc>
        <w:tc>
          <w:tcPr>
            <w:tcW w:w="3195" w:type="dxa"/>
          </w:tcPr>
          <w:p w14:paraId="40A41D0E" w14:textId="77777777" w:rsidR="003670EC" w:rsidRPr="00A242EA"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580.65</w:t>
            </w:r>
          </w:p>
        </w:tc>
      </w:tr>
      <w:tr w:rsidR="003670EC" w:rsidRPr="00A242EA" w14:paraId="6514DF2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37352918" w14:textId="77777777" w:rsidR="003670EC" w:rsidRPr="00730227" w:rsidRDefault="003670EC" w:rsidP="001A1442">
            <w:pPr>
              <w:pStyle w:val="Tabletext"/>
              <w:rPr>
                <w:rFonts w:cs="Arial"/>
                <w:color w:val="000000"/>
                <w:lang w:val="en-GB"/>
              </w:rPr>
            </w:pPr>
            <w:r w:rsidRPr="00730227">
              <w:rPr>
                <w:rFonts w:cs="Arial"/>
                <w:color w:val="000000"/>
                <w:lang w:val="en-GB"/>
              </w:rPr>
              <w:t>Total annual costs</w:t>
            </w:r>
          </w:p>
        </w:tc>
        <w:tc>
          <w:tcPr>
            <w:tcW w:w="3195" w:type="dxa"/>
            <w:noWrap/>
          </w:tcPr>
          <w:p w14:paraId="0D765790"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14,824.02</w:t>
            </w:r>
          </w:p>
        </w:tc>
        <w:tc>
          <w:tcPr>
            <w:tcW w:w="3195" w:type="dxa"/>
          </w:tcPr>
          <w:p w14:paraId="1009DAA0"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11,501.59</w:t>
            </w:r>
          </w:p>
        </w:tc>
      </w:tr>
      <w:tr w:rsidR="003670EC" w:rsidRPr="00A242EA" w14:paraId="5C8C5371"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3"/>
          </w:tcPr>
          <w:p w14:paraId="6CC1A964" w14:textId="77777777" w:rsidR="003670EC" w:rsidRPr="00730227" w:rsidRDefault="003670EC" w:rsidP="001A1442">
            <w:pPr>
              <w:pStyle w:val="Tabletext"/>
              <w:rPr>
                <w:rFonts w:cs="Arial"/>
                <w:b/>
                <w:i/>
                <w:color w:val="000000"/>
                <w:lang w:val="en-GB"/>
              </w:rPr>
            </w:pPr>
            <w:r>
              <w:rPr>
                <w:rFonts w:cs="Arial"/>
                <w:b/>
                <w:i/>
                <w:color w:val="000000"/>
                <w:lang w:val="en-GB"/>
              </w:rPr>
              <w:t>GLP-1 receptor agonist plus basal insulin therapy (first intensification)</w:t>
            </w:r>
          </w:p>
        </w:tc>
      </w:tr>
      <w:tr w:rsidR="003670EC" w:rsidRPr="00A242EA" w14:paraId="045BCD91"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0E6A0878" w14:textId="77777777" w:rsidR="003670EC" w:rsidRPr="004042AA" w:rsidRDefault="003670EC" w:rsidP="001A1442">
            <w:pPr>
              <w:pStyle w:val="Tabletext"/>
              <w:rPr>
                <w:rFonts w:cs="Arial"/>
                <w:b/>
                <w:color w:val="000000"/>
                <w:lang w:val="en-GB"/>
              </w:rPr>
            </w:pPr>
            <w:r>
              <w:rPr>
                <w:rFonts w:cs="Arial"/>
                <w:color w:val="000000"/>
                <w:lang w:val="en-GB"/>
              </w:rPr>
              <w:t>Annual medication costs</w:t>
            </w:r>
          </w:p>
        </w:tc>
        <w:tc>
          <w:tcPr>
            <w:tcW w:w="3195" w:type="dxa"/>
            <w:noWrap/>
          </w:tcPr>
          <w:p w14:paraId="14D3A516"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17,889.99</w:t>
            </w:r>
          </w:p>
        </w:tc>
        <w:tc>
          <w:tcPr>
            <w:tcW w:w="3195" w:type="dxa"/>
          </w:tcPr>
          <w:p w14:paraId="1670E708"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14,536.02</w:t>
            </w:r>
          </w:p>
        </w:tc>
      </w:tr>
      <w:tr w:rsidR="003670EC" w:rsidRPr="00A242EA" w14:paraId="5BBDC5E3"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50E9D4DE" w14:textId="77777777" w:rsidR="003670EC" w:rsidRPr="004042AA" w:rsidRDefault="003670EC" w:rsidP="001A1442">
            <w:pPr>
              <w:pStyle w:val="Tabletext"/>
              <w:rPr>
                <w:rFonts w:cs="Arial"/>
                <w:b/>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3195" w:type="dxa"/>
            <w:noWrap/>
          </w:tcPr>
          <w:p w14:paraId="3598346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3195" w:type="dxa"/>
          </w:tcPr>
          <w:p w14:paraId="2B1EE82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274.56</w:t>
            </w:r>
          </w:p>
        </w:tc>
      </w:tr>
      <w:tr w:rsidR="003670EC" w:rsidRPr="00A242EA" w14:paraId="73045B5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1A5D7081" w14:textId="77777777" w:rsidR="003670EC" w:rsidRDefault="003670EC" w:rsidP="001A1442">
            <w:pPr>
              <w:pStyle w:val="Tabletext"/>
              <w:rPr>
                <w:rFonts w:cs="Arial"/>
                <w:color w:val="000000"/>
                <w:lang w:val="en-GB"/>
              </w:rPr>
            </w:pPr>
            <w:r>
              <w:rPr>
                <w:rFonts w:cs="Arial"/>
                <w:color w:val="000000"/>
                <w:lang w:val="en-GB"/>
              </w:rPr>
              <w:t>Annual sulfonylurea costs</w:t>
            </w:r>
          </w:p>
        </w:tc>
        <w:tc>
          <w:tcPr>
            <w:tcW w:w="3195" w:type="dxa"/>
            <w:noWrap/>
          </w:tcPr>
          <w:p w14:paraId="0DB1D2F1"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63.13</w:t>
            </w:r>
          </w:p>
        </w:tc>
        <w:tc>
          <w:tcPr>
            <w:tcW w:w="3195" w:type="dxa"/>
          </w:tcPr>
          <w:p w14:paraId="79F6255D"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72.71</w:t>
            </w:r>
          </w:p>
        </w:tc>
      </w:tr>
      <w:tr w:rsidR="003670EC" w:rsidRPr="00A242EA" w14:paraId="1D34997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09320549" w14:textId="77777777" w:rsidR="003670EC" w:rsidRDefault="003670EC" w:rsidP="001A1442">
            <w:pPr>
              <w:pStyle w:val="Tabletext"/>
              <w:rPr>
                <w:rFonts w:cs="Arial"/>
                <w:color w:val="000000"/>
                <w:lang w:val="en-GB"/>
              </w:rPr>
            </w:pPr>
            <w:r>
              <w:rPr>
                <w:rFonts w:cs="Arial"/>
                <w:color w:val="000000"/>
                <w:lang w:val="en-GB"/>
              </w:rPr>
              <w:t>Annual thiazolidinedione costs</w:t>
            </w:r>
          </w:p>
        </w:tc>
        <w:tc>
          <w:tcPr>
            <w:tcW w:w="3195" w:type="dxa"/>
            <w:noWrap/>
          </w:tcPr>
          <w:p w14:paraId="5F0176CB"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99.91</w:t>
            </w:r>
          </w:p>
        </w:tc>
        <w:tc>
          <w:tcPr>
            <w:tcW w:w="3195" w:type="dxa"/>
          </w:tcPr>
          <w:p w14:paraId="5637293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46.00</w:t>
            </w:r>
          </w:p>
        </w:tc>
      </w:tr>
      <w:tr w:rsidR="003670EC" w:rsidRPr="00A242EA" w14:paraId="2873A90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05F04173" w14:textId="77777777" w:rsidR="003670EC" w:rsidRPr="004042AA" w:rsidRDefault="003670EC" w:rsidP="001A1442">
            <w:pPr>
              <w:pStyle w:val="Tabletext"/>
              <w:rPr>
                <w:rFonts w:cs="Arial"/>
                <w:b/>
                <w:color w:val="000000"/>
                <w:lang w:val="en-GB"/>
              </w:rPr>
            </w:pPr>
            <w:r>
              <w:rPr>
                <w:rFonts w:cs="Arial"/>
                <w:color w:val="000000"/>
                <w:lang w:val="en-GB"/>
              </w:rPr>
              <w:t>Annual needle costs</w:t>
            </w:r>
          </w:p>
        </w:tc>
        <w:tc>
          <w:tcPr>
            <w:tcW w:w="3195" w:type="dxa"/>
            <w:noWrap/>
          </w:tcPr>
          <w:p w14:paraId="6D0B9CB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3195" w:type="dxa"/>
          </w:tcPr>
          <w:p w14:paraId="7188CED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r>
      <w:tr w:rsidR="003670EC" w:rsidRPr="00A242EA" w14:paraId="34166B4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78276D4B" w14:textId="77777777" w:rsidR="003670EC" w:rsidRPr="004042AA" w:rsidRDefault="003670EC" w:rsidP="001A1442">
            <w:pPr>
              <w:pStyle w:val="Tabletext"/>
              <w:rPr>
                <w:rFonts w:cs="Arial"/>
                <w:b/>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3195" w:type="dxa"/>
            <w:noWrap/>
          </w:tcPr>
          <w:p w14:paraId="1B98BF9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3195" w:type="dxa"/>
          </w:tcPr>
          <w:p w14:paraId="4DFB130B"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r>
      <w:tr w:rsidR="003670EC" w:rsidRPr="00A242EA" w14:paraId="06D0002F"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5B1D89C8" w14:textId="77777777" w:rsidR="003670EC" w:rsidRDefault="003670EC" w:rsidP="001A1442">
            <w:pPr>
              <w:pStyle w:val="Tabletext"/>
              <w:rPr>
                <w:rFonts w:cs="Arial"/>
                <w:color w:val="000000"/>
                <w:lang w:val="en-GB"/>
              </w:rPr>
            </w:pPr>
            <w:r>
              <w:rPr>
                <w:rFonts w:cs="Arial"/>
                <w:color w:val="000000"/>
                <w:lang w:val="en-GB"/>
              </w:rPr>
              <w:t>Total annual cost</w:t>
            </w:r>
          </w:p>
        </w:tc>
        <w:tc>
          <w:tcPr>
            <w:tcW w:w="3195" w:type="dxa"/>
            <w:noWrap/>
          </w:tcPr>
          <w:p w14:paraId="173BB073"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21,764.55</w:t>
            </w:r>
          </w:p>
        </w:tc>
        <w:tc>
          <w:tcPr>
            <w:tcW w:w="3195" w:type="dxa"/>
          </w:tcPr>
          <w:p w14:paraId="67ECE9B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18,365.57</w:t>
            </w:r>
          </w:p>
        </w:tc>
      </w:tr>
      <w:tr w:rsidR="003670EC" w:rsidRPr="00A242EA" w14:paraId="48873C4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9288" w:type="dxa"/>
            <w:gridSpan w:val="3"/>
          </w:tcPr>
          <w:p w14:paraId="74A3BC99" w14:textId="77777777" w:rsidR="003670EC" w:rsidRDefault="003670EC" w:rsidP="001A1442">
            <w:pPr>
              <w:pStyle w:val="Tabletext"/>
              <w:rPr>
                <w:rFonts w:cs="Arial"/>
                <w:color w:val="000000"/>
                <w:lang w:val="en-GB"/>
              </w:rPr>
            </w:pPr>
            <w:r>
              <w:rPr>
                <w:rFonts w:cs="Arial"/>
                <w:b/>
                <w:i/>
                <w:color w:val="000000"/>
                <w:lang w:val="en-GB"/>
              </w:rPr>
              <w:t>Basal-bolus insulin therapy (second intensification)</w:t>
            </w:r>
          </w:p>
        </w:tc>
      </w:tr>
      <w:tr w:rsidR="003670EC" w:rsidRPr="00A242EA" w14:paraId="0F561DFA"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071F816D" w14:textId="77777777" w:rsidR="003670EC" w:rsidRDefault="003670EC" w:rsidP="001A1442">
            <w:pPr>
              <w:pStyle w:val="Tabletext"/>
              <w:rPr>
                <w:rFonts w:cs="Arial"/>
                <w:color w:val="000000"/>
                <w:lang w:val="en-GB"/>
              </w:rPr>
            </w:pPr>
            <w:r>
              <w:rPr>
                <w:rFonts w:cs="Arial"/>
                <w:color w:val="000000"/>
                <w:lang w:val="en-GB"/>
              </w:rPr>
              <w:t>Annual medication costs</w:t>
            </w:r>
          </w:p>
        </w:tc>
        <w:tc>
          <w:tcPr>
            <w:tcW w:w="3195" w:type="dxa"/>
            <w:noWrap/>
          </w:tcPr>
          <w:p w14:paraId="5EB4F715"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3195" w:type="dxa"/>
          </w:tcPr>
          <w:p w14:paraId="5F77BB3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r>
      <w:tr w:rsidR="003670EC" w:rsidRPr="00A242EA" w14:paraId="35B812E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75C8AFFF" w14:textId="77777777" w:rsidR="003670EC" w:rsidRDefault="003670EC" w:rsidP="001A1442">
            <w:pPr>
              <w:pStyle w:val="Tabletext"/>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3195" w:type="dxa"/>
            <w:noWrap/>
          </w:tcPr>
          <w:p w14:paraId="2F14C1F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3195" w:type="dxa"/>
          </w:tcPr>
          <w:p w14:paraId="4A623C82"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6ED623D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71BA134A" w14:textId="77777777" w:rsidR="003670EC" w:rsidRDefault="003670EC" w:rsidP="001A1442">
            <w:pPr>
              <w:pStyle w:val="Tabletext"/>
              <w:rPr>
                <w:rFonts w:cs="Arial"/>
                <w:color w:val="000000"/>
                <w:lang w:val="en-GB"/>
              </w:rPr>
            </w:pPr>
            <w:r>
              <w:rPr>
                <w:rFonts w:cs="Arial"/>
                <w:color w:val="000000"/>
                <w:lang w:val="en-GB"/>
              </w:rPr>
              <w:t>Annual sulfonylurea costs</w:t>
            </w:r>
          </w:p>
        </w:tc>
        <w:tc>
          <w:tcPr>
            <w:tcW w:w="3195" w:type="dxa"/>
            <w:noWrap/>
          </w:tcPr>
          <w:p w14:paraId="0A82E2E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63.13</w:t>
            </w:r>
          </w:p>
        </w:tc>
        <w:tc>
          <w:tcPr>
            <w:tcW w:w="3195" w:type="dxa"/>
          </w:tcPr>
          <w:p w14:paraId="5A46F29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63.13</w:t>
            </w:r>
          </w:p>
        </w:tc>
      </w:tr>
      <w:tr w:rsidR="003670EC" w:rsidRPr="00A242EA" w14:paraId="1257AA3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2829A86D" w14:textId="77777777" w:rsidR="003670EC" w:rsidRDefault="003670EC" w:rsidP="001A1442">
            <w:pPr>
              <w:pStyle w:val="Tabletext"/>
              <w:rPr>
                <w:rFonts w:cs="Arial"/>
                <w:color w:val="000000"/>
                <w:lang w:val="en-GB"/>
              </w:rPr>
            </w:pPr>
            <w:r>
              <w:rPr>
                <w:rFonts w:cs="Arial"/>
                <w:color w:val="000000"/>
                <w:lang w:val="en-GB"/>
              </w:rPr>
              <w:t>Annual thiazolidinedione costs</w:t>
            </w:r>
          </w:p>
        </w:tc>
        <w:tc>
          <w:tcPr>
            <w:tcW w:w="3195" w:type="dxa"/>
            <w:noWrap/>
          </w:tcPr>
          <w:p w14:paraId="612F35C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99.91</w:t>
            </w:r>
          </w:p>
        </w:tc>
        <w:tc>
          <w:tcPr>
            <w:tcW w:w="3195" w:type="dxa"/>
          </w:tcPr>
          <w:p w14:paraId="6B2F583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99.91</w:t>
            </w:r>
          </w:p>
        </w:tc>
      </w:tr>
      <w:tr w:rsidR="003670EC" w:rsidRPr="00A242EA" w14:paraId="032E3EFE"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4829EC67" w14:textId="77777777" w:rsidR="003670EC" w:rsidRDefault="003670EC" w:rsidP="001A1442">
            <w:pPr>
              <w:pStyle w:val="Tabletext"/>
              <w:rPr>
                <w:rFonts w:cs="Arial"/>
                <w:color w:val="000000"/>
                <w:lang w:val="en-GB"/>
              </w:rPr>
            </w:pPr>
            <w:r>
              <w:rPr>
                <w:rFonts w:cs="Arial"/>
                <w:color w:val="000000"/>
                <w:lang w:val="en-GB"/>
              </w:rPr>
              <w:t>Annual needle costs</w:t>
            </w:r>
          </w:p>
        </w:tc>
        <w:tc>
          <w:tcPr>
            <w:tcW w:w="3195" w:type="dxa"/>
            <w:noWrap/>
          </w:tcPr>
          <w:p w14:paraId="0B5EFEE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3195" w:type="dxa"/>
          </w:tcPr>
          <w:p w14:paraId="566531A4"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r>
      <w:tr w:rsidR="003670EC" w:rsidRPr="00A242EA" w14:paraId="7538D6DB"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203344A8" w14:textId="77777777" w:rsidR="003670EC" w:rsidRDefault="003670EC" w:rsidP="001A1442">
            <w:pPr>
              <w:pStyle w:val="Tabletext"/>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3195" w:type="dxa"/>
            <w:noWrap/>
          </w:tcPr>
          <w:p w14:paraId="69DDA53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3195" w:type="dxa"/>
          </w:tcPr>
          <w:p w14:paraId="77182B0F"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r>
      <w:tr w:rsidR="003670EC" w:rsidRPr="00A242EA" w14:paraId="45F281E8"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898" w:type="dxa"/>
          </w:tcPr>
          <w:p w14:paraId="20978BDE" w14:textId="77777777" w:rsidR="003670EC" w:rsidRDefault="003670EC" w:rsidP="001A1442">
            <w:pPr>
              <w:pStyle w:val="Tabletext"/>
              <w:rPr>
                <w:rFonts w:cs="Arial"/>
                <w:color w:val="000000"/>
                <w:lang w:val="en-GB"/>
              </w:rPr>
            </w:pPr>
            <w:r>
              <w:rPr>
                <w:rFonts w:cs="Arial"/>
                <w:color w:val="000000"/>
                <w:lang w:val="en-GB"/>
              </w:rPr>
              <w:t>Total annual cost</w:t>
            </w:r>
          </w:p>
        </w:tc>
        <w:tc>
          <w:tcPr>
            <w:tcW w:w="3195" w:type="dxa"/>
            <w:noWrap/>
          </w:tcPr>
          <w:p w14:paraId="70DD844F"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18,394.26</w:t>
            </w:r>
          </w:p>
        </w:tc>
        <w:tc>
          <w:tcPr>
            <w:tcW w:w="3195" w:type="dxa"/>
          </w:tcPr>
          <w:p w14:paraId="7D29C188"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18,394.26</w:t>
            </w:r>
          </w:p>
        </w:tc>
      </w:tr>
    </w:tbl>
    <w:p w14:paraId="036E72BB" w14:textId="77777777" w:rsidR="003670EC" w:rsidRDefault="003670EC" w:rsidP="003670EC">
      <w:pPr>
        <w:pStyle w:val="Footnote"/>
        <w:keepNext/>
        <w:rPr>
          <w:lang w:val="en-GB"/>
        </w:rPr>
      </w:pPr>
      <w:r>
        <w:rPr>
          <w:lang w:val="en-GB"/>
        </w:rPr>
        <w:t xml:space="preserve">DKK, 2017 Danish kroner; ER, extended-release; GLP-1, glucagon-like peptide-1; </w:t>
      </w:r>
      <w:r w:rsidRPr="00A242EA">
        <w:rPr>
          <w:lang w:val="en-GB"/>
        </w:rPr>
        <w:t>SMBG, self-monitoring of blood glucose.</w:t>
      </w:r>
    </w:p>
    <w:p w14:paraId="3F34346B" w14:textId="77777777" w:rsidR="003670EC" w:rsidRDefault="003670EC" w:rsidP="003670EC">
      <w:pPr>
        <w:pStyle w:val="Text"/>
      </w:pPr>
    </w:p>
    <w:p w14:paraId="50CBC775" w14:textId="77777777" w:rsidR="003670EC" w:rsidRDefault="003670EC" w:rsidP="003670EC">
      <w:pPr>
        <w:pStyle w:val="Caption"/>
        <w:rPr>
          <w:lang w:val="en-GB"/>
        </w:rPr>
        <w:sectPr w:rsidR="003670EC" w:rsidSect="00250B7F">
          <w:endnotePr>
            <w:numFmt w:val="decimal"/>
          </w:endnotePr>
          <w:pgSz w:w="11907" w:h="16839" w:code="9"/>
          <w:pgMar w:top="1440" w:right="1440" w:bottom="1440" w:left="1440" w:header="709" w:footer="709" w:gutter="0"/>
          <w:cols w:space="708"/>
          <w:docGrid w:linePitch="360"/>
        </w:sectPr>
      </w:pPr>
    </w:p>
    <w:p w14:paraId="34AFC47F" w14:textId="6739D664" w:rsidR="003670EC" w:rsidRPr="00A242EA" w:rsidRDefault="003670EC" w:rsidP="003670EC">
      <w:pPr>
        <w:pStyle w:val="Caption"/>
        <w:rPr>
          <w:lang w:val="en-GB"/>
        </w:rPr>
      </w:pPr>
      <w:bookmarkStart w:id="6" w:name="_Ref531162731"/>
      <w:r w:rsidRPr="00A242EA">
        <w:rPr>
          <w:lang w:val="en-GB"/>
        </w:rPr>
        <w:t xml:space="preserve">Table </w:t>
      </w:r>
      <w:r>
        <w:rPr>
          <w:lang w:val="en-GB"/>
        </w:rPr>
        <w:t>S</w:t>
      </w:r>
      <w:r w:rsidRPr="00A242EA">
        <w:rPr>
          <w:lang w:val="en-GB"/>
        </w:rPr>
        <w:fldChar w:fldCharType="begin"/>
      </w:r>
      <w:r w:rsidRPr="00A242EA">
        <w:rPr>
          <w:lang w:val="en-GB"/>
        </w:rPr>
        <w:instrText xml:space="preserve"> SEQ Table \* ARABIC \s 1 </w:instrText>
      </w:r>
      <w:r w:rsidRPr="00A242EA">
        <w:rPr>
          <w:lang w:val="en-GB"/>
        </w:rPr>
        <w:fldChar w:fldCharType="separate"/>
      </w:r>
      <w:r w:rsidR="00BA2FE5">
        <w:rPr>
          <w:noProof/>
          <w:lang w:val="en-GB"/>
        </w:rPr>
        <w:t>4</w:t>
      </w:r>
      <w:r w:rsidRPr="00A242EA">
        <w:rPr>
          <w:lang w:val="en-GB"/>
        </w:rPr>
        <w:fldChar w:fldCharType="end"/>
      </w:r>
      <w:bookmarkEnd w:id="6"/>
      <w:r w:rsidRPr="00A242EA">
        <w:rPr>
          <w:lang w:val="en-GB"/>
        </w:rPr>
        <w:tab/>
      </w:r>
      <w:r>
        <w:rPr>
          <w:lang w:val="en-GB"/>
        </w:rPr>
        <w:t>Annual pharmacy costs in the supporting analyses based on the NMA</w:t>
      </w:r>
    </w:p>
    <w:tbl>
      <w:tblPr>
        <w:tblStyle w:val="OssianReportTable"/>
        <w:tblW w:w="14148" w:type="dxa"/>
        <w:tblLayout w:type="fixed"/>
        <w:tblLook w:val="04A0" w:firstRow="1" w:lastRow="0" w:firstColumn="1" w:lastColumn="0" w:noHBand="0" w:noVBand="1"/>
      </w:tblPr>
      <w:tblGrid>
        <w:gridCol w:w="2628"/>
        <w:gridCol w:w="1920"/>
        <w:gridCol w:w="1920"/>
        <w:gridCol w:w="1920"/>
        <w:gridCol w:w="1920"/>
        <w:gridCol w:w="1920"/>
        <w:gridCol w:w="1920"/>
      </w:tblGrid>
      <w:tr w:rsidR="003670EC" w:rsidRPr="00A242EA" w14:paraId="1E82684D" w14:textId="77777777" w:rsidTr="001A1442">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000" w:firstRow="0" w:lastRow="0" w:firstColumn="1" w:lastColumn="0" w:oddVBand="0" w:evenVBand="0" w:oddHBand="0" w:evenHBand="0" w:firstRowFirstColumn="0" w:firstRowLastColumn="0" w:lastRowFirstColumn="0" w:lastRowLastColumn="0"/>
            <w:tcW w:w="2628" w:type="dxa"/>
            <w:noWrap/>
            <w:hideMark/>
          </w:tcPr>
          <w:p w14:paraId="561212AE" w14:textId="77777777" w:rsidR="003670EC" w:rsidRPr="00A242EA" w:rsidRDefault="003670EC" w:rsidP="001A1442">
            <w:pPr>
              <w:pStyle w:val="Tabletext"/>
              <w:keepNext w:val="0"/>
              <w:keepLines w:val="0"/>
              <w:rPr>
                <w:lang w:val="en-GB"/>
              </w:rPr>
            </w:pPr>
          </w:p>
        </w:tc>
        <w:tc>
          <w:tcPr>
            <w:tcW w:w="1920" w:type="dxa"/>
            <w:noWrap/>
          </w:tcPr>
          <w:p w14:paraId="0E636F30" w14:textId="77777777" w:rsidR="003670EC" w:rsidRPr="00A242EA"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Semaglutide 0.5 mg (DKK)</w:t>
            </w:r>
          </w:p>
        </w:tc>
        <w:tc>
          <w:tcPr>
            <w:tcW w:w="1920" w:type="dxa"/>
          </w:tcPr>
          <w:p w14:paraId="17AD2CFA" w14:textId="77777777" w:rsidR="003670EC" w:rsidRPr="00A242EA"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Semaglutide 1 mg (DKK)</w:t>
            </w:r>
          </w:p>
        </w:tc>
        <w:tc>
          <w:tcPr>
            <w:tcW w:w="1920" w:type="dxa"/>
          </w:tcPr>
          <w:p w14:paraId="69A3308F" w14:textId="77777777" w:rsidR="003670EC"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Exenatide ER (DKK)</w:t>
            </w:r>
          </w:p>
        </w:tc>
        <w:tc>
          <w:tcPr>
            <w:tcW w:w="1920" w:type="dxa"/>
          </w:tcPr>
          <w:p w14:paraId="348AD191" w14:textId="77777777" w:rsidR="003670EC"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Liraglutide 1.2 mg (DKK)</w:t>
            </w:r>
          </w:p>
        </w:tc>
        <w:tc>
          <w:tcPr>
            <w:tcW w:w="1920" w:type="dxa"/>
          </w:tcPr>
          <w:p w14:paraId="4C966591" w14:textId="77777777" w:rsidR="003670EC"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Liraglutide 1.8 mg (DKK)</w:t>
            </w:r>
          </w:p>
        </w:tc>
        <w:tc>
          <w:tcPr>
            <w:tcW w:w="1920" w:type="dxa"/>
          </w:tcPr>
          <w:p w14:paraId="40C346DD" w14:textId="77777777" w:rsidR="003670EC" w:rsidRDefault="003670EC" w:rsidP="001A1442">
            <w:pPr>
              <w:pStyle w:val="Tabletext"/>
              <w:keepNext w:val="0"/>
              <w:keepLines w:val="0"/>
              <w:cnfStyle w:val="100000000000" w:firstRow="1"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Lixisenatide (DKK)</w:t>
            </w:r>
          </w:p>
        </w:tc>
      </w:tr>
      <w:tr w:rsidR="003670EC" w:rsidRPr="00A242EA" w14:paraId="5F765AD4"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14148" w:type="dxa"/>
            <w:gridSpan w:val="7"/>
          </w:tcPr>
          <w:p w14:paraId="0BE8078D" w14:textId="77777777" w:rsidR="003670EC" w:rsidRDefault="003670EC" w:rsidP="001A1442">
            <w:pPr>
              <w:pStyle w:val="Tabletext"/>
              <w:keepNext w:val="0"/>
              <w:keepLines w:val="0"/>
              <w:rPr>
                <w:rFonts w:cs="Arial"/>
                <w:b/>
                <w:i/>
                <w:color w:val="000000"/>
                <w:lang w:val="en-GB"/>
              </w:rPr>
            </w:pPr>
            <w:r>
              <w:rPr>
                <w:rFonts w:cs="Arial"/>
                <w:b/>
                <w:i/>
                <w:color w:val="000000"/>
                <w:lang w:val="en-GB"/>
              </w:rPr>
              <w:t>Initial GLP-1 receptor agonist therapy</w:t>
            </w:r>
          </w:p>
        </w:tc>
      </w:tr>
      <w:tr w:rsidR="003670EC" w:rsidRPr="00A242EA" w14:paraId="1AE0A324"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5A87501B" w14:textId="77777777" w:rsidR="003670EC" w:rsidRPr="00A242EA" w:rsidRDefault="003670EC" w:rsidP="001A1442">
            <w:pPr>
              <w:pStyle w:val="Tabletext"/>
              <w:keepNext w:val="0"/>
              <w:keepLines w:val="0"/>
              <w:rPr>
                <w:rFonts w:cs="Arial"/>
                <w:color w:val="000000"/>
                <w:lang w:val="en-GB"/>
              </w:rPr>
            </w:pPr>
            <w:r>
              <w:rPr>
                <w:rFonts w:cs="Arial"/>
                <w:color w:val="000000"/>
                <w:lang w:val="en-GB"/>
              </w:rPr>
              <w:t>Annual medication costs</w:t>
            </w:r>
          </w:p>
        </w:tc>
        <w:tc>
          <w:tcPr>
            <w:tcW w:w="1920" w:type="dxa"/>
            <w:noWrap/>
          </w:tcPr>
          <w:p w14:paraId="1418F487"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13,881.63</w:t>
            </w:r>
          </w:p>
        </w:tc>
        <w:tc>
          <w:tcPr>
            <w:tcW w:w="1920" w:type="dxa"/>
          </w:tcPr>
          <w:p w14:paraId="1C6994EB"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13,881.63</w:t>
            </w:r>
          </w:p>
        </w:tc>
        <w:tc>
          <w:tcPr>
            <w:tcW w:w="1920" w:type="dxa"/>
          </w:tcPr>
          <w:p w14:paraId="1982C5D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10,527.67</w:t>
            </w:r>
          </w:p>
        </w:tc>
        <w:tc>
          <w:tcPr>
            <w:tcW w:w="1920" w:type="dxa"/>
          </w:tcPr>
          <w:p w14:paraId="48ED04CD"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9,996.92</w:t>
            </w:r>
          </w:p>
        </w:tc>
        <w:tc>
          <w:tcPr>
            <w:tcW w:w="1920" w:type="dxa"/>
          </w:tcPr>
          <w:p w14:paraId="47DE06B0"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14,995.37</w:t>
            </w:r>
          </w:p>
        </w:tc>
        <w:tc>
          <w:tcPr>
            <w:tcW w:w="1920" w:type="dxa"/>
          </w:tcPr>
          <w:p w14:paraId="2BB35C1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9,310.47</w:t>
            </w:r>
          </w:p>
        </w:tc>
      </w:tr>
      <w:tr w:rsidR="003670EC" w:rsidRPr="00A242EA" w14:paraId="50CB2F1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noWrap/>
            <w:hideMark/>
          </w:tcPr>
          <w:p w14:paraId="36DF6C2D" w14:textId="77777777" w:rsidR="003670EC" w:rsidRPr="00A242EA" w:rsidRDefault="003670EC" w:rsidP="001A1442">
            <w:pPr>
              <w:pStyle w:val="Tabletext"/>
              <w:keepNext w:val="0"/>
              <w:keepLines w:val="0"/>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1920" w:type="dxa"/>
            <w:noWrap/>
          </w:tcPr>
          <w:p w14:paraId="3445DADB"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76E9DB99"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049A66D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3267C2BC"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51A6797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7A8EBBE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5E7D37A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1DDA323D" w14:textId="77777777" w:rsidR="003670EC" w:rsidRPr="00A242EA" w:rsidRDefault="003670EC" w:rsidP="001A1442">
            <w:pPr>
              <w:pStyle w:val="Tabletext"/>
              <w:keepNext w:val="0"/>
              <w:keepLines w:val="0"/>
              <w:rPr>
                <w:rFonts w:cs="Arial"/>
                <w:color w:val="000000"/>
                <w:lang w:val="en-GB"/>
              </w:rPr>
            </w:pPr>
            <w:r>
              <w:rPr>
                <w:rFonts w:cs="Arial"/>
                <w:color w:val="000000"/>
                <w:lang w:val="en-GB"/>
              </w:rPr>
              <w:t>Annual needle costs</w:t>
            </w:r>
          </w:p>
        </w:tc>
        <w:tc>
          <w:tcPr>
            <w:tcW w:w="1920" w:type="dxa"/>
            <w:noWrap/>
          </w:tcPr>
          <w:p w14:paraId="56C6206E"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09D706BD"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192A2DEB"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02305F20"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1920" w:type="dxa"/>
          </w:tcPr>
          <w:p w14:paraId="14BDFE6F"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1920" w:type="dxa"/>
          </w:tcPr>
          <w:p w14:paraId="57D6977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r>
      <w:tr w:rsidR="003670EC" w:rsidRPr="00A242EA" w14:paraId="4694602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hideMark/>
          </w:tcPr>
          <w:p w14:paraId="04CCB479" w14:textId="77777777" w:rsidR="003670EC" w:rsidRPr="00A242EA" w:rsidRDefault="003670EC" w:rsidP="001A1442">
            <w:pPr>
              <w:pStyle w:val="Tabletext"/>
              <w:keepNext w:val="0"/>
              <w:keepLines w:val="0"/>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1920" w:type="dxa"/>
            <w:noWrap/>
          </w:tcPr>
          <w:p w14:paraId="3C343F47"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3B6C5EE9" w14:textId="77777777" w:rsidR="003670EC" w:rsidRPr="00A242EA"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4781DB7F"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5BCE829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1C747A1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c>
          <w:tcPr>
            <w:tcW w:w="1920" w:type="dxa"/>
          </w:tcPr>
          <w:p w14:paraId="3B7D0778"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0.00</w:t>
            </w:r>
          </w:p>
        </w:tc>
      </w:tr>
      <w:tr w:rsidR="003670EC" w:rsidRPr="00A242EA" w14:paraId="18DC7B0B"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4538D483" w14:textId="77777777" w:rsidR="003670EC" w:rsidRPr="00730227" w:rsidRDefault="003670EC" w:rsidP="001A1442">
            <w:pPr>
              <w:pStyle w:val="Tabletext"/>
              <w:keepNext w:val="0"/>
              <w:keepLines w:val="0"/>
              <w:rPr>
                <w:rFonts w:cs="Arial"/>
                <w:color w:val="000000"/>
                <w:lang w:val="en-GB"/>
              </w:rPr>
            </w:pPr>
            <w:r w:rsidRPr="00730227">
              <w:rPr>
                <w:rFonts w:cs="Arial"/>
                <w:color w:val="000000"/>
                <w:lang w:val="en-GB"/>
              </w:rPr>
              <w:t>Total annual costs</w:t>
            </w:r>
          </w:p>
        </w:tc>
        <w:tc>
          <w:tcPr>
            <w:tcW w:w="1920" w:type="dxa"/>
            <w:noWrap/>
          </w:tcPr>
          <w:p w14:paraId="303D8F7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14,156.88</w:t>
            </w:r>
          </w:p>
        </w:tc>
        <w:tc>
          <w:tcPr>
            <w:tcW w:w="1920" w:type="dxa"/>
          </w:tcPr>
          <w:p w14:paraId="44B594F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14,156.88</w:t>
            </w:r>
          </w:p>
        </w:tc>
        <w:tc>
          <w:tcPr>
            <w:tcW w:w="1920" w:type="dxa"/>
          </w:tcPr>
          <w:p w14:paraId="052054D9"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10,802.91</w:t>
            </w:r>
          </w:p>
        </w:tc>
        <w:tc>
          <w:tcPr>
            <w:tcW w:w="1920" w:type="dxa"/>
          </w:tcPr>
          <w:p w14:paraId="4463B42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11,083.01</w:t>
            </w:r>
          </w:p>
        </w:tc>
        <w:tc>
          <w:tcPr>
            <w:tcW w:w="1920" w:type="dxa"/>
          </w:tcPr>
          <w:p w14:paraId="4002A278"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16,081.47</w:t>
            </w:r>
          </w:p>
        </w:tc>
        <w:tc>
          <w:tcPr>
            <w:tcW w:w="1920" w:type="dxa"/>
          </w:tcPr>
          <w:p w14:paraId="401FA3D2"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10,396.57</w:t>
            </w:r>
          </w:p>
        </w:tc>
      </w:tr>
      <w:tr w:rsidR="003670EC" w:rsidRPr="00A242EA" w14:paraId="2522D157"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14148" w:type="dxa"/>
            <w:gridSpan w:val="7"/>
          </w:tcPr>
          <w:p w14:paraId="5D6920F9" w14:textId="77777777" w:rsidR="003670EC" w:rsidRDefault="003670EC" w:rsidP="001A1442">
            <w:pPr>
              <w:pStyle w:val="Tabletext"/>
              <w:keepNext w:val="0"/>
              <w:keepLines w:val="0"/>
              <w:rPr>
                <w:rFonts w:cs="Arial"/>
                <w:b/>
                <w:i/>
                <w:color w:val="000000"/>
                <w:lang w:val="en-GB"/>
              </w:rPr>
            </w:pPr>
            <w:r>
              <w:rPr>
                <w:rFonts w:cs="Arial"/>
                <w:b/>
                <w:i/>
                <w:color w:val="000000"/>
                <w:lang w:val="en-GB"/>
              </w:rPr>
              <w:t>GLP-1 receptor agonist plus basal insulin therapy (first intensification)</w:t>
            </w:r>
          </w:p>
        </w:tc>
      </w:tr>
      <w:tr w:rsidR="003670EC" w:rsidRPr="00A242EA" w14:paraId="1E247F5F"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43C5CB20" w14:textId="77777777" w:rsidR="003670EC" w:rsidRPr="004042AA" w:rsidRDefault="003670EC" w:rsidP="001A1442">
            <w:pPr>
              <w:pStyle w:val="Tabletext"/>
              <w:keepNext w:val="0"/>
              <w:keepLines w:val="0"/>
              <w:rPr>
                <w:rFonts w:cs="Arial"/>
                <w:b/>
                <w:color w:val="000000"/>
                <w:lang w:val="en-GB"/>
              </w:rPr>
            </w:pPr>
            <w:r>
              <w:rPr>
                <w:rFonts w:cs="Arial"/>
                <w:color w:val="000000"/>
                <w:lang w:val="en-GB"/>
              </w:rPr>
              <w:t>Annual medication costs</w:t>
            </w:r>
          </w:p>
        </w:tc>
        <w:tc>
          <w:tcPr>
            <w:tcW w:w="1920" w:type="dxa"/>
            <w:noWrap/>
          </w:tcPr>
          <w:p w14:paraId="160E604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17,889.99</w:t>
            </w:r>
          </w:p>
        </w:tc>
        <w:tc>
          <w:tcPr>
            <w:tcW w:w="1920" w:type="dxa"/>
          </w:tcPr>
          <w:p w14:paraId="4090022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17,889.99</w:t>
            </w:r>
          </w:p>
        </w:tc>
        <w:tc>
          <w:tcPr>
            <w:tcW w:w="1920" w:type="dxa"/>
          </w:tcPr>
          <w:p w14:paraId="6FAF1F6D"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14,536.02</w:t>
            </w:r>
          </w:p>
        </w:tc>
        <w:tc>
          <w:tcPr>
            <w:tcW w:w="1920" w:type="dxa"/>
          </w:tcPr>
          <w:p w14:paraId="2C559E92"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14,005.27</w:t>
            </w:r>
          </w:p>
        </w:tc>
        <w:tc>
          <w:tcPr>
            <w:tcW w:w="1920" w:type="dxa"/>
          </w:tcPr>
          <w:p w14:paraId="6BB1182F"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19,003.73</w:t>
            </w:r>
          </w:p>
        </w:tc>
        <w:tc>
          <w:tcPr>
            <w:tcW w:w="1920" w:type="dxa"/>
          </w:tcPr>
          <w:p w14:paraId="03F9B86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13,318.83</w:t>
            </w:r>
          </w:p>
        </w:tc>
      </w:tr>
      <w:tr w:rsidR="003670EC" w:rsidRPr="00A242EA" w14:paraId="3CF313E9"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9371036" w14:textId="77777777" w:rsidR="003670EC" w:rsidRPr="004042AA" w:rsidRDefault="003670EC" w:rsidP="001A1442">
            <w:pPr>
              <w:pStyle w:val="Tabletext"/>
              <w:keepNext w:val="0"/>
              <w:keepLines w:val="0"/>
              <w:rPr>
                <w:rFonts w:cs="Arial"/>
                <w:b/>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1920" w:type="dxa"/>
            <w:noWrap/>
          </w:tcPr>
          <w:p w14:paraId="5075EA5E"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56ACF0A3"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43988AE9"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4E15E37C"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38C4F9E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77B3849B"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31F1E295"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544FB72C" w14:textId="77777777" w:rsidR="003670EC" w:rsidRPr="004042AA" w:rsidRDefault="003670EC" w:rsidP="001A1442">
            <w:pPr>
              <w:pStyle w:val="Tabletext"/>
              <w:keepNext w:val="0"/>
              <w:keepLines w:val="0"/>
              <w:rPr>
                <w:rFonts w:cs="Arial"/>
                <w:b/>
                <w:color w:val="000000"/>
                <w:lang w:val="en-GB"/>
              </w:rPr>
            </w:pPr>
            <w:r>
              <w:rPr>
                <w:rFonts w:cs="Arial"/>
                <w:color w:val="000000"/>
                <w:lang w:val="en-GB"/>
              </w:rPr>
              <w:t>Annual needle costs</w:t>
            </w:r>
          </w:p>
        </w:tc>
        <w:tc>
          <w:tcPr>
            <w:tcW w:w="1920" w:type="dxa"/>
            <w:noWrap/>
          </w:tcPr>
          <w:p w14:paraId="1132F18C"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1920" w:type="dxa"/>
          </w:tcPr>
          <w:p w14:paraId="6A69442D"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1920" w:type="dxa"/>
          </w:tcPr>
          <w:p w14:paraId="636954A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810.86</w:t>
            </w:r>
          </w:p>
        </w:tc>
        <w:tc>
          <w:tcPr>
            <w:tcW w:w="1920" w:type="dxa"/>
          </w:tcPr>
          <w:p w14:paraId="5AE1707F"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1,621.71</w:t>
            </w:r>
          </w:p>
        </w:tc>
        <w:tc>
          <w:tcPr>
            <w:tcW w:w="1920" w:type="dxa"/>
          </w:tcPr>
          <w:p w14:paraId="15A58C3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1,621.71</w:t>
            </w:r>
          </w:p>
        </w:tc>
        <w:tc>
          <w:tcPr>
            <w:tcW w:w="1920" w:type="dxa"/>
          </w:tcPr>
          <w:p w14:paraId="0B009F7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1,621.71</w:t>
            </w:r>
          </w:p>
        </w:tc>
      </w:tr>
      <w:tr w:rsidR="003670EC" w:rsidRPr="00A242EA" w14:paraId="7F1AB2F9"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278E45DF" w14:textId="77777777" w:rsidR="003670EC" w:rsidRPr="004042AA" w:rsidRDefault="003670EC" w:rsidP="001A1442">
            <w:pPr>
              <w:pStyle w:val="Tabletext"/>
              <w:keepNext w:val="0"/>
              <w:keepLines w:val="0"/>
              <w:rPr>
                <w:rFonts w:cs="Arial"/>
                <w:b/>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1920" w:type="dxa"/>
            <w:noWrap/>
          </w:tcPr>
          <w:p w14:paraId="181B4A6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1920" w:type="dxa"/>
          </w:tcPr>
          <w:p w14:paraId="6A0191A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1920" w:type="dxa"/>
          </w:tcPr>
          <w:p w14:paraId="593D9DC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1920" w:type="dxa"/>
          </w:tcPr>
          <w:p w14:paraId="2BDA49D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1920" w:type="dxa"/>
          </w:tcPr>
          <w:p w14:paraId="704F643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c>
          <w:tcPr>
            <w:tcW w:w="1920" w:type="dxa"/>
          </w:tcPr>
          <w:p w14:paraId="30C48B2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2,625.42</w:t>
            </w:r>
          </w:p>
        </w:tc>
      </w:tr>
      <w:tr w:rsidR="003670EC" w:rsidRPr="00A242EA" w14:paraId="04D26EBD"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3E5104ED" w14:textId="77777777" w:rsidR="003670EC" w:rsidRDefault="003670EC" w:rsidP="001A1442">
            <w:pPr>
              <w:pStyle w:val="Tabletext"/>
              <w:keepNext w:val="0"/>
              <w:keepLines w:val="0"/>
              <w:rPr>
                <w:rFonts w:cs="Arial"/>
                <w:color w:val="000000"/>
                <w:lang w:val="en-GB"/>
              </w:rPr>
            </w:pPr>
            <w:r>
              <w:rPr>
                <w:rFonts w:cs="Arial"/>
                <w:color w:val="000000"/>
                <w:lang w:val="en-GB"/>
              </w:rPr>
              <w:t>Total annual cost</w:t>
            </w:r>
          </w:p>
        </w:tc>
        <w:tc>
          <w:tcPr>
            <w:tcW w:w="1920" w:type="dxa"/>
            <w:noWrap/>
          </w:tcPr>
          <w:p w14:paraId="4536C559"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21,601.51</w:t>
            </w:r>
          </w:p>
        </w:tc>
        <w:tc>
          <w:tcPr>
            <w:tcW w:w="1920" w:type="dxa"/>
          </w:tcPr>
          <w:p w14:paraId="613DCB9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21,601.51</w:t>
            </w:r>
          </w:p>
        </w:tc>
        <w:tc>
          <w:tcPr>
            <w:tcW w:w="1920" w:type="dxa"/>
          </w:tcPr>
          <w:p w14:paraId="1AB814AF"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18,247.54</w:t>
            </w:r>
          </w:p>
        </w:tc>
        <w:tc>
          <w:tcPr>
            <w:tcW w:w="1920" w:type="dxa"/>
          </w:tcPr>
          <w:p w14:paraId="22FE333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18,527.65</w:t>
            </w:r>
          </w:p>
        </w:tc>
        <w:tc>
          <w:tcPr>
            <w:tcW w:w="1920" w:type="dxa"/>
          </w:tcPr>
          <w:p w14:paraId="0CFFEDA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23,526.10</w:t>
            </w:r>
          </w:p>
        </w:tc>
        <w:tc>
          <w:tcPr>
            <w:tcW w:w="1920" w:type="dxa"/>
          </w:tcPr>
          <w:p w14:paraId="514CA7E9"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17,841.20</w:t>
            </w:r>
          </w:p>
        </w:tc>
      </w:tr>
      <w:tr w:rsidR="003670EC" w:rsidRPr="00A242EA" w14:paraId="46207E54"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14148" w:type="dxa"/>
            <w:gridSpan w:val="7"/>
          </w:tcPr>
          <w:p w14:paraId="17EEFB04" w14:textId="77777777" w:rsidR="003670EC" w:rsidRDefault="003670EC" w:rsidP="001A1442">
            <w:pPr>
              <w:pStyle w:val="Tabletext"/>
              <w:keepLines w:val="0"/>
              <w:rPr>
                <w:rFonts w:cs="Arial"/>
                <w:b/>
                <w:i/>
                <w:color w:val="000000"/>
                <w:lang w:val="en-GB"/>
              </w:rPr>
            </w:pPr>
            <w:r>
              <w:rPr>
                <w:rFonts w:cs="Arial"/>
                <w:b/>
                <w:i/>
                <w:color w:val="000000"/>
                <w:lang w:val="en-GB"/>
              </w:rPr>
              <w:t>Basal-bolus insulin therapy (second intensification)</w:t>
            </w:r>
          </w:p>
        </w:tc>
      </w:tr>
      <w:tr w:rsidR="003670EC" w:rsidRPr="00A242EA" w14:paraId="64643EA2"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679B26FE" w14:textId="77777777" w:rsidR="003670EC" w:rsidRDefault="003670EC" w:rsidP="001A1442">
            <w:pPr>
              <w:pStyle w:val="Tabletext"/>
              <w:keepNext w:val="0"/>
              <w:keepLines w:val="0"/>
              <w:rPr>
                <w:rFonts w:cs="Arial"/>
                <w:color w:val="000000"/>
                <w:lang w:val="en-GB"/>
              </w:rPr>
            </w:pPr>
            <w:r>
              <w:rPr>
                <w:rFonts w:cs="Arial"/>
                <w:color w:val="000000"/>
                <w:lang w:val="en-GB"/>
              </w:rPr>
              <w:t>Annual medication costs</w:t>
            </w:r>
          </w:p>
        </w:tc>
        <w:tc>
          <w:tcPr>
            <w:tcW w:w="1920" w:type="dxa"/>
            <w:noWrap/>
          </w:tcPr>
          <w:p w14:paraId="4633CD3E"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1920" w:type="dxa"/>
          </w:tcPr>
          <w:p w14:paraId="4C559DBD"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1920" w:type="dxa"/>
          </w:tcPr>
          <w:p w14:paraId="0B9129D0"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1920" w:type="dxa"/>
          </w:tcPr>
          <w:p w14:paraId="5AFDD558"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1920" w:type="dxa"/>
          </w:tcPr>
          <w:p w14:paraId="56EE876E"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c>
          <w:tcPr>
            <w:tcW w:w="1920" w:type="dxa"/>
          </w:tcPr>
          <w:p w14:paraId="17CE6779"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6,836.31</w:t>
            </w:r>
          </w:p>
        </w:tc>
      </w:tr>
      <w:tr w:rsidR="003670EC" w:rsidRPr="00A242EA" w14:paraId="6D0313E1"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74C3B719" w14:textId="77777777" w:rsidR="003670EC" w:rsidRDefault="003670EC" w:rsidP="001A1442">
            <w:pPr>
              <w:pStyle w:val="Tabletext"/>
              <w:keepNext w:val="0"/>
              <w:keepLines w:val="0"/>
              <w:rPr>
                <w:rFonts w:cs="Arial"/>
                <w:color w:val="000000"/>
                <w:lang w:val="en-GB"/>
              </w:rPr>
            </w:pPr>
            <w:r>
              <w:rPr>
                <w:rFonts w:cs="Arial"/>
                <w:color w:val="000000"/>
                <w:lang w:val="en-GB"/>
              </w:rPr>
              <w:t>Annual m</w:t>
            </w:r>
            <w:r w:rsidRPr="00A242EA">
              <w:rPr>
                <w:rFonts w:cs="Arial"/>
                <w:color w:val="000000"/>
                <w:lang w:val="en-GB"/>
              </w:rPr>
              <w:t>etformin</w:t>
            </w:r>
            <w:r>
              <w:rPr>
                <w:rFonts w:cs="Arial"/>
                <w:color w:val="000000"/>
                <w:lang w:val="en-GB"/>
              </w:rPr>
              <w:t xml:space="preserve"> costs</w:t>
            </w:r>
          </w:p>
        </w:tc>
        <w:tc>
          <w:tcPr>
            <w:tcW w:w="1920" w:type="dxa"/>
            <w:noWrap/>
          </w:tcPr>
          <w:p w14:paraId="135429A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1ECEB0FB"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7A68415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0C9F43E8"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54FCCFA8"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c>
          <w:tcPr>
            <w:tcW w:w="1920" w:type="dxa"/>
          </w:tcPr>
          <w:p w14:paraId="01B7389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275.24</w:t>
            </w:r>
          </w:p>
        </w:tc>
      </w:tr>
      <w:tr w:rsidR="003670EC" w:rsidRPr="00A242EA" w14:paraId="1A6748CB"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2A1E97D4" w14:textId="77777777" w:rsidR="003670EC" w:rsidRDefault="003670EC" w:rsidP="001A1442">
            <w:pPr>
              <w:pStyle w:val="Tabletext"/>
              <w:keepNext w:val="0"/>
              <w:keepLines w:val="0"/>
              <w:rPr>
                <w:rFonts w:cs="Arial"/>
                <w:color w:val="000000"/>
                <w:lang w:val="en-GB"/>
              </w:rPr>
            </w:pPr>
            <w:r>
              <w:rPr>
                <w:rFonts w:cs="Arial"/>
                <w:color w:val="000000"/>
                <w:lang w:val="en-GB"/>
              </w:rPr>
              <w:t>Annual needle costs</w:t>
            </w:r>
          </w:p>
        </w:tc>
        <w:tc>
          <w:tcPr>
            <w:tcW w:w="1920" w:type="dxa"/>
            <w:noWrap/>
          </w:tcPr>
          <w:p w14:paraId="72B35895"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1920" w:type="dxa"/>
          </w:tcPr>
          <w:p w14:paraId="655A51A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1920" w:type="dxa"/>
          </w:tcPr>
          <w:p w14:paraId="54FB418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1920" w:type="dxa"/>
          </w:tcPr>
          <w:p w14:paraId="460D5A9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1920" w:type="dxa"/>
          </w:tcPr>
          <w:p w14:paraId="09593371"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c>
          <w:tcPr>
            <w:tcW w:w="1920" w:type="dxa"/>
          </w:tcPr>
          <w:p w14:paraId="3E172EB2"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3,243.42</w:t>
            </w:r>
          </w:p>
        </w:tc>
      </w:tr>
      <w:tr w:rsidR="003670EC" w:rsidRPr="00A242EA" w14:paraId="6760E065"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07605D54" w14:textId="77777777" w:rsidR="003670EC" w:rsidRDefault="003670EC" w:rsidP="001A1442">
            <w:pPr>
              <w:pStyle w:val="Tabletext"/>
              <w:keepNext w:val="0"/>
              <w:keepLines w:val="0"/>
              <w:rPr>
                <w:rFonts w:cs="Arial"/>
                <w:color w:val="000000"/>
                <w:lang w:val="en-GB"/>
              </w:rPr>
            </w:pPr>
            <w:r>
              <w:rPr>
                <w:rFonts w:cs="Arial"/>
                <w:color w:val="000000"/>
                <w:lang w:val="en-GB"/>
              </w:rPr>
              <w:t xml:space="preserve">Annual </w:t>
            </w:r>
            <w:r w:rsidRPr="00A242EA">
              <w:rPr>
                <w:rFonts w:cs="Arial"/>
                <w:color w:val="000000"/>
                <w:lang w:val="en-GB"/>
              </w:rPr>
              <w:t>SMBG tes</w:t>
            </w:r>
            <w:r>
              <w:rPr>
                <w:rFonts w:cs="Arial"/>
                <w:color w:val="000000"/>
                <w:lang w:val="en-GB"/>
              </w:rPr>
              <w:t>ting costs</w:t>
            </w:r>
          </w:p>
        </w:tc>
        <w:tc>
          <w:tcPr>
            <w:tcW w:w="1920" w:type="dxa"/>
            <w:noWrap/>
          </w:tcPr>
          <w:p w14:paraId="16E9213B"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1920" w:type="dxa"/>
          </w:tcPr>
          <w:p w14:paraId="08AC9361"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1920" w:type="dxa"/>
          </w:tcPr>
          <w:p w14:paraId="5F9E938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1920" w:type="dxa"/>
          </w:tcPr>
          <w:p w14:paraId="618E911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1920" w:type="dxa"/>
          </w:tcPr>
          <w:p w14:paraId="3560DA2D"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c>
          <w:tcPr>
            <w:tcW w:w="1920" w:type="dxa"/>
          </w:tcPr>
          <w:p w14:paraId="5F9EBA60"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7,876.25</w:t>
            </w:r>
          </w:p>
        </w:tc>
      </w:tr>
      <w:tr w:rsidR="003670EC" w:rsidRPr="00A242EA" w14:paraId="0E2CBFE6" w14:textId="77777777" w:rsidTr="001A1442">
        <w:trPr>
          <w:cantSplit/>
          <w:trHeight w:val="284"/>
        </w:trPr>
        <w:tc>
          <w:tcPr>
            <w:cnfStyle w:val="001000000000" w:firstRow="0" w:lastRow="0" w:firstColumn="1" w:lastColumn="0" w:oddVBand="0" w:evenVBand="0" w:oddHBand="0" w:evenHBand="0" w:firstRowFirstColumn="0" w:firstRowLastColumn="0" w:lastRowFirstColumn="0" w:lastRowLastColumn="0"/>
            <w:tcW w:w="2628" w:type="dxa"/>
          </w:tcPr>
          <w:p w14:paraId="0A8D75A3" w14:textId="77777777" w:rsidR="003670EC" w:rsidRDefault="003670EC" w:rsidP="001A1442">
            <w:pPr>
              <w:pStyle w:val="Tabletext"/>
              <w:keepNext w:val="0"/>
              <w:keepLines w:val="0"/>
              <w:rPr>
                <w:rFonts w:cs="Arial"/>
                <w:color w:val="000000"/>
                <w:lang w:val="en-GB"/>
              </w:rPr>
            </w:pPr>
            <w:r>
              <w:rPr>
                <w:rFonts w:cs="Arial"/>
                <w:color w:val="000000"/>
                <w:lang w:val="en-GB"/>
              </w:rPr>
              <w:t>Total annual cost</w:t>
            </w:r>
          </w:p>
        </w:tc>
        <w:tc>
          <w:tcPr>
            <w:tcW w:w="1920" w:type="dxa"/>
            <w:noWrap/>
          </w:tcPr>
          <w:p w14:paraId="6FE693C0"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1920" w:type="dxa"/>
          </w:tcPr>
          <w:p w14:paraId="7BBF2D06"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1920" w:type="dxa"/>
          </w:tcPr>
          <w:p w14:paraId="702F3E2E"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1920" w:type="dxa"/>
          </w:tcPr>
          <w:p w14:paraId="5F71666A"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1920" w:type="dxa"/>
          </w:tcPr>
          <w:p w14:paraId="1C72EC84"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c>
          <w:tcPr>
            <w:tcW w:w="1920" w:type="dxa"/>
          </w:tcPr>
          <w:p w14:paraId="7FE84F07" w14:textId="77777777" w:rsidR="003670EC" w:rsidRDefault="003670EC" w:rsidP="001A1442">
            <w:pPr>
              <w:pStyle w:val="Tabletext"/>
              <w:keepNext w:val="0"/>
              <w:keepLines w:val="0"/>
              <w:cnfStyle w:val="000000000000" w:firstRow="0" w:lastRow="0" w:firstColumn="0" w:lastColumn="0" w:oddVBand="0" w:evenVBand="0" w:oddHBand="0" w:evenHBand="0" w:firstRowFirstColumn="0" w:firstRowLastColumn="0" w:lastRowFirstColumn="0" w:lastRowLastColumn="0"/>
              <w:rPr>
                <w:rFonts w:cs="Arial"/>
                <w:color w:val="000000"/>
                <w:lang w:val="en-GB"/>
              </w:rPr>
            </w:pPr>
            <w:r>
              <w:rPr>
                <w:rFonts w:cs="Arial"/>
                <w:color w:val="000000"/>
                <w:lang w:val="en-GB"/>
              </w:rPr>
              <w:t>18,231.23</w:t>
            </w:r>
          </w:p>
        </w:tc>
      </w:tr>
    </w:tbl>
    <w:p w14:paraId="65CA93DF" w14:textId="77777777" w:rsidR="003670EC" w:rsidRDefault="003670EC" w:rsidP="003670EC">
      <w:pPr>
        <w:pStyle w:val="Footnote"/>
        <w:keepNext/>
        <w:rPr>
          <w:lang w:val="en-GB"/>
        </w:rPr>
      </w:pPr>
      <w:r>
        <w:rPr>
          <w:lang w:val="en-GB"/>
        </w:rPr>
        <w:t xml:space="preserve">DKK, 2017 Danish kroner; ER, extended-release; GLP-1, glucagon-like peptide-1; </w:t>
      </w:r>
      <w:r w:rsidRPr="00A242EA">
        <w:rPr>
          <w:lang w:val="en-GB"/>
        </w:rPr>
        <w:t>SMBG, self-monitoring of blood glucose.</w:t>
      </w:r>
    </w:p>
    <w:p w14:paraId="2797D07E" w14:textId="77777777" w:rsidR="003670EC" w:rsidRPr="001E6687" w:rsidRDefault="003670EC" w:rsidP="003670EC">
      <w:pPr>
        <w:pStyle w:val="Footnote"/>
        <w:keepNext/>
        <w:rPr>
          <w:lang w:val="en-GB"/>
        </w:rPr>
        <w:sectPr w:rsidR="003670EC" w:rsidRPr="001E6687" w:rsidSect="0065766B">
          <w:endnotePr>
            <w:numFmt w:val="decimal"/>
          </w:endnotePr>
          <w:pgSz w:w="16839" w:h="11907" w:orient="landscape" w:code="9"/>
          <w:pgMar w:top="1440" w:right="1440" w:bottom="1440" w:left="1440" w:header="706" w:footer="706" w:gutter="0"/>
          <w:cols w:space="708"/>
          <w:docGrid w:linePitch="360"/>
        </w:sectPr>
      </w:pPr>
    </w:p>
    <w:p w14:paraId="06263CA1" w14:textId="3DC41788" w:rsidR="003670EC" w:rsidRPr="008D3CCE" w:rsidRDefault="003670EC" w:rsidP="003670EC">
      <w:pPr>
        <w:pStyle w:val="Caption"/>
      </w:pPr>
      <w:bookmarkStart w:id="7" w:name="_Ref516673361"/>
      <w:r w:rsidRPr="008D3CCE">
        <w:t xml:space="preserve">Table </w:t>
      </w:r>
      <w:r>
        <w:t>S</w:t>
      </w:r>
      <w:r w:rsidRPr="008D3CCE">
        <w:rPr>
          <w:noProof/>
        </w:rPr>
        <w:fldChar w:fldCharType="begin"/>
      </w:r>
      <w:r w:rsidRPr="008D3CCE">
        <w:rPr>
          <w:noProof/>
        </w:rPr>
        <w:instrText xml:space="preserve"> SEQ Table \* ARABIC \s 1 </w:instrText>
      </w:r>
      <w:r w:rsidRPr="008D3CCE">
        <w:rPr>
          <w:noProof/>
        </w:rPr>
        <w:fldChar w:fldCharType="separate"/>
      </w:r>
      <w:r w:rsidR="00BA2FE5">
        <w:rPr>
          <w:noProof/>
        </w:rPr>
        <w:t>5</w:t>
      </w:r>
      <w:r w:rsidRPr="008D3CCE">
        <w:rPr>
          <w:noProof/>
        </w:rPr>
        <w:fldChar w:fldCharType="end"/>
      </w:r>
      <w:bookmarkEnd w:id="7"/>
      <w:r w:rsidRPr="008D3CCE">
        <w:tab/>
      </w:r>
      <w:bookmarkStart w:id="8" w:name="_Hlk526774050"/>
      <w:r w:rsidRPr="008D3CCE">
        <w:t xml:space="preserve">Diabetes-related complication costs and </w:t>
      </w:r>
      <w:r>
        <w:t xml:space="preserve">health state </w:t>
      </w:r>
      <w:r w:rsidRPr="008D3CCE">
        <w:t>utilities applied in the base case analys</w:t>
      </w:r>
      <w:r>
        <w:t>e</w:t>
      </w:r>
      <w:r w:rsidRPr="008D3CCE">
        <w:t>s</w:t>
      </w:r>
      <w:bookmarkEnd w:id="8"/>
    </w:p>
    <w:tbl>
      <w:tblPr>
        <w:tblStyle w:val="OssianReportTable"/>
        <w:tblW w:w="9216" w:type="dxa"/>
        <w:tblLayout w:type="fixed"/>
        <w:tblLook w:val="04A0" w:firstRow="1" w:lastRow="0" w:firstColumn="1" w:lastColumn="0" w:noHBand="0" w:noVBand="1"/>
      </w:tblPr>
      <w:tblGrid>
        <w:gridCol w:w="2304"/>
        <w:gridCol w:w="2304"/>
        <w:gridCol w:w="2304"/>
        <w:gridCol w:w="2304"/>
      </w:tblGrid>
      <w:tr w:rsidR="003670EC" w:rsidRPr="008D3CCE" w14:paraId="6028FC23" w14:textId="77777777" w:rsidTr="001A1442">
        <w:trPr>
          <w:cnfStyle w:val="100000000000" w:firstRow="1" w:lastRow="0" w:firstColumn="0" w:lastColumn="0" w:oddVBand="0" w:evenVBand="0" w:oddHBand="0" w:evenHBand="0" w:firstRowFirstColumn="0" w:firstRowLastColumn="0" w:lastRowFirstColumn="0" w:lastRowLastColumn="0"/>
          <w:cantSplit/>
          <w:trHeight w:val="39"/>
          <w:tblHeader/>
        </w:trPr>
        <w:tc>
          <w:tcPr>
            <w:cnfStyle w:val="001000000000" w:firstRow="0" w:lastRow="0" w:firstColumn="1" w:lastColumn="0" w:oddVBand="0" w:evenVBand="0" w:oddHBand="0" w:evenHBand="0" w:firstRowFirstColumn="0" w:firstRowLastColumn="0" w:lastRowFirstColumn="0" w:lastRowLastColumn="0"/>
            <w:tcW w:w="2304" w:type="dxa"/>
            <w:noWrap/>
            <w:hideMark/>
          </w:tcPr>
          <w:p w14:paraId="03F0B193" w14:textId="77777777" w:rsidR="003670EC" w:rsidRPr="008D3CCE" w:rsidRDefault="003670EC" w:rsidP="001A1442">
            <w:pPr>
              <w:pStyle w:val="Tabletext"/>
            </w:pPr>
            <w:bookmarkStart w:id="9" w:name="_Hlk526773975"/>
            <w:r w:rsidRPr="008D3CCE">
              <w:t>Complication</w:t>
            </w:r>
          </w:p>
        </w:tc>
        <w:tc>
          <w:tcPr>
            <w:tcW w:w="2304" w:type="dxa"/>
            <w:noWrap/>
            <w:hideMark/>
          </w:tcPr>
          <w:p w14:paraId="43D91A03" w14:textId="77777777" w:rsidR="003670EC" w:rsidRPr="008D3CCE" w:rsidRDefault="003670EC" w:rsidP="001A1442">
            <w:pPr>
              <w:pStyle w:val="Tabletext"/>
              <w:cnfStyle w:val="100000000000" w:firstRow="1" w:lastRow="0" w:firstColumn="0" w:lastColumn="0" w:oddVBand="0" w:evenVBand="0" w:oddHBand="0" w:evenHBand="0" w:firstRowFirstColumn="0" w:firstRowLastColumn="0" w:lastRowFirstColumn="0" w:lastRowLastColumn="0"/>
            </w:pPr>
            <w:r w:rsidRPr="008D3CCE">
              <w:t>Annual cost (DKK)</w:t>
            </w:r>
          </w:p>
        </w:tc>
        <w:tc>
          <w:tcPr>
            <w:tcW w:w="2304" w:type="dxa"/>
          </w:tcPr>
          <w:p w14:paraId="7AC7B51C" w14:textId="77777777" w:rsidR="003670EC" w:rsidRPr="008D3CCE" w:rsidRDefault="003670EC" w:rsidP="001A1442">
            <w:pPr>
              <w:pStyle w:val="Tabletext"/>
              <w:cnfStyle w:val="100000000000" w:firstRow="1" w:lastRow="0" w:firstColumn="0" w:lastColumn="0" w:oddVBand="0" w:evenVBand="0" w:oddHBand="0" w:evenHBand="0" w:firstRowFirstColumn="0" w:firstRowLastColumn="0" w:lastRowFirstColumn="0" w:lastRowLastColumn="0"/>
            </w:pPr>
            <w:r>
              <w:t>U</w:t>
            </w:r>
            <w:r w:rsidRPr="008D3CCE">
              <w:t>tility</w:t>
            </w:r>
          </w:p>
        </w:tc>
        <w:tc>
          <w:tcPr>
            <w:tcW w:w="2304" w:type="dxa"/>
            <w:noWrap/>
            <w:hideMark/>
          </w:tcPr>
          <w:p w14:paraId="5A7BF313" w14:textId="77777777" w:rsidR="003670EC" w:rsidRPr="008D3CCE" w:rsidRDefault="003670EC" w:rsidP="001A1442">
            <w:pPr>
              <w:pStyle w:val="Tabletext"/>
              <w:cnfStyle w:val="100000000000" w:firstRow="1" w:lastRow="0" w:firstColumn="0" w:lastColumn="0" w:oddVBand="0" w:evenVBand="0" w:oddHBand="0" w:evenHBand="0" w:firstRowFirstColumn="0" w:firstRowLastColumn="0" w:lastRowFirstColumn="0" w:lastRowLastColumn="0"/>
            </w:pPr>
            <w:r w:rsidRPr="008D3CCE">
              <w:t>Reference</w:t>
            </w:r>
          </w:p>
        </w:tc>
      </w:tr>
      <w:tr w:rsidR="003670EC" w:rsidRPr="008D3CCE" w14:paraId="049F0EEA"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1F5DBB8F" w14:textId="77777777" w:rsidR="003670EC" w:rsidRPr="008D3CCE" w:rsidRDefault="003670EC" w:rsidP="001A1442">
            <w:pPr>
              <w:pStyle w:val="Tabletext"/>
            </w:pPr>
            <w:r>
              <w:t>Patient with type 2 diabetes baseline</w:t>
            </w:r>
          </w:p>
        </w:tc>
        <w:tc>
          <w:tcPr>
            <w:tcW w:w="2304" w:type="dxa"/>
            <w:noWrap/>
          </w:tcPr>
          <w:p w14:paraId="69F1258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33A92CC"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0.785</w:t>
            </w:r>
          </w:p>
        </w:tc>
        <w:tc>
          <w:tcPr>
            <w:tcW w:w="2304" w:type="dxa"/>
          </w:tcPr>
          <w:p w14:paraId="591E909F" w14:textId="09EA7912" w:rsidR="003670EC" w:rsidRPr="00BA2FE5" w:rsidRDefault="00F70F17" w:rsidP="001A1442">
            <w:pPr>
              <w:pStyle w:val="Tabletext"/>
              <w:cnfStyle w:val="000000000000" w:firstRow="0" w:lastRow="0" w:firstColumn="0" w:lastColumn="0" w:oddVBand="0" w:evenVBand="0" w:oddHBand="0" w:evenHBand="0" w:firstRowFirstColumn="0" w:firstRowLastColumn="0" w:lastRowFirstColumn="0" w:lastRowLastColumn="0"/>
            </w:pPr>
            <w:bookmarkStart w:id="10" w:name="_Ref500840858"/>
            <w:r w:rsidRPr="00BA2FE5">
              <w:t>[</w:t>
            </w:r>
            <w:r w:rsidR="003670EC" w:rsidRPr="00BA2FE5">
              <w:rPr>
                <w:rStyle w:val="EndnoteReference"/>
                <w:vertAlign w:val="baseline"/>
                <w:lang w:val="en-GB"/>
              </w:rPr>
              <w:endnoteReference w:id="4"/>
            </w:r>
            <w:bookmarkEnd w:id="10"/>
            <w:r w:rsidRPr="00BA2FE5">
              <w:t>]</w:t>
            </w:r>
          </w:p>
        </w:tc>
      </w:tr>
      <w:tr w:rsidR="003670EC" w:rsidRPr="008D3CCE" w14:paraId="33BC33F7"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50BD0BE" w14:textId="77777777" w:rsidR="003670EC" w:rsidRPr="008D3CCE" w:rsidRDefault="003670EC" w:rsidP="001A1442">
            <w:pPr>
              <w:pStyle w:val="Tabletext"/>
            </w:pPr>
            <w:r w:rsidRPr="008D3CCE">
              <w:t>Myocardial infarction (year of event)</w:t>
            </w:r>
          </w:p>
        </w:tc>
        <w:tc>
          <w:tcPr>
            <w:tcW w:w="2304" w:type="dxa"/>
            <w:noWrap/>
            <w:hideMark/>
          </w:tcPr>
          <w:p w14:paraId="1153E98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46,313</w:t>
            </w:r>
          </w:p>
        </w:tc>
        <w:tc>
          <w:tcPr>
            <w:tcW w:w="2304" w:type="dxa"/>
          </w:tcPr>
          <w:p w14:paraId="5B32DE7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−0.055</w:t>
            </w:r>
          </w:p>
        </w:tc>
        <w:tc>
          <w:tcPr>
            <w:tcW w:w="2304" w:type="dxa"/>
          </w:tcPr>
          <w:p w14:paraId="498CA5AA" w14:textId="0FA30CF0" w:rsidR="003670EC" w:rsidRPr="00BA2FE5" w:rsidRDefault="00F70F17" w:rsidP="00F70F17">
            <w:pPr>
              <w:pStyle w:val="Tabletext"/>
              <w:cnfStyle w:val="000000000000" w:firstRow="0" w:lastRow="0" w:firstColumn="0" w:lastColumn="0" w:oddVBand="0" w:evenVBand="0" w:oddHBand="0" w:evenHBand="0" w:firstRowFirstColumn="0" w:firstRowLastColumn="0" w:lastRowFirstColumn="0" w:lastRowLastColumn="0"/>
            </w:pPr>
            <w:r w:rsidRPr="00BA2FE5">
              <w:t>[</w:t>
            </w:r>
            <w:r w:rsidR="003670EC" w:rsidRPr="00BA2FE5">
              <w:fldChar w:fldCharType="begin"/>
            </w:r>
            <w:r w:rsidR="003670EC" w:rsidRPr="00BA2FE5">
              <w:instrText xml:space="preserve"> NOTEREF _Ref500840858 \f \h </w:instrText>
            </w:r>
            <w:r w:rsidRPr="00BA2FE5">
              <w:instrText xml:space="preserve"> \* MERGEFORMAT </w:instrText>
            </w:r>
            <w:r w:rsidR="003670EC" w:rsidRPr="00BA2FE5">
              <w:fldChar w:fldCharType="separate"/>
            </w:r>
            <w:r w:rsidR="00BA2FE5" w:rsidRPr="00BA2FE5">
              <w:rPr>
                <w:rStyle w:val="EndnoteReference"/>
                <w:vertAlign w:val="baseline"/>
              </w:rPr>
              <w:t>3</w:t>
            </w:r>
            <w:r w:rsidR="003670EC" w:rsidRPr="00BA2FE5">
              <w:fldChar w:fldCharType="end"/>
            </w:r>
            <w:r w:rsidR="003670EC" w:rsidRPr="00BA2FE5">
              <w:t>,</w:t>
            </w:r>
            <w:bookmarkStart w:id="11" w:name="_Ref516668519"/>
            <w:bookmarkStart w:id="12" w:name="_Ref516668500"/>
            <w:r w:rsidRPr="00BA2FE5">
              <w:rPr>
                <w:rStyle w:val="EndnoteReference"/>
                <w:vertAlign w:val="baseline"/>
              </w:rPr>
              <w:endnoteReference w:id="5"/>
            </w:r>
            <w:bookmarkEnd w:id="12"/>
            <w:r w:rsidRPr="00BA2FE5">
              <w:t>,</w:t>
            </w:r>
            <w:bookmarkStart w:id="13" w:name="_Ref861580"/>
            <w:r w:rsidR="003670EC" w:rsidRPr="00BA2FE5">
              <w:rPr>
                <w:rStyle w:val="EndnoteReference"/>
                <w:vertAlign w:val="baseline"/>
              </w:rPr>
              <w:endnoteReference w:id="6"/>
            </w:r>
            <w:bookmarkEnd w:id="11"/>
            <w:bookmarkEnd w:id="13"/>
            <w:r w:rsidRPr="00BA2FE5">
              <w:t>]</w:t>
            </w:r>
            <w:r w:rsidR="003670EC" w:rsidRPr="00BA2FE5">
              <w:t xml:space="preserve"> </w:t>
            </w:r>
          </w:p>
        </w:tc>
      </w:tr>
      <w:tr w:rsidR="003670EC" w:rsidRPr="008D3CCE" w14:paraId="355D8D29"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6224FF7" w14:textId="77777777" w:rsidR="003670EC" w:rsidRPr="008D3CCE" w:rsidRDefault="003670EC" w:rsidP="001A1442">
            <w:pPr>
              <w:pStyle w:val="Tabletext"/>
            </w:pPr>
            <w:r w:rsidRPr="008D3CCE">
              <w:t>Myocardial infarction (years 2+)</w:t>
            </w:r>
          </w:p>
        </w:tc>
        <w:tc>
          <w:tcPr>
            <w:tcW w:w="2304" w:type="dxa"/>
            <w:noWrap/>
            <w:hideMark/>
          </w:tcPr>
          <w:p w14:paraId="7D628A4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225</w:t>
            </w:r>
          </w:p>
        </w:tc>
        <w:tc>
          <w:tcPr>
            <w:tcW w:w="2304" w:type="dxa"/>
          </w:tcPr>
          <w:p w14:paraId="485F8D9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0.730</w:t>
            </w:r>
          </w:p>
        </w:tc>
        <w:tc>
          <w:tcPr>
            <w:tcW w:w="2304" w:type="dxa"/>
          </w:tcPr>
          <w:p w14:paraId="14C71AD8" w14:textId="0C585F2C" w:rsidR="003670EC" w:rsidRPr="00BA2FE5" w:rsidRDefault="00F70F17" w:rsidP="001A1442">
            <w:pPr>
              <w:pStyle w:val="Tabletext"/>
              <w:cnfStyle w:val="000000000000" w:firstRow="0" w:lastRow="0" w:firstColumn="0" w:lastColumn="0" w:oddVBand="0" w:evenVBand="0" w:oddHBand="0" w:evenHBand="0" w:firstRowFirstColumn="0" w:firstRowLastColumn="0" w:lastRowFirstColumn="0" w:lastRowLastColumn="0"/>
            </w:pPr>
            <w:r w:rsidRPr="00BA2FE5">
              <w:t>[</w:t>
            </w:r>
            <w:r w:rsidR="003670EC" w:rsidRPr="00BA2FE5">
              <w:fldChar w:fldCharType="begin"/>
            </w:r>
            <w:r w:rsidR="003670EC" w:rsidRPr="00BA2FE5">
              <w:instrText xml:space="preserve"> NOTEREF _Ref500840858 \f \h </w:instrText>
            </w:r>
            <w:r w:rsidRPr="00BA2FE5">
              <w:instrText xml:space="preserve"> \* MERGEFORMAT </w:instrText>
            </w:r>
            <w:r w:rsidR="003670EC" w:rsidRPr="00BA2FE5">
              <w:fldChar w:fldCharType="separate"/>
            </w:r>
            <w:r w:rsidR="00BA2FE5" w:rsidRPr="00BA2FE5">
              <w:rPr>
                <w:rStyle w:val="EndnoteReference"/>
                <w:vertAlign w:val="baseline"/>
              </w:rPr>
              <w:t>3</w:t>
            </w:r>
            <w:r w:rsidR="003670EC" w:rsidRPr="00BA2FE5">
              <w:fldChar w:fldCharType="end"/>
            </w:r>
            <w:r w:rsidR="003670EC" w:rsidRPr="00BA2FE5">
              <w:t>,</w:t>
            </w:r>
            <w:r w:rsidRPr="00BA2FE5">
              <w:fldChar w:fldCharType="begin"/>
            </w:r>
            <w:r w:rsidRPr="00BA2FE5">
              <w:instrText xml:space="preserve"> NOTEREF _Ref516668500 \h </w:instrText>
            </w:r>
            <w:r w:rsidRPr="00BA2FE5">
              <w:instrText xml:space="preserve"> \* MERGEFORMAT </w:instrText>
            </w:r>
            <w:r w:rsidRPr="00BA2FE5">
              <w:fldChar w:fldCharType="separate"/>
            </w:r>
            <w:r w:rsidR="00BA2FE5">
              <w:t>4</w:t>
            </w:r>
            <w:r w:rsidRPr="00BA2FE5">
              <w:fldChar w:fldCharType="end"/>
            </w:r>
            <w:r w:rsidRPr="00BA2FE5">
              <w:t>]</w:t>
            </w:r>
          </w:p>
        </w:tc>
      </w:tr>
      <w:tr w:rsidR="003670EC" w:rsidRPr="008D3CCE" w14:paraId="5B75D968"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0FD3CAD" w14:textId="77777777" w:rsidR="003670EC" w:rsidRPr="008D3CCE" w:rsidRDefault="003670EC" w:rsidP="001A1442">
            <w:pPr>
              <w:pStyle w:val="Tabletext"/>
            </w:pPr>
            <w:r w:rsidRPr="008D3CCE">
              <w:t>Angina (year of event)</w:t>
            </w:r>
          </w:p>
        </w:tc>
        <w:tc>
          <w:tcPr>
            <w:tcW w:w="2304" w:type="dxa"/>
            <w:noWrap/>
            <w:hideMark/>
          </w:tcPr>
          <w:p w14:paraId="6E0DB06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9,482</w:t>
            </w:r>
          </w:p>
        </w:tc>
        <w:tc>
          <w:tcPr>
            <w:tcW w:w="2304" w:type="dxa"/>
          </w:tcPr>
          <w:p w14:paraId="1E36684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0.695</w:t>
            </w:r>
          </w:p>
        </w:tc>
        <w:tc>
          <w:tcPr>
            <w:tcW w:w="2304" w:type="dxa"/>
          </w:tcPr>
          <w:p w14:paraId="284ADFBB" w14:textId="728E6878"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rsidRPr="00BA2FE5">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fldChar w:fldCharType="begin"/>
            </w:r>
            <w:r w:rsidR="003670EC" w:rsidRPr="00BA2FE5">
              <w:instrText xml:space="preserve"> NOTEREF _Ref516668519 \f \h </w:instrText>
            </w:r>
            <w:r w:rsidR="00F70F17" w:rsidRPr="00BA2FE5">
              <w:instrText xml:space="preserve"> \* MERGEFORMAT </w:instrText>
            </w:r>
            <w:r w:rsidR="003670EC" w:rsidRPr="00BA2FE5">
              <w:fldChar w:fldCharType="separate"/>
            </w:r>
            <w:r w:rsidRPr="00BA2FE5">
              <w:rPr>
                <w:rStyle w:val="EndnoteReference"/>
                <w:vertAlign w:val="baseline"/>
              </w:rPr>
              <w:t>4</w:t>
            </w:r>
            <w:r w:rsidR="003670EC" w:rsidRPr="00BA2FE5">
              <w:fldChar w:fldCharType="end"/>
            </w:r>
            <w:r w:rsidR="003670EC" w:rsidRPr="00BA2FE5">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rsidRPr="00BA2FE5">
              <w:t>]</w:t>
            </w:r>
          </w:p>
        </w:tc>
      </w:tr>
      <w:tr w:rsidR="003670EC" w:rsidRPr="008D3CCE" w14:paraId="2AADA301"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32247C4" w14:textId="77777777" w:rsidR="003670EC" w:rsidRPr="008D3CCE" w:rsidRDefault="003670EC" w:rsidP="001A1442">
            <w:pPr>
              <w:pStyle w:val="Tabletext"/>
            </w:pPr>
            <w:r w:rsidRPr="008D3CCE">
              <w:t>Angina (years 2+)</w:t>
            </w:r>
          </w:p>
        </w:tc>
        <w:tc>
          <w:tcPr>
            <w:tcW w:w="2304" w:type="dxa"/>
            <w:noWrap/>
            <w:hideMark/>
          </w:tcPr>
          <w:p w14:paraId="6528140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225</w:t>
            </w:r>
          </w:p>
        </w:tc>
        <w:tc>
          <w:tcPr>
            <w:tcW w:w="2304" w:type="dxa"/>
          </w:tcPr>
          <w:p w14:paraId="4D94301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0.695</w:t>
            </w:r>
          </w:p>
        </w:tc>
        <w:tc>
          <w:tcPr>
            <w:tcW w:w="2304" w:type="dxa"/>
          </w:tcPr>
          <w:p w14:paraId="4906F339" w14:textId="5DBE6083"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fldChar w:fldCharType="begin"/>
            </w:r>
            <w:r w:rsidR="003670EC" w:rsidRPr="00BA2FE5">
              <w:instrText xml:space="preserve"> NOTEREF _Ref516668500 \f \h </w:instrText>
            </w:r>
            <w:r w:rsidR="00F70F17" w:rsidRPr="00BA2FE5">
              <w:instrText xml:space="preserve"> \* MERGEFORMAT </w:instrText>
            </w:r>
            <w:r w:rsidR="003670EC" w:rsidRPr="00BA2FE5">
              <w:fldChar w:fldCharType="separate"/>
            </w:r>
            <w:r w:rsidRPr="00BA2FE5">
              <w:rPr>
                <w:bCs/>
              </w:rPr>
              <w:t>4</w:t>
            </w:r>
            <w:r w:rsidR="003670EC" w:rsidRPr="00BA2FE5">
              <w:fldChar w:fldCharType="end"/>
            </w:r>
            <w:r>
              <w:t>]</w:t>
            </w:r>
          </w:p>
        </w:tc>
      </w:tr>
      <w:tr w:rsidR="003670EC" w:rsidRPr="008D3CCE" w14:paraId="51BCCA47"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2533A46" w14:textId="77777777" w:rsidR="003670EC" w:rsidRPr="008D3CCE" w:rsidRDefault="003670EC" w:rsidP="001A1442">
            <w:pPr>
              <w:pStyle w:val="Tabletext"/>
            </w:pPr>
            <w:r w:rsidRPr="008D3CCE">
              <w:t>Congestive heart failure (year of event)</w:t>
            </w:r>
          </w:p>
        </w:tc>
        <w:tc>
          <w:tcPr>
            <w:tcW w:w="2304" w:type="dxa"/>
            <w:noWrap/>
            <w:hideMark/>
          </w:tcPr>
          <w:p w14:paraId="2DEF724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53,900</w:t>
            </w:r>
          </w:p>
        </w:tc>
        <w:tc>
          <w:tcPr>
            <w:tcW w:w="2304" w:type="dxa"/>
          </w:tcPr>
          <w:p w14:paraId="55FF3E3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0.677</w:t>
            </w:r>
          </w:p>
        </w:tc>
        <w:tc>
          <w:tcPr>
            <w:tcW w:w="2304" w:type="dxa"/>
          </w:tcPr>
          <w:p w14:paraId="3C02C7EE" w14:textId="268AE25A"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fldChar w:fldCharType="begin"/>
            </w:r>
            <w:r w:rsidR="003670EC" w:rsidRPr="00BA2FE5">
              <w:instrText xml:space="preserve"> NOTEREF _Ref516668519 \f \h </w:instrText>
            </w:r>
            <w:r w:rsidR="00F70F17" w:rsidRPr="00BA2FE5">
              <w:instrText xml:space="preserve"> \* MERGEFORMAT </w:instrText>
            </w:r>
            <w:r w:rsidR="003670EC" w:rsidRPr="00BA2FE5">
              <w:fldChar w:fldCharType="separate"/>
            </w:r>
            <w:r w:rsidRPr="00BA2FE5">
              <w:rPr>
                <w:rStyle w:val="EndnoteReference"/>
                <w:vertAlign w:val="baseline"/>
              </w:rPr>
              <w:t>4</w:t>
            </w:r>
            <w:r w:rsidR="003670EC" w:rsidRPr="00BA2FE5">
              <w:fldChar w:fldCharType="end"/>
            </w: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p>
        </w:tc>
      </w:tr>
      <w:tr w:rsidR="003670EC" w:rsidRPr="008D3CCE" w14:paraId="31F6E88F"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2A8F74F" w14:textId="77777777" w:rsidR="003670EC" w:rsidRPr="008D3CCE" w:rsidRDefault="003670EC" w:rsidP="001A1442">
            <w:pPr>
              <w:pStyle w:val="Tabletext"/>
            </w:pPr>
            <w:r w:rsidRPr="008D3CCE">
              <w:t>Congestive heart failure (years 2+)</w:t>
            </w:r>
          </w:p>
        </w:tc>
        <w:tc>
          <w:tcPr>
            <w:tcW w:w="2304" w:type="dxa"/>
            <w:noWrap/>
            <w:hideMark/>
          </w:tcPr>
          <w:p w14:paraId="372472A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202</w:t>
            </w:r>
          </w:p>
        </w:tc>
        <w:tc>
          <w:tcPr>
            <w:tcW w:w="2304" w:type="dxa"/>
          </w:tcPr>
          <w:p w14:paraId="0C4F728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0.677</w:t>
            </w:r>
          </w:p>
        </w:tc>
        <w:tc>
          <w:tcPr>
            <w:tcW w:w="2304" w:type="dxa"/>
          </w:tcPr>
          <w:p w14:paraId="5EE929D6" w14:textId="454DD599"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fldChar w:fldCharType="begin"/>
            </w:r>
            <w:r w:rsidR="003670EC" w:rsidRPr="00BA2FE5">
              <w:instrText xml:space="preserve"> NOTEREF _Ref516668500 \f \h </w:instrText>
            </w:r>
            <w:r w:rsidR="00F70F17" w:rsidRPr="00BA2FE5">
              <w:instrText xml:space="preserve"> \* MERGEFORMAT </w:instrText>
            </w:r>
            <w:r w:rsidR="003670EC" w:rsidRPr="00BA2FE5">
              <w:fldChar w:fldCharType="separate"/>
            </w:r>
            <w:r w:rsidRPr="00BA2FE5">
              <w:rPr>
                <w:bCs/>
              </w:rPr>
              <w:t>4</w:t>
            </w:r>
            <w:r w:rsidR="003670EC" w:rsidRPr="00BA2FE5">
              <w:fldChar w:fldCharType="end"/>
            </w:r>
            <w:r>
              <w:t>]</w:t>
            </w:r>
          </w:p>
        </w:tc>
      </w:tr>
      <w:tr w:rsidR="003670EC" w:rsidRPr="008D3CCE" w14:paraId="7A221D01"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8448C6A" w14:textId="77777777" w:rsidR="003670EC" w:rsidRPr="008D3CCE" w:rsidRDefault="003670EC" w:rsidP="001A1442">
            <w:pPr>
              <w:pStyle w:val="Tabletext"/>
            </w:pPr>
            <w:r w:rsidRPr="008D3CCE">
              <w:t>Stroke (year of event)</w:t>
            </w:r>
          </w:p>
        </w:tc>
        <w:tc>
          <w:tcPr>
            <w:tcW w:w="2304" w:type="dxa"/>
            <w:noWrap/>
            <w:hideMark/>
          </w:tcPr>
          <w:p w14:paraId="28CBAFE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69,801</w:t>
            </w:r>
          </w:p>
        </w:tc>
        <w:tc>
          <w:tcPr>
            <w:tcW w:w="2304" w:type="dxa"/>
          </w:tcPr>
          <w:p w14:paraId="2926F76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−0.164</w:t>
            </w:r>
          </w:p>
        </w:tc>
        <w:tc>
          <w:tcPr>
            <w:tcW w:w="2304" w:type="dxa"/>
          </w:tcPr>
          <w:p w14:paraId="56EDC16B" w14:textId="12820338"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rPr>
                <w:rStyle w:val="EndnoteReference"/>
                <w:vertAlign w:val="baseline"/>
              </w:rPr>
              <w:endnoteReference w:id="7"/>
            </w:r>
            <w:r>
              <w:t>]</w:t>
            </w:r>
          </w:p>
        </w:tc>
      </w:tr>
      <w:tr w:rsidR="003670EC" w:rsidRPr="008D3CCE" w14:paraId="01CFD91F"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09BFA83A" w14:textId="77777777" w:rsidR="003670EC" w:rsidRPr="008D3CCE" w:rsidRDefault="003670EC" w:rsidP="001A1442">
            <w:pPr>
              <w:pStyle w:val="Tabletext"/>
            </w:pPr>
            <w:r w:rsidRPr="008D3CCE">
              <w:t>Stroke (years 2+)</w:t>
            </w:r>
          </w:p>
        </w:tc>
        <w:tc>
          <w:tcPr>
            <w:tcW w:w="2304" w:type="dxa"/>
            <w:noWrap/>
            <w:hideMark/>
          </w:tcPr>
          <w:p w14:paraId="18A56C1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21,930</w:t>
            </w:r>
          </w:p>
        </w:tc>
        <w:tc>
          <w:tcPr>
            <w:tcW w:w="2304" w:type="dxa"/>
          </w:tcPr>
          <w:p w14:paraId="1D30C94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0.621</w:t>
            </w:r>
          </w:p>
        </w:tc>
        <w:tc>
          <w:tcPr>
            <w:tcW w:w="2304" w:type="dxa"/>
          </w:tcPr>
          <w:p w14:paraId="73A7A773" w14:textId="560C2EA1"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rPr>
                <w:rStyle w:val="EndnoteReference"/>
                <w:vertAlign w:val="baseline"/>
              </w:rPr>
              <w:endnoteReference w:id="8"/>
            </w:r>
            <w:r>
              <w:t>]</w:t>
            </w:r>
          </w:p>
        </w:tc>
      </w:tr>
      <w:tr w:rsidR="003670EC" w:rsidRPr="008D3CCE" w14:paraId="6BDB70EE"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DC934EF" w14:textId="77777777" w:rsidR="003670EC" w:rsidRPr="008D3CCE" w:rsidRDefault="003670EC" w:rsidP="001A1442">
            <w:pPr>
              <w:pStyle w:val="Tabletext"/>
            </w:pPr>
            <w:r w:rsidRPr="008D3CCE">
              <w:t>Death within 30 days due to stroke</w:t>
            </w:r>
          </w:p>
        </w:tc>
        <w:tc>
          <w:tcPr>
            <w:tcW w:w="2304" w:type="dxa"/>
            <w:noWrap/>
            <w:hideMark/>
          </w:tcPr>
          <w:p w14:paraId="4B0070E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59,540</w:t>
            </w:r>
          </w:p>
        </w:tc>
        <w:tc>
          <w:tcPr>
            <w:tcW w:w="2304" w:type="dxa"/>
          </w:tcPr>
          <w:p w14:paraId="6AF8CBC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5AE540D" w14:textId="1E1958ED"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fldChar w:fldCharType="begin"/>
            </w:r>
            <w:r>
              <w:instrText xml:space="preserve"> NOTEREF _Ref861580 \h </w:instrText>
            </w:r>
            <w:r>
              <w:fldChar w:fldCharType="separate"/>
            </w:r>
            <w:r>
              <w:t>5</w:t>
            </w:r>
            <w:r>
              <w:fldChar w:fldCharType="end"/>
            </w:r>
            <w:r>
              <w:t>]</w:t>
            </w:r>
          </w:p>
        </w:tc>
      </w:tr>
      <w:tr w:rsidR="003670EC" w:rsidRPr="008D3CCE" w14:paraId="4B9E921F"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C883E1D" w14:textId="77777777" w:rsidR="003670EC" w:rsidRPr="008D3CCE" w:rsidRDefault="003670EC" w:rsidP="001A1442">
            <w:pPr>
              <w:pStyle w:val="Tabletext"/>
            </w:pPr>
            <w:r w:rsidRPr="008D3CCE">
              <w:t>Peripheral vascular disease (year of event)</w:t>
            </w:r>
          </w:p>
        </w:tc>
        <w:tc>
          <w:tcPr>
            <w:tcW w:w="2304" w:type="dxa"/>
            <w:noWrap/>
            <w:hideMark/>
          </w:tcPr>
          <w:p w14:paraId="71C3CED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25,830</w:t>
            </w:r>
          </w:p>
        </w:tc>
        <w:tc>
          <w:tcPr>
            <w:tcW w:w="2304" w:type="dxa"/>
          </w:tcPr>
          <w:p w14:paraId="7FE365B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0.724</w:t>
            </w:r>
          </w:p>
        </w:tc>
        <w:tc>
          <w:tcPr>
            <w:tcW w:w="2304" w:type="dxa"/>
          </w:tcPr>
          <w:p w14:paraId="51C34799" w14:textId="38F94881"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14" w:name="_Ref500840915"/>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rsidR="003670EC" w:rsidRPr="00BA2FE5">
              <w:t>,</w:t>
            </w:r>
            <w:r w:rsidR="003670EC" w:rsidRPr="00BA2FE5">
              <w:rPr>
                <w:rStyle w:val="EndnoteReference"/>
                <w:vertAlign w:val="baseline"/>
                <w:lang w:val="en-GB"/>
              </w:rPr>
              <w:endnoteReference w:id="9"/>
            </w:r>
            <w:bookmarkEnd w:id="14"/>
            <w:r>
              <w:t>]</w:t>
            </w:r>
          </w:p>
        </w:tc>
      </w:tr>
      <w:tr w:rsidR="003670EC" w:rsidRPr="008D3CCE" w14:paraId="227FC75E"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D588B6D" w14:textId="77777777" w:rsidR="003670EC" w:rsidRPr="008D3CCE" w:rsidRDefault="003670EC" w:rsidP="001A1442">
            <w:pPr>
              <w:pStyle w:val="Tabletext"/>
            </w:pPr>
            <w:r w:rsidRPr="008D3CCE">
              <w:t>Peripheral vascular disease (years 2+)</w:t>
            </w:r>
          </w:p>
        </w:tc>
        <w:tc>
          <w:tcPr>
            <w:tcW w:w="2304" w:type="dxa"/>
            <w:noWrap/>
            <w:hideMark/>
          </w:tcPr>
          <w:p w14:paraId="68E9981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4,106</w:t>
            </w:r>
          </w:p>
        </w:tc>
        <w:tc>
          <w:tcPr>
            <w:tcW w:w="2304" w:type="dxa"/>
          </w:tcPr>
          <w:p w14:paraId="647D36E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0.724</w:t>
            </w:r>
          </w:p>
        </w:tc>
        <w:tc>
          <w:tcPr>
            <w:tcW w:w="2304" w:type="dxa"/>
          </w:tcPr>
          <w:p w14:paraId="32AFEF65" w14:textId="3BE9D96A"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rPr>
                <w:rStyle w:val="EndnoteReference"/>
                <w:vertAlign w:val="baseline"/>
              </w:rPr>
              <w:endnoteReference w:id="10"/>
            </w:r>
            <w:r>
              <w:t>]</w:t>
            </w:r>
          </w:p>
        </w:tc>
      </w:tr>
      <w:tr w:rsidR="003670EC" w:rsidRPr="008D3CCE" w14:paraId="6CFC791B"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1B10142D" w14:textId="77777777" w:rsidR="003670EC" w:rsidRPr="008D3CCE" w:rsidRDefault="003670EC" w:rsidP="001A1442">
            <w:pPr>
              <w:pStyle w:val="Tabletext"/>
            </w:pPr>
            <w:r>
              <w:t>Microalbuminuria</w:t>
            </w:r>
          </w:p>
        </w:tc>
        <w:tc>
          <w:tcPr>
            <w:tcW w:w="2304" w:type="dxa"/>
            <w:noWrap/>
          </w:tcPr>
          <w:p w14:paraId="52E2D09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2686327"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0.785</w:t>
            </w:r>
          </w:p>
        </w:tc>
        <w:tc>
          <w:tcPr>
            <w:tcW w:w="2304" w:type="dxa"/>
          </w:tcPr>
          <w:p w14:paraId="59B0C182" w14:textId="4F3475A6"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t>]</w:t>
            </w:r>
          </w:p>
        </w:tc>
      </w:tr>
      <w:tr w:rsidR="003670EC" w:rsidRPr="008D3CCE" w14:paraId="14F09BF4"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2CBEFBB1" w14:textId="77777777" w:rsidR="003670EC" w:rsidRPr="008D3CCE" w:rsidRDefault="003670EC" w:rsidP="001A1442">
            <w:pPr>
              <w:pStyle w:val="Tabletext"/>
            </w:pPr>
            <w:r>
              <w:t>Gross proteinuria</w:t>
            </w:r>
          </w:p>
        </w:tc>
        <w:tc>
          <w:tcPr>
            <w:tcW w:w="2304" w:type="dxa"/>
            <w:noWrap/>
          </w:tcPr>
          <w:p w14:paraId="35CA8AF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364130FE"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0.737</w:t>
            </w:r>
          </w:p>
        </w:tc>
        <w:tc>
          <w:tcPr>
            <w:tcW w:w="2304" w:type="dxa"/>
          </w:tcPr>
          <w:p w14:paraId="7E015A42" w14:textId="49F90953"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t>]</w:t>
            </w:r>
          </w:p>
        </w:tc>
      </w:tr>
      <w:tr w:rsidR="003670EC" w:rsidRPr="008D3CCE" w14:paraId="52F3D02C"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D9B8A6C" w14:textId="77777777" w:rsidR="003670EC" w:rsidRPr="008D3CCE" w:rsidRDefault="003670EC" w:rsidP="001A1442">
            <w:pPr>
              <w:pStyle w:val="Tabletext"/>
            </w:pPr>
            <w:r w:rsidRPr="008D3CCE">
              <w:t>Hemodialysis (year of event)</w:t>
            </w:r>
          </w:p>
        </w:tc>
        <w:tc>
          <w:tcPr>
            <w:tcW w:w="2304" w:type="dxa"/>
            <w:noWrap/>
            <w:hideMark/>
          </w:tcPr>
          <w:p w14:paraId="031A469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413,171</w:t>
            </w:r>
          </w:p>
        </w:tc>
        <w:tc>
          <w:tcPr>
            <w:tcW w:w="2304" w:type="dxa"/>
          </w:tcPr>
          <w:p w14:paraId="22123A4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0.621</w:t>
            </w:r>
          </w:p>
        </w:tc>
        <w:tc>
          <w:tcPr>
            <w:tcW w:w="2304" w:type="dxa"/>
          </w:tcPr>
          <w:p w14:paraId="3051F369" w14:textId="5BEC91DE"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15" w:name="_Ref500840939"/>
            <w:r>
              <w:t>[</w:t>
            </w:r>
            <w:r w:rsidR="003670EC" w:rsidRPr="00BA2FE5">
              <w:rPr>
                <w:rStyle w:val="EndnoteReference"/>
                <w:vertAlign w:val="baseline"/>
                <w:lang w:val="en-GB"/>
              </w:rPr>
              <w:endnoteReference w:id="11"/>
            </w:r>
            <w:bookmarkEnd w:id="15"/>
            <w:r w:rsidR="003670EC" w:rsidRPr="00BA2FE5">
              <w:t>,</w:t>
            </w:r>
            <w:bookmarkStart w:id="16" w:name="_Ref516669299"/>
            <w:r w:rsidR="003670EC" w:rsidRPr="00BA2FE5">
              <w:rPr>
                <w:rStyle w:val="EndnoteReference"/>
                <w:vertAlign w:val="baseline"/>
              </w:rPr>
              <w:endnoteReference w:id="12"/>
            </w:r>
            <w:bookmarkEnd w:id="16"/>
            <w:r>
              <w:t>]</w:t>
            </w:r>
          </w:p>
        </w:tc>
      </w:tr>
      <w:tr w:rsidR="003670EC" w:rsidRPr="008D3CCE" w14:paraId="6EEEBD14"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E85F755" w14:textId="77777777" w:rsidR="003670EC" w:rsidRPr="008D3CCE" w:rsidRDefault="003670EC" w:rsidP="001A1442">
            <w:pPr>
              <w:pStyle w:val="Tabletext"/>
            </w:pPr>
            <w:r w:rsidRPr="008D3CCE">
              <w:t>Hemodialysis (years 2+)</w:t>
            </w:r>
          </w:p>
        </w:tc>
        <w:tc>
          <w:tcPr>
            <w:tcW w:w="2304" w:type="dxa"/>
            <w:noWrap/>
            <w:hideMark/>
          </w:tcPr>
          <w:p w14:paraId="246E5F6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413,171</w:t>
            </w:r>
          </w:p>
        </w:tc>
        <w:tc>
          <w:tcPr>
            <w:tcW w:w="2304" w:type="dxa"/>
          </w:tcPr>
          <w:p w14:paraId="394FDA0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0.621</w:t>
            </w:r>
          </w:p>
        </w:tc>
        <w:tc>
          <w:tcPr>
            <w:tcW w:w="2304" w:type="dxa"/>
          </w:tcPr>
          <w:p w14:paraId="476B0013" w14:textId="55C90FF6"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rPr>
                <w:sz w:val="22"/>
              </w:rPr>
            </w:pPr>
            <w:r>
              <w:t>[</w:t>
            </w:r>
            <w:r w:rsidR="003670EC" w:rsidRPr="00BA2FE5">
              <w:fldChar w:fldCharType="begin"/>
            </w:r>
            <w:r w:rsidR="003670EC" w:rsidRPr="00BA2FE5">
              <w:instrText xml:space="preserve"> NOTEREF _Ref500840939 \f \h </w:instrText>
            </w:r>
            <w:r w:rsidR="00F70F17" w:rsidRPr="00BA2FE5">
              <w:instrText xml:space="preserve"> \* MERGEFORMAT </w:instrText>
            </w:r>
            <w:r w:rsidR="003670EC" w:rsidRPr="00BA2FE5">
              <w:fldChar w:fldCharType="separate"/>
            </w:r>
            <w:r w:rsidRPr="00BA2FE5">
              <w:rPr>
                <w:rStyle w:val="EndnoteReference"/>
                <w:vertAlign w:val="baseline"/>
              </w:rPr>
              <w:t>10</w:t>
            </w:r>
            <w:r w:rsidR="003670EC" w:rsidRPr="00BA2FE5">
              <w:fldChar w:fldCharType="end"/>
            </w:r>
            <w:r w:rsidR="003670EC" w:rsidRPr="00BA2FE5">
              <w:t>,</w:t>
            </w:r>
            <w:r w:rsidR="003670EC" w:rsidRPr="00BA2FE5">
              <w:fldChar w:fldCharType="begin"/>
            </w:r>
            <w:r w:rsidR="003670EC" w:rsidRPr="00BA2FE5">
              <w:instrText xml:space="preserve"> NOTEREF _Ref516669299 \f \h </w:instrText>
            </w:r>
            <w:r w:rsidR="00F70F17" w:rsidRPr="00BA2FE5">
              <w:instrText xml:space="preserve"> \* MERGEFORMAT </w:instrText>
            </w:r>
            <w:r w:rsidR="003670EC" w:rsidRPr="00BA2FE5">
              <w:fldChar w:fldCharType="separate"/>
            </w:r>
            <w:r w:rsidRPr="00BA2FE5">
              <w:rPr>
                <w:rStyle w:val="EndnoteReference"/>
                <w:vertAlign w:val="baseline"/>
              </w:rPr>
              <w:t>11</w:t>
            </w:r>
            <w:r w:rsidR="003670EC" w:rsidRPr="00BA2FE5">
              <w:fldChar w:fldCharType="end"/>
            </w:r>
            <w:r>
              <w:t>]</w:t>
            </w:r>
          </w:p>
        </w:tc>
      </w:tr>
      <w:tr w:rsidR="003670EC" w:rsidRPr="008D3CCE" w14:paraId="1DDF0812"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7D8A2D9" w14:textId="77777777" w:rsidR="003670EC" w:rsidRPr="008D3CCE" w:rsidRDefault="003670EC" w:rsidP="001A1442">
            <w:pPr>
              <w:pStyle w:val="Tabletext"/>
            </w:pPr>
            <w:r w:rsidRPr="008D3CCE">
              <w:t>Peritoneal dialysis (year of event)</w:t>
            </w:r>
          </w:p>
        </w:tc>
        <w:tc>
          <w:tcPr>
            <w:tcW w:w="2304" w:type="dxa"/>
            <w:noWrap/>
            <w:hideMark/>
          </w:tcPr>
          <w:p w14:paraId="2CEC3EF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265,553</w:t>
            </w:r>
          </w:p>
        </w:tc>
        <w:tc>
          <w:tcPr>
            <w:tcW w:w="2304" w:type="dxa"/>
          </w:tcPr>
          <w:p w14:paraId="7E38654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0.581</w:t>
            </w:r>
          </w:p>
        </w:tc>
        <w:tc>
          <w:tcPr>
            <w:tcW w:w="2304" w:type="dxa"/>
          </w:tcPr>
          <w:p w14:paraId="5492C6BC" w14:textId="5A7476F5"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_Ref500840939 \f \h </w:instrText>
            </w:r>
            <w:r w:rsidR="00F70F17" w:rsidRPr="00BA2FE5">
              <w:instrText xml:space="preserve"> \* MERGEFORMAT </w:instrText>
            </w:r>
            <w:r w:rsidR="003670EC" w:rsidRPr="00BA2FE5">
              <w:fldChar w:fldCharType="separate"/>
            </w:r>
            <w:r w:rsidRPr="00BA2FE5">
              <w:rPr>
                <w:rStyle w:val="EndnoteReference"/>
                <w:vertAlign w:val="baseline"/>
              </w:rPr>
              <w:t>10</w:t>
            </w:r>
            <w:r w:rsidR="003670EC" w:rsidRPr="00BA2FE5">
              <w:fldChar w:fldCharType="end"/>
            </w:r>
            <w:r w:rsidR="003670EC" w:rsidRPr="00BA2FE5">
              <w:t>,</w:t>
            </w:r>
            <w:r w:rsidR="003670EC" w:rsidRPr="00BA2FE5">
              <w:fldChar w:fldCharType="begin"/>
            </w:r>
            <w:r w:rsidR="003670EC" w:rsidRPr="00BA2FE5">
              <w:instrText xml:space="preserve"> NOTEREF _Ref516669299 \f \h </w:instrText>
            </w:r>
            <w:r w:rsidR="00F70F17" w:rsidRPr="00BA2FE5">
              <w:instrText xml:space="preserve"> \* MERGEFORMAT </w:instrText>
            </w:r>
            <w:r w:rsidR="003670EC" w:rsidRPr="00BA2FE5">
              <w:fldChar w:fldCharType="separate"/>
            </w:r>
            <w:r w:rsidRPr="00BA2FE5">
              <w:rPr>
                <w:rStyle w:val="EndnoteReference"/>
                <w:vertAlign w:val="baseline"/>
              </w:rPr>
              <w:t>11</w:t>
            </w:r>
            <w:r w:rsidR="003670EC" w:rsidRPr="00BA2FE5">
              <w:fldChar w:fldCharType="end"/>
            </w:r>
            <w:r>
              <w:t>]</w:t>
            </w:r>
          </w:p>
        </w:tc>
      </w:tr>
      <w:tr w:rsidR="003670EC" w:rsidRPr="008D3CCE" w14:paraId="4D193285"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04551FD" w14:textId="77777777" w:rsidR="003670EC" w:rsidRPr="008D3CCE" w:rsidRDefault="003670EC" w:rsidP="001A1442">
            <w:pPr>
              <w:pStyle w:val="Tabletext"/>
            </w:pPr>
            <w:r w:rsidRPr="008D3CCE">
              <w:t>Peritoneal dialysis (years 2+)</w:t>
            </w:r>
          </w:p>
        </w:tc>
        <w:tc>
          <w:tcPr>
            <w:tcW w:w="2304" w:type="dxa"/>
            <w:noWrap/>
            <w:hideMark/>
          </w:tcPr>
          <w:p w14:paraId="4E671A4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265,553</w:t>
            </w:r>
          </w:p>
        </w:tc>
        <w:tc>
          <w:tcPr>
            <w:tcW w:w="2304" w:type="dxa"/>
          </w:tcPr>
          <w:p w14:paraId="6467AE3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0.581</w:t>
            </w:r>
          </w:p>
        </w:tc>
        <w:tc>
          <w:tcPr>
            <w:tcW w:w="2304" w:type="dxa"/>
          </w:tcPr>
          <w:p w14:paraId="78937C6C" w14:textId="1AEA2DF8"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_Ref500840939 \f \h </w:instrText>
            </w:r>
            <w:r w:rsidR="00F70F17" w:rsidRPr="00BA2FE5">
              <w:instrText xml:space="preserve"> \* MERGEFORMAT </w:instrText>
            </w:r>
            <w:r w:rsidR="003670EC" w:rsidRPr="00BA2FE5">
              <w:fldChar w:fldCharType="separate"/>
            </w:r>
            <w:r w:rsidRPr="00BA2FE5">
              <w:rPr>
                <w:rStyle w:val="EndnoteReference"/>
                <w:vertAlign w:val="baseline"/>
              </w:rPr>
              <w:t>10</w:t>
            </w:r>
            <w:r w:rsidR="003670EC" w:rsidRPr="00BA2FE5">
              <w:fldChar w:fldCharType="end"/>
            </w:r>
            <w:r w:rsidR="003670EC" w:rsidRPr="00BA2FE5">
              <w:t>,</w:t>
            </w:r>
            <w:r w:rsidR="003670EC" w:rsidRPr="00BA2FE5">
              <w:fldChar w:fldCharType="begin"/>
            </w:r>
            <w:r w:rsidR="003670EC" w:rsidRPr="00BA2FE5">
              <w:instrText xml:space="preserve"> NOTEREF _Ref516669299 \f \h </w:instrText>
            </w:r>
            <w:r w:rsidR="00F70F17" w:rsidRPr="00BA2FE5">
              <w:instrText xml:space="preserve"> \* MERGEFORMAT </w:instrText>
            </w:r>
            <w:r w:rsidR="003670EC" w:rsidRPr="00BA2FE5">
              <w:fldChar w:fldCharType="separate"/>
            </w:r>
            <w:r w:rsidRPr="00BA2FE5">
              <w:rPr>
                <w:rStyle w:val="EndnoteReference"/>
                <w:vertAlign w:val="baseline"/>
              </w:rPr>
              <w:t>11</w:t>
            </w:r>
            <w:r w:rsidR="003670EC" w:rsidRPr="00BA2FE5">
              <w:fldChar w:fldCharType="end"/>
            </w:r>
            <w:r>
              <w:t>]</w:t>
            </w:r>
          </w:p>
        </w:tc>
      </w:tr>
      <w:tr w:rsidR="003670EC" w:rsidRPr="008D3CCE" w14:paraId="73F521D3"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AB3F8BF" w14:textId="77777777" w:rsidR="003670EC" w:rsidRPr="008D3CCE" w:rsidRDefault="003670EC" w:rsidP="001A1442">
            <w:pPr>
              <w:pStyle w:val="Tabletext"/>
            </w:pPr>
            <w:r w:rsidRPr="008D3CCE">
              <w:t>Renal transplant (year of event)</w:t>
            </w:r>
          </w:p>
        </w:tc>
        <w:tc>
          <w:tcPr>
            <w:tcW w:w="2304" w:type="dxa"/>
            <w:noWrap/>
            <w:hideMark/>
          </w:tcPr>
          <w:p w14:paraId="455AAED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271,301</w:t>
            </w:r>
          </w:p>
        </w:tc>
        <w:tc>
          <w:tcPr>
            <w:tcW w:w="2304" w:type="dxa"/>
          </w:tcPr>
          <w:p w14:paraId="42F19CA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0.762</w:t>
            </w:r>
          </w:p>
        </w:tc>
        <w:tc>
          <w:tcPr>
            <w:tcW w:w="2304" w:type="dxa"/>
          </w:tcPr>
          <w:p w14:paraId="4A13C839" w14:textId="6E9A9CC1"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17" w:name="_Ref500840952"/>
            <w:r>
              <w:t>[</w:t>
            </w:r>
            <w:r w:rsidR="003670EC" w:rsidRPr="00BA2FE5">
              <w:fldChar w:fldCharType="begin"/>
            </w:r>
            <w:r w:rsidR="003670EC" w:rsidRPr="00BA2FE5">
              <w:instrText xml:space="preserve"> NOTEREF _Ref516668500 \f \h </w:instrText>
            </w:r>
            <w:r w:rsidR="00F70F17" w:rsidRPr="00BA2FE5">
              <w:instrText xml:space="preserve"> \* MERGEFORMAT </w:instrText>
            </w:r>
            <w:r w:rsidR="003670EC" w:rsidRPr="00BA2FE5">
              <w:fldChar w:fldCharType="separate"/>
            </w:r>
            <w:r w:rsidRPr="00BA2FE5">
              <w:rPr>
                <w:bCs/>
              </w:rPr>
              <w:t>4</w:t>
            </w:r>
            <w:r w:rsidR="003670EC" w:rsidRPr="00BA2FE5">
              <w:fldChar w:fldCharType="end"/>
            </w:r>
            <w:r w:rsidR="003670EC" w:rsidRPr="00BA2FE5">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r w:rsidR="003670EC" w:rsidRPr="00BA2FE5">
              <w:rPr>
                <w:rStyle w:val="EndnoteReference"/>
                <w:vertAlign w:val="baseline"/>
                <w:lang w:val="en-GB"/>
              </w:rPr>
              <w:endnoteReference w:id="13"/>
            </w:r>
            <w:bookmarkEnd w:id="17"/>
            <w:r>
              <w:t>]</w:t>
            </w:r>
          </w:p>
        </w:tc>
      </w:tr>
      <w:tr w:rsidR="003670EC" w:rsidRPr="008D3CCE" w14:paraId="17A23C74"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E1F83CE" w14:textId="77777777" w:rsidR="003670EC" w:rsidRPr="008D3CCE" w:rsidRDefault="003670EC" w:rsidP="001A1442">
            <w:pPr>
              <w:pStyle w:val="Tabletext"/>
            </w:pPr>
            <w:r w:rsidRPr="008D3CCE">
              <w:t>Renal transplant (years 2+)</w:t>
            </w:r>
          </w:p>
        </w:tc>
        <w:tc>
          <w:tcPr>
            <w:tcW w:w="2304" w:type="dxa"/>
            <w:noWrap/>
            <w:hideMark/>
          </w:tcPr>
          <w:p w14:paraId="3A103BE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31,034</w:t>
            </w:r>
          </w:p>
        </w:tc>
        <w:tc>
          <w:tcPr>
            <w:tcW w:w="2304" w:type="dxa"/>
          </w:tcPr>
          <w:p w14:paraId="1BD693A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0.762</w:t>
            </w:r>
          </w:p>
        </w:tc>
        <w:tc>
          <w:tcPr>
            <w:tcW w:w="2304" w:type="dxa"/>
          </w:tcPr>
          <w:p w14:paraId="11EBA193" w14:textId="19D21D0F" w:rsidR="00BA2FE5" w:rsidRPr="00BA2FE5" w:rsidRDefault="00BA2FE5" w:rsidP="00BA2FE5">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_Ref516668500 \f \h </w:instrText>
            </w:r>
            <w:r w:rsidR="00F70F17" w:rsidRPr="00BA2FE5">
              <w:instrText xml:space="preserve"> \* MERGEFORMAT </w:instrText>
            </w:r>
            <w:r w:rsidR="003670EC" w:rsidRPr="00BA2FE5">
              <w:fldChar w:fldCharType="separate"/>
            </w:r>
            <w:r w:rsidRPr="00BA2FE5">
              <w:rPr>
                <w:bCs/>
              </w:rPr>
              <w:t>4</w:t>
            </w:r>
            <w:r w:rsidR="003670EC" w:rsidRPr="00BA2FE5">
              <w:fldChar w:fldCharType="end"/>
            </w:r>
            <w:r w:rsidR="003670EC" w:rsidRPr="00BA2FE5">
              <w:t>,</w:t>
            </w:r>
            <w:r w:rsidR="003670EC" w:rsidRPr="00BA2FE5">
              <w:fldChar w:fldCharType="begin"/>
            </w:r>
            <w:r w:rsidR="003670EC" w:rsidRPr="00BA2FE5">
              <w:instrText xml:space="preserve"> NOTEREF _Ref500840952 \f \h </w:instrText>
            </w:r>
            <w:r w:rsidR="00F70F17" w:rsidRPr="00BA2FE5">
              <w:instrText xml:space="preserve"> \* MERGEFORMAT </w:instrText>
            </w:r>
            <w:r w:rsidR="003670EC" w:rsidRPr="00BA2FE5">
              <w:fldChar w:fldCharType="separate"/>
            </w:r>
            <w:r w:rsidRPr="00BA2FE5">
              <w:rPr>
                <w:rStyle w:val="EndnoteReference"/>
                <w:vertAlign w:val="baseline"/>
              </w:rPr>
              <w:t>12</w:t>
            </w:r>
            <w:r w:rsidR="003670EC" w:rsidRPr="00BA2FE5">
              <w:fldChar w:fldCharType="end"/>
            </w:r>
            <w:r>
              <w:t>]</w:t>
            </w:r>
          </w:p>
        </w:tc>
      </w:tr>
      <w:tr w:rsidR="003670EC" w:rsidRPr="008D3CCE" w14:paraId="3BDEDD99"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45F5DC85" w14:textId="77777777" w:rsidR="003670EC" w:rsidRPr="008D3CCE" w:rsidRDefault="003670EC" w:rsidP="001A1442">
            <w:pPr>
              <w:pStyle w:val="Tabletext"/>
            </w:pPr>
            <w:r>
              <w:t>Background diabetic retinopathy</w:t>
            </w:r>
          </w:p>
        </w:tc>
        <w:tc>
          <w:tcPr>
            <w:tcW w:w="2304" w:type="dxa"/>
            <w:noWrap/>
          </w:tcPr>
          <w:p w14:paraId="0419C4D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BA2375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0.745</w:t>
            </w:r>
          </w:p>
        </w:tc>
        <w:tc>
          <w:tcPr>
            <w:tcW w:w="2304" w:type="dxa"/>
          </w:tcPr>
          <w:p w14:paraId="4932C5E6" w14:textId="30F478DF"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18" w:name="_Ref500840958"/>
            <w:r>
              <w:t>[</w:t>
            </w:r>
            <w:r w:rsidR="003670EC" w:rsidRPr="00BA2FE5">
              <w:rPr>
                <w:rStyle w:val="EndnoteReference"/>
                <w:vertAlign w:val="baseline"/>
                <w:lang w:val="en-GB"/>
              </w:rPr>
              <w:endnoteReference w:id="14"/>
            </w:r>
            <w:bookmarkEnd w:id="18"/>
            <w:r>
              <w:t>]</w:t>
            </w:r>
          </w:p>
        </w:tc>
      </w:tr>
      <w:tr w:rsidR="003670EC" w:rsidRPr="008D3CCE" w14:paraId="53516863"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6FE816A3" w14:textId="77777777" w:rsidR="003670EC" w:rsidRDefault="003670EC" w:rsidP="001A1442">
            <w:pPr>
              <w:pStyle w:val="Tabletext"/>
            </w:pPr>
            <w:r>
              <w:t>Proliferative diabetic retinopathy</w:t>
            </w:r>
          </w:p>
        </w:tc>
        <w:tc>
          <w:tcPr>
            <w:tcW w:w="2304" w:type="dxa"/>
            <w:noWrap/>
          </w:tcPr>
          <w:p w14:paraId="35B9662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249182A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0.715</w:t>
            </w:r>
          </w:p>
        </w:tc>
        <w:tc>
          <w:tcPr>
            <w:tcW w:w="2304" w:type="dxa"/>
          </w:tcPr>
          <w:p w14:paraId="7D4ECE68" w14:textId="4E39A1E2"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_Ref500840958 \f \h </w:instrText>
            </w:r>
            <w:r w:rsidR="00F70F17" w:rsidRPr="00BA2FE5">
              <w:instrText xml:space="preserve"> \* MERGEFORMAT </w:instrText>
            </w:r>
            <w:r w:rsidR="003670EC" w:rsidRPr="00BA2FE5">
              <w:fldChar w:fldCharType="separate"/>
            </w:r>
            <w:r w:rsidRPr="00BA2FE5">
              <w:rPr>
                <w:rStyle w:val="EndnoteReference"/>
                <w:vertAlign w:val="baseline"/>
              </w:rPr>
              <w:t>13</w:t>
            </w:r>
            <w:r w:rsidR="003670EC" w:rsidRPr="00BA2FE5">
              <w:fldChar w:fldCharType="end"/>
            </w:r>
            <w:r>
              <w:t>]</w:t>
            </w:r>
          </w:p>
        </w:tc>
      </w:tr>
      <w:tr w:rsidR="003670EC" w:rsidRPr="008D3CCE" w14:paraId="7C531CF0"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751E7A80" w14:textId="77777777" w:rsidR="003670EC" w:rsidRPr="008D3CCE" w:rsidRDefault="003670EC" w:rsidP="001A1442">
            <w:pPr>
              <w:pStyle w:val="Tabletext"/>
            </w:pPr>
            <w:r>
              <w:t>Macular e</w:t>
            </w:r>
            <w:r w:rsidRPr="008D3CCE">
              <w:t>dema onset</w:t>
            </w:r>
          </w:p>
        </w:tc>
        <w:tc>
          <w:tcPr>
            <w:tcW w:w="2304" w:type="dxa"/>
            <w:noWrap/>
          </w:tcPr>
          <w:p w14:paraId="2D4E66D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140</w:t>
            </w:r>
          </w:p>
        </w:tc>
        <w:tc>
          <w:tcPr>
            <w:tcW w:w="2304" w:type="dxa"/>
          </w:tcPr>
          <w:p w14:paraId="33CC97D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0.745</w:t>
            </w:r>
          </w:p>
        </w:tc>
        <w:tc>
          <w:tcPr>
            <w:tcW w:w="2304" w:type="dxa"/>
          </w:tcPr>
          <w:p w14:paraId="4AE989AA" w14:textId="28525BE2"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_Ref500840958 \f \h </w:instrText>
            </w:r>
            <w:r w:rsidR="00F70F17" w:rsidRPr="00BA2FE5">
              <w:instrText xml:space="preserve"> \* MERGEFORMAT </w:instrText>
            </w:r>
            <w:r w:rsidR="003670EC" w:rsidRPr="00BA2FE5">
              <w:fldChar w:fldCharType="separate"/>
            </w:r>
            <w:r w:rsidRPr="00BA2FE5">
              <w:rPr>
                <w:rStyle w:val="EndnoteReference"/>
                <w:vertAlign w:val="baseline"/>
              </w:rPr>
              <w:t>13</w:t>
            </w:r>
            <w:r w:rsidR="003670EC" w:rsidRPr="00BA2FE5">
              <w:fldChar w:fldCharType="end"/>
            </w:r>
            <w:r w:rsidR="003670EC" w:rsidRPr="00BA2FE5">
              <w:t>,</w:t>
            </w:r>
            <w:bookmarkStart w:id="19" w:name="_Ref516669496"/>
            <w:r w:rsidR="003670EC" w:rsidRPr="00BA2FE5">
              <w:rPr>
                <w:rStyle w:val="EndnoteReference"/>
                <w:vertAlign w:val="baseline"/>
              </w:rPr>
              <w:endnoteReference w:id="15"/>
            </w:r>
            <w:bookmarkEnd w:id="19"/>
            <w:r>
              <w:t>]</w:t>
            </w:r>
          </w:p>
        </w:tc>
      </w:tr>
      <w:tr w:rsidR="003670EC" w:rsidRPr="008D3CCE" w14:paraId="74833F38"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1B8A2FC1" w14:textId="77777777" w:rsidR="003670EC" w:rsidRDefault="003670EC" w:rsidP="001A1442">
            <w:pPr>
              <w:pStyle w:val="Tabletext"/>
            </w:pPr>
            <w:r>
              <w:t>Cataract</w:t>
            </w:r>
          </w:p>
        </w:tc>
        <w:tc>
          <w:tcPr>
            <w:tcW w:w="2304" w:type="dxa"/>
            <w:noWrap/>
          </w:tcPr>
          <w:p w14:paraId="1F56CFA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0696A59"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0.769</w:t>
            </w:r>
          </w:p>
        </w:tc>
        <w:tc>
          <w:tcPr>
            <w:tcW w:w="2304" w:type="dxa"/>
          </w:tcPr>
          <w:p w14:paraId="4721BE02" w14:textId="411B4C0A"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20" w:name="_Ref500840979"/>
            <w:r>
              <w:t>[</w:t>
            </w:r>
            <w:r w:rsidR="003670EC" w:rsidRPr="00BA2FE5">
              <w:rPr>
                <w:rStyle w:val="EndnoteReference"/>
                <w:vertAlign w:val="baseline"/>
                <w:lang w:val="en-GB"/>
              </w:rPr>
              <w:endnoteReference w:id="16"/>
            </w:r>
            <w:bookmarkEnd w:id="20"/>
            <w:r>
              <w:t>]</w:t>
            </w:r>
          </w:p>
        </w:tc>
      </w:tr>
      <w:tr w:rsidR="003670EC" w:rsidRPr="008D3CCE" w14:paraId="19D8258A"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A1D4825" w14:textId="77777777" w:rsidR="003670EC" w:rsidRPr="008D3CCE" w:rsidRDefault="003670EC" w:rsidP="001A1442">
            <w:pPr>
              <w:pStyle w:val="Tabletext"/>
            </w:pPr>
            <w:r w:rsidRPr="008D3CCE">
              <w:t>Cataract operation</w:t>
            </w:r>
          </w:p>
        </w:tc>
        <w:tc>
          <w:tcPr>
            <w:tcW w:w="2304" w:type="dxa"/>
            <w:noWrap/>
            <w:hideMark/>
          </w:tcPr>
          <w:p w14:paraId="0065969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9,971</w:t>
            </w:r>
          </w:p>
        </w:tc>
        <w:tc>
          <w:tcPr>
            <w:tcW w:w="2304" w:type="dxa"/>
          </w:tcPr>
          <w:p w14:paraId="544E44CA"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59B1ECD9" w14:textId="4DDF81F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rsidR="003670EC" w:rsidRPr="00BA2FE5">
              <w:t>,</w:t>
            </w:r>
            <w:r w:rsidR="003670EC" w:rsidRPr="00BA2FE5">
              <w:fldChar w:fldCharType="begin"/>
            </w:r>
            <w:r w:rsidR="003670EC" w:rsidRPr="00BA2FE5">
              <w:instrText xml:space="preserve"> NOTEREF _Ref516669496 \f \h </w:instrText>
            </w:r>
            <w:r w:rsidR="00F70F17" w:rsidRPr="00BA2FE5">
              <w:instrText xml:space="preserve"> \* MERGEFORMAT </w:instrText>
            </w:r>
            <w:r w:rsidR="003670EC" w:rsidRPr="00BA2FE5">
              <w:fldChar w:fldCharType="separate"/>
            </w:r>
            <w:r w:rsidRPr="00BA2FE5">
              <w:rPr>
                <w:rStyle w:val="EndnoteReference"/>
                <w:vertAlign w:val="baseline"/>
              </w:rPr>
              <w:t>14</w:t>
            </w:r>
            <w:r w:rsidR="003670EC" w:rsidRPr="00BA2FE5">
              <w:fldChar w:fldCharType="end"/>
            </w:r>
            <w:r>
              <w:t>]</w:t>
            </w:r>
          </w:p>
        </w:tc>
      </w:tr>
      <w:tr w:rsidR="003670EC" w:rsidRPr="008D3CCE" w14:paraId="4CD6DBAC"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424D768" w14:textId="77777777" w:rsidR="003670EC" w:rsidRPr="008D3CCE" w:rsidRDefault="003670EC" w:rsidP="001A1442">
            <w:pPr>
              <w:pStyle w:val="Tabletext"/>
            </w:pPr>
            <w:r w:rsidRPr="008D3CCE">
              <w:t>Cost following cataract operation</w:t>
            </w:r>
          </w:p>
        </w:tc>
        <w:tc>
          <w:tcPr>
            <w:tcW w:w="2304" w:type="dxa"/>
            <w:noWrap/>
            <w:hideMark/>
          </w:tcPr>
          <w:p w14:paraId="6468741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245</w:t>
            </w:r>
          </w:p>
        </w:tc>
        <w:tc>
          <w:tcPr>
            <w:tcW w:w="2304" w:type="dxa"/>
          </w:tcPr>
          <w:p w14:paraId="16398E5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391745A0" w14:textId="68715803"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_Ref516669496 \f \h </w:instrText>
            </w:r>
            <w:r w:rsidR="00F70F17" w:rsidRPr="00BA2FE5">
              <w:instrText xml:space="preserve"> \* MERGEFORMAT </w:instrText>
            </w:r>
            <w:r w:rsidR="003670EC" w:rsidRPr="00BA2FE5">
              <w:fldChar w:fldCharType="separate"/>
            </w:r>
            <w:r w:rsidRPr="00BA2FE5">
              <w:rPr>
                <w:rStyle w:val="EndnoteReference"/>
                <w:vertAlign w:val="baseline"/>
              </w:rPr>
              <w:t>14</w:t>
            </w:r>
            <w:r w:rsidR="003670EC" w:rsidRPr="00BA2FE5">
              <w:fldChar w:fldCharType="end"/>
            </w:r>
            <w:r>
              <w:t>]</w:t>
            </w:r>
          </w:p>
        </w:tc>
      </w:tr>
      <w:tr w:rsidR="003670EC" w:rsidRPr="008D3CCE" w14:paraId="15CCE95A"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9B63970" w14:textId="77777777" w:rsidR="003670EC" w:rsidRPr="008D3CCE" w:rsidRDefault="003670EC" w:rsidP="001A1442">
            <w:pPr>
              <w:pStyle w:val="Tabletext"/>
            </w:pPr>
            <w:r w:rsidRPr="008D3CCE">
              <w:t>Blindness (year of onset)</w:t>
            </w:r>
          </w:p>
        </w:tc>
        <w:tc>
          <w:tcPr>
            <w:tcW w:w="2304" w:type="dxa"/>
            <w:noWrap/>
            <w:hideMark/>
          </w:tcPr>
          <w:p w14:paraId="0EC6635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85,574</w:t>
            </w:r>
          </w:p>
        </w:tc>
        <w:tc>
          <w:tcPr>
            <w:tcW w:w="2304" w:type="dxa"/>
          </w:tcPr>
          <w:p w14:paraId="6BDED34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0.711</w:t>
            </w:r>
          </w:p>
        </w:tc>
        <w:tc>
          <w:tcPr>
            <w:tcW w:w="2304" w:type="dxa"/>
          </w:tcPr>
          <w:p w14:paraId="5E5C4B98" w14:textId="3F996C41"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bookmarkStart w:id="21" w:name="_Ref516669670"/>
            <w:r w:rsidR="003670EC" w:rsidRPr="00BA2FE5">
              <w:rPr>
                <w:rStyle w:val="EndnoteReference"/>
                <w:vertAlign w:val="baseline"/>
              </w:rPr>
              <w:endnoteReference w:id="17"/>
            </w:r>
            <w:bookmarkEnd w:id="21"/>
            <w:r>
              <w:t>]</w:t>
            </w:r>
          </w:p>
        </w:tc>
      </w:tr>
      <w:tr w:rsidR="003670EC" w:rsidRPr="008D3CCE" w14:paraId="1993392F"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7120E115" w14:textId="77777777" w:rsidR="003670EC" w:rsidRPr="008D3CCE" w:rsidRDefault="003670EC" w:rsidP="001A1442">
            <w:pPr>
              <w:pStyle w:val="Tabletext"/>
            </w:pPr>
            <w:r w:rsidRPr="008D3CCE">
              <w:t>Blindness (years 2+)</w:t>
            </w:r>
          </w:p>
        </w:tc>
        <w:tc>
          <w:tcPr>
            <w:tcW w:w="2304" w:type="dxa"/>
            <w:noWrap/>
            <w:hideMark/>
          </w:tcPr>
          <w:p w14:paraId="1567D61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85,574</w:t>
            </w:r>
          </w:p>
        </w:tc>
        <w:tc>
          <w:tcPr>
            <w:tcW w:w="2304" w:type="dxa"/>
          </w:tcPr>
          <w:p w14:paraId="4B8D2D1C"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0.711</w:t>
            </w:r>
          </w:p>
        </w:tc>
        <w:tc>
          <w:tcPr>
            <w:tcW w:w="2304" w:type="dxa"/>
          </w:tcPr>
          <w:p w14:paraId="02087593" w14:textId="1395EA56"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003670EC" w:rsidRPr="00BA2FE5">
              <w:fldChar w:fldCharType="begin"/>
            </w:r>
            <w:r w:rsidR="003670EC" w:rsidRPr="00BA2FE5">
              <w:instrText xml:space="preserve"> NOTEREF _Ref516669670 \f \h </w:instrText>
            </w:r>
            <w:r w:rsidR="00F70F17" w:rsidRPr="00BA2FE5">
              <w:instrText xml:space="preserve"> \* MERGEFORMAT </w:instrText>
            </w:r>
            <w:r w:rsidR="003670EC" w:rsidRPr="00BA2FE5">
              <w:fldChar w:fldCharType="separate"/>
            </w:r>
            <w:r w:rsidRPr="00BA2FE5">
              <w:rPr>
                <w:rStyle w:val="EndnoteReference"/>
                <w:vertAlign w:val="baseline"/>
              </w:rPr>
              <w:t>16</w:t>
            </w:r>
            <w:r w:rsidR="003670EC" w:rsidRPr="00BA2FE5">
              <w:fldChar w:fldCharType="end"/>
            </w:r>
            <w:r>
              <w:t>]</w:t>
            </w:r>
          </w:p>
        </w:tc>
      </w:tr>
      <w:tr w:rsidR="003670EC" w:rsidRPr="008D3CCE" w14:paraId="44B465EC"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40057D12" w14:textId="77777777" w:rsidR="003670EC" w:rsidRPr="008D3CCE" w:rsidRDefault="003670EC" w:rsidP="001A1442">
            <w:pPr>
              <w:pStyle w:val="Tabletext"/>
            </w:pPr>
            <w:r w:rsidRPr="008D3CCE">
              <w:t xml:space="preserve">Non-severe hypoglycemic event </w:t>
            </w:r>
            <w:r>
              <w:t>(diurnal)</w:t>
            </w:r>
          </w:p>
        </w:tc>
        <w:tc>
          <w:tcPr>
            <w:tcW w:w="2304" w:type="dxa"/>
            <w:noWrap/>
            <w:hideMark/>
          </w:tcPr>
          <w:p w14:paraId="2D9BE07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25</w:t>
            </w:r>
          </w:p>
        </w:tc>
        <w:tc>
          <w:tcPr>
            <w:tcW w:w="2304" w:type="dxa"/>
          </w:tcPr>
          <w:p w14:paraId="4FFF5FF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−0.004</w:t>
            </w:r>
          </w:p>
        </w:tc>
        <w:tc>
          <w:tcPr>
            <w:tcW w:w="2304" w:type="dxa"/>
          </w:tcPr>
          <w:p w14:paraId="13126B8B" w14:textId="7D92526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22" w:name="_Ref530667840"/>
            <w:r>
              <w:t>[</w:t>
            </w:r>
            <w:r w:rsidRPr="00BA2FE5">
              <w:rPr>
                <w:rStyle w:val="EndnoteReference"/>
                <w:vertAlign w:val="baseline"/>
              </w:rPr>
              <w:endnoteReference w:id="18"/>
            </w:r>
            <w:bookmarkEnd w:id="22"/>
            <w:r w:rsidR="003670EC" w:rsidRPr="00BA2FE5">
              <w:t>,</w:t>
            </w:r>
            <w:bookmarkStart w:id="23" w:name="_Ref516669794"/>
            <w:r w:rsidR="003670EC" w:rsidRPr="00BA2FE5">
              <w:rPr>
                <w:rStyle w:val="EndnoteReference"/>
                <w:vertAlign w:val="baseline"/>
              </w:rPr>
              <w:endnoteReference w:id="19"/>
            </w:r>
            <w:bookmarkEnd w:id="23"/>
            <w:r>
              <w:t>]</w:t>
            </w:r>
          </w:p>
        </w:tc>
      </w:tr>
      <w:tr w:rsidR="003670EC" w:rsidRPr="008D3CCE" w14:paraId="34A47CE9"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57B6F1F0" w14:textId="77777777" w:rsidR="003670EC" w:rsidRPr="008D3CCE" w:rsidRDefault="003670EC" w:rsidP="001A1442">
            <w:pPr>
              <w:pStyle w:val="Tabletext"/>
            </w:pPr>
            <w:r>
              <w:t>Non-severe hypoglycemic event (nocturnal)</w:t>
            </w:r>
          </w:p>
        </w:tc>
        <w:tc>
          <w:tcPr>
            <w:tcW w:w="2304" w:type="dxa"/>
            <w:noWrap/>
          </w:tcPr>
          <w:p w14:paraId="206C70E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25</w:t>
            </w:r>
          </w:p>
        </w:tc>
        <w:tc>
          <w:tcPr>
            <w:tcW w:w="2304" w:type="dxa"/>
          </w:tcPr>
          <w:p w14:paraId="7B34639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−0.007</w:t>
            </w:r>
          </w:p>
        </w:tc>
        <w:tc>
          <w:tcPr>
            <w:tcW w:w="2304" w:type="dxa"/>
          </w:tcPr>
          <w:p w14:paraId="23DEC7D2" w14:textId="209888A7"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_Ref530667840 \f \h </w:instrText>
            </w:r>
            <w:r w:rsidR="00F70F17" w:rsidRPr="00BA2FE5">
              <w:instrText xml:space="preserve"> \* MERGEFORMAT </w:instrText>
            </w:r>
            <w:r w:rsidR="003670EC" w:rsidRPr="00BA2FE5">
              <w:fldChar w:fldCharType="separate"/>
            </w:r>
            <w:r w:rsidRPr="00BA2FE5">
              <w:rPr>
                <w:bCs/>
              </w:rPr>
              <w:t>17</w:t>
            </w:r>
            <w:r w:rsidR="003670EC" w:rsidRPr="00BA2FE5">
              <w:fldChar w:fldCharType="end"/>
            </w:r>
            <w:r w:rsidR="003670EC" w:rsidRPr="00BA2FE5">
              <w:t>,</w:t>
            </w:r>
            <w:r w:rsidR="003670EC" w:rsidRPr="00BA2FE5">
              <w:fldChar w:fldCharType="begin"/>
            </w:r>
            <w:r w:rsidR="003670EC" w:rsidRPr="00BA2FE5">
              <w:instrText xml:space="preserve"> NOTEREF _Ref516669794 \f \h </w:instrText>
            </w:r>
            <w:r w:rsidR="00F70F17" w:rsidRPr="00BA2FE5">
              <w:instrText xml:space="preserve"> \* MERGEFORMAT </w:instrText>
            </w:r>
            <w:r w:rsidR="003670EC" w:rsidRPr="00BA2FE5">
              <w:fldChar w:fldCharType="separate"/>
            </w:r>
            <w:r w:rsidRPr="00BA2FE5">
              <w:rPr>
                <w:rStyle w:val="EndnoteReference"/>
                <w:vertAlign w:val="baseline"/>
              </w:rPr>
              <w:t>18</w:t>
            </w:r>
            <w:r w:rsidR="003670EC" w:rsidRPr="00BA2FE5">
              <w:fldChar w:fldCharType="end"/>
            </w:r>
            <w:r>
              <w:t>]</w:t>
            </w:r>
          </w:p>
        </w:tc>
      </w:tr>
      <w:tr w:rsidR="003670EC" w:rsidRPr="008D3CCE" w14:paraId="0ECF46DD"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2558C446" w14:textId="77777777" w:rsidR="003670EC" w:rsidRPr="008D3CCE" w:rsidRDefault="003670EC" w:rsidP="001A1442">
            <w:pPr>
              <w:pStyle w:val="Tabletext"/>
            </w:pPr>
            <w:r w:rsidRPr="008D3CCE">
              <w:t>Severe hypoglycemic event (diurnal)</w:t>
            </w:r>
          </w:p>
        </w:tc>
        <w:tc>
          <w:tcPr>
            <w:tcW w:w="2304" w:type="dxa"/>
            <w:noWrap/>
            <w:hideMark/>
          </w:tcPr>
          <w:p w14:paraId="596E6BCC"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11,922</w:t>
            </w:r>
          </w:p>
        </w:tc>
        <w:tc>
          <w:tcPr>
            <w:tcW w:w="2304" w:type="dxa"/>
          </w:tcPr>
          <w:p w14:paraId="7C2A5E0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−0.057</w:t>
            </w:r>
          </w:p>
        </w:tc>
        <w:tc>
          <w:tcPr>
            <w:tcW w:w="2304" w:type="dxa"/>
          </w:tcPr>
          <w:p w14:paraId="00671CFA" w14:textId="404B178F"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_Ref530667840 \f \h </w:instrText>
            </w:r>
            <w:r w:rsidR="00F70F17" w:rsidRPr="00BA2FE5">
              <w:instrText xml:space="preserve"> \* MERGEFORMAT </w:instrText>
            </w:r>
            <w:r w:rsidR="003670EC" w:rsidRPr="00BA2FE5">
              <w:fldChar w:fldCharType="separate"/>
            </w:r>
            <w:r w:rsidRPr="00BA2FE5">
              <w:rPr>
                <w:bCs/>
              </w:rPr>
              <w:t>17</w:t>
            </w:r>
            <w:r w:rsidR="003670EC" w:rsidRPr="00BA2FE5">
              <w:fldChar w:fldCharType="end"/>
            </w:r>
            <w:r w:rsidR="003670EC" w:rsidRPr="00BA2FE5">
              <w:t>,</w:t>
            </w:r>
            <w:r w:rsidR="003670EC" w:rsidRPr="00BA2FE5">
              <w:fldChar w:fldCharType="begin"/>
            </w:r>
            <w:r w:rsidR="003670EC" w:rsidRPr="00BA2FE5">
              <w:instrText xml:space="preserve"> NOTEREF _Ref516669794 \f \h </w:instrText>
            </w:r>
            <w:r w:rsidR="00F70F17" w:rsidRPr="00BA2FE5">
              <w:instrText xml:space="preserve"> \* MERGEFORMAT </w:instrText>
            </w:r>
            <w:r w:rsidR="003670EC" w:rsidRPr="00BA2FE5">
              <w:fldChar w:fldCharType="separate"/>
            </w:r>
            <w:r w:rsidRPr="00BA2FE5">
              <w:rPr>
                <w:rStyle w:val="EndnoteReference"/>
                <w:vertAlign w:val="baseline"/>
              </w:rPr>
              <w:t>18</w:t>
            </w:r>
            <w:r w:rsidR="003670EC" w:rsidRPr="00BA2FE5">
              <w:fldChar w:fldCharType="end"/>
            </w:r>
            <w:r>
              <w:t>]</w:t>
            </w:r>
          </w:p>
        </w:tc>
      </w:tr>
      <w:tr w:rsidR="003670EC" w:rsidRPr="008D3CCE" w14:paraId="7C077FFD"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40DE4DED" w14:textId="77777777" w:rsidR="003670EC" w:rsidRPr="008D3CCE" w:rsidRDefault="003670EC" w:rsidP="001A1442">
            <w:pPr>
              <w:pStyle w:val="Tabletext"/>
            </w:pPr>
            <w:r>
              <w:t>Severe hypoglycemic event (nocturnal)</w:t>
            </w:r>
          </w:p>
        </w:tc>
        <w:tc>
          <w:tcPr>
            <w:tcW w:w="2304" w:type="dxa"/>
            <w:noWrap/>
          </w:tcPr>
          <w:p w14:paraId="2B604370"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11,922</w:t>
            </w:r>
          </w:p>
        </w:tc>
        <w:tc>
          <w:tcPr>
            <w:tcW w:w="2304" w:type="dxa"/>
          </w:tcPr>
          <w:p w14:paraId="2707F08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−0.062</w:t>
            </w:r>
          </w:p>
        </w:tc>
        <w:tc>
          <w:tcPr>
            <w:tcW w:w="2304" w:type="dxa"/>
          </w:tcPr>
          <w:p w14:paraId="76A3913B" w14:textId="1FD13FCD"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_Ref530667840 \f \h </w:instrText>
            </w:r>
            <w:r w:rsidR="00F70F17" w:rsidRPr="00BA2FE5">
              <w:instrText xml:space="preserve"> \* MERGEFORMAT </w:instrText>
            </w:r>
            <w:r w:rsidR="003670EC" w:rsidRPr="00BA2FE5">
              <w:fldChar w:fldCharType="separate"/>
            </w:r>
            <w:r w:rsidRPr="00BA2FE5">
              <w:rPr>
                <w:bCs/>
              </w:rPr>
              <w:t>17</w:t>
            </w:r>
            <w:r w:rsidR="003670EC" w:rsidRPr="00BA2FE5">
              <w:fldChar w:fldCharType="end"/>
            </w:r>
            <w:r w:rsidR="003670EC" w:rsidRPr="00BA2FE5">
              <w:t>,</w:t>
            </w:r>
            <w:r w:rsidR="003670EC" w:rsidRPr="00BA2FE5">
              <w:fldChar w:fldCharType="begin"/>
            </w:r>
            <w:r w:rsidR="003670EC" w:rsidRPr="00BA2FE5">
              <w:instrText xml:space="preserve"> NOTEREF _Ref516669794 \f \h </w:instrText>
            </w:r>
            <w:r w:rsidR="00F70F17" w:rsidRPr="00BA2FE5">
              <w:instrText xml:space="preserve"> \* MERGEFORMAT </w:instrText>
            </w:r>
            <w:r w:rsidR="003670EC" w:rsidRPr="00BA2FE5">
              <w:fldChar w:fldCharType="separate"/>
            </w:r>
            <w:r w:rsidRPr="00BA2FE5">
              <w:rPr>
                <w:rStyle w:val="EndnoteReference"/>
                <w:vertAlign w:val="baseline"/>
              </w:rPr>
              <w:t>18</w:t>
            </w:r>
            <w:r w:rsidR="003670EC" w:rsidRPr="00BA2FE5">
              <w:fldChar w:fldCharType="end"/>
            </w:r>
            <w:r>
              <w:t>]</w:t>
            </w:r>
          </w:p>
        </w:tc>
      </w:tr>
      <w:tr w:rsidR="003670EC" w:rsidRPr="008D3CCE" w14:paraId="40AC6748"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46C5FAFB" w14:textId="77777777" w:rsidR="003670EC" w:rsidRPr="008D3CCE" w:rsidRDefault="003670EC" w:rsidP="001A1442">
            <w:pPr>
              <w:pStyle w:val="Tabletext"/>
            </w:pPr>
            <w:r w:rsidRPr="008D3CCE">
              <w:t>Ketoacidosis event</w:t>
            </w:r>
          </w:p>
        </w:tc>
        <w:tc>
          <w:tcPr>
            <w:tcW w:w="2304" w:type="dxa"/>
            <w:noWrap/>
          </w:tcPr>
          <w:p w14:paraId="343A4294"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28,305</w:t>
            </w:r>
          </w:p>
        </w:tc>
        <w:tc>
          <w:tcPr>
            <w:tcW w:w="2304" w:type="dxa"/>
          </w:tcPr>
          <w:p w14:paraId="3A1907F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D53BDFC" w14:textId="4E40843E"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p>
        </w:tc>
      </w:tr>
      <w:tr w:rsidR="003670EC" w:rsidRPr="008D3CCE" w14:paraId="6F723D52"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3102FD04" w14:textId="77777777" w:rsidR="003670EC" w:rsidRPr="008D3CCE" w:rsidRDefault="003670EC" w:rsidP="001A1442">
            <w:pPr>
              <w:pStyle w:val="Tabletext"/>
            </w:pPr>
            <w:r w:rsidRPr="008D3CCE">
              <w:t>Lactic acid event</w:t>
            </w:r>
          </w:p>
        </w:tc>
        <w:tc>
          <w:tcPr>
            <w:tcW w:w="2304" w:type="dxa"/>
            <w:noWrap/>
          </w:tcPr>
          <w:p w14:paraId="5AB13D5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28,305</w:t>
            </w:r>
          </w:p>
        </w:tc>
        <w:tc>
          <w:tcPr>
            <w:tcW w:w="2304" w:type="dxa"/>
          </w:tcPr>
          <w:p w14:paraId="5C8B5054"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7958DEA" w14:textId="6FA1D2C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p>
        </w:tc>
      </w:tr>
      <w:tr w:rsidR="003670EC" w:rsidRPr="008D3CCE" w14:paraId="0141FD80"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0CA76189" w14:textId="77777777" w:rsidR="003670EC" w:rsidRPr="008D3CCE" w:rsidRDefault="003670EC" w:rsidP="001A1442">
            <w:pPr>
              <w:pStyle w:val="Tabletext"/>
            </w:pPr>
            <w:r w:rsidRPr="008D3CCE">
              <w:t>Laser treatment</w:t>
            </w:r>
          </w:p>
        </w:tc>
        <w:tc>
          <w:tcPr>
            <w:tcW w:w="2304" w:type="dxa"/>
            <w:noWrap/>
            <w:hideMark/>
          </w:tcPr>
          <w:p w14:paraId="0C558A3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2,055</w:t>
            </w:r>
          </w:p>
        </w:tc>
        <w:tc>
          <w:tcPr>
            <w:tcW w:w="2304" w:type="dxa"/>
          </w:tcPr>
          <w:p w14:paraId="48A4BB85"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72BABF18" w14:textId="6F92AAC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p>
        </w:tc>
      </w:tr>
      <w:tr w:rsidR="003670EC" w:rsidRPr="008D3CCE" w14:paraId="7B5444CB"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BA6BBB0" w14:textId="77777777" w:rsidR="003670EC" w:rsidRPr="008D3CCE" w:rsidRDefault="003670EC" w:rsidP="001A1442">
            <w:pPr>
              <w:pStyle w:val="Tabletext"/>
            </w:pPr>
            <w:r w:rsidRPr="008D3CCE">
              <w:t>Neuropathy (year of event)</w:t>
            </w:r>
          </w:p>
        </w:tc>
        <w:tc>
          <w:tcPr>
            <w:tcW w:w="2304" w:type="dxa"/>
            <w:noWrap/>
            <w:hideMark/>
          </w:tcPr>
          <w:p w14:paraId="267B44E1"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27,704</w:t>
            </w:r>
          </w:p>
        </w:tc>
        <w:tc>
          <w:tcPr>
            <w:tcW w:w="2304" w:type="dxa"/>
          </w:tcPr>
          <w:p w14:paraId="620E26E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0.701</w:t>
            </w:r>
          </w:p>
        </w:tc>
        <w:tc>
          <w:tcPr>
            <w:tcW w:w="2304" w:type="dxa"/>
          </w:tcPr>
          <w:p w14:paraId="53F86555" w14:textId="2E021DA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rsidR="003670EC" w:rsidRPr="00BA2FE5">
              <w:t>,</w:t>
            </w:r>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t>]</w:t>
            </w:r>
          </w:p>
        </w:tc>
      </w:tr>
      <w:tr w:rsidR="003670EC" w:rsidRPr="008D3CCE" w14:paraId="501C0317"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AE0148F" w14:textId="77777777" w:rsidR="003670EC" w:rsidRPr="008D3CCE" w:rsidRDefault="003670EC" w:rsidP="001A1442">
            <w:pPr>
              <w:pStyle w:val="Tabletext"/>
            </w:pPr>
            <w:r w:rsidRPr="008D3CCE">
              <w:t>Neuropathy (years 2+)</w:t>
            </w:r>
          </w:p>
        </w:tc>
        <w:tc>
          <w:tcPr>
            <w:tcW w:w="2304" w:type="dxa"/>
            <w:noWrap/>
            <w:hideMark/>
          </w:tcPr>
          <w:p w14:paraId="318192AF"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197</w:t>
            </w:r>
          </w:p>
        </w:tc>
        <w:tc>
          <w:tcPr>
            <w:tcW w:w="2304" w:type="dxa"/>
          </w:tcPr>
          <w:p w14:paraId="52E50A3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0.701</w:t>
            </w:r>
          </w:p>
        </w:tc>
        <w:tc>
          <w:tcPr>
            <w:tcW w:w="2304" w:type="dxa"/>
          </w:tcPr>
          <w:p w14:paraId="37C65E4A" w14:textId="62D1EFA1"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_Ref516668500 \f \h </w:instrText>
            </w:r>
            <w:r w:rsidR="00F70F17" w:rsidRPr="00BA2FE5">
              <w:instrText xml:space="preserve"> \* MERGEFORMAT </w:instrText>
            </w:r>
            <w:r w:rsidR="003670EC" w:rsidRPr="00BA2FE5">
              <w:fldChar w:fldCharType="separate"/>
            </w:r>
            <w:r w:rsidRPr="00BA2FE5">
              <w:rPr>
                <w:bCs/>
              </w:rPr>
              <w:t>4</w:t>
            </w:r>
            <w:r w:rsidR="003670EC" w:rsidRPr="00BA2FE5">
              <w:fldChar w:fldCharType="end"/>
            </w:r>
            <w:r w:rsidR="003670EC" w:rsidRPr="00BA2FE5">
              <w:t>,</w:t>
            </w:r>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t>]</w:t>
            </w:r>
          </w:p>
        </w:tc>
      </w:tr>
      <w:tr w:rsidR="003670EC" w:rsidRPr="008D3CCE" w14:paraId="7A2260C9"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DAF6AC3" w14:textId="77777777" w:rsidR="003670EC" w:rsidRPr="008D3CCE" w:rsidRDefault="003670EC" w:rsidP="001A1442">
            <w:pPr>
              <w:pStyle w:val="Tabletext"/>
            </w:pPr>
            <w:r w:rsidRPr="008D3CCE">
              <w:t>Amputation (event based)</w:t>
            </w:r>
          </w:p>
        </w:tc>
        <w:tc>
          <w:tcPr>
            <w:tcW w:w="2304" w:type="dxa"/>
            <w:noWrap/>
            <w:hideMark/>
          </w:tcPr>
          <w:p w14:paraId="2D9F99C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75,620</w:t>
            </w:r>
          </w:p>
        </w:tc>
        <w:tc>
          <w:tcPr>
            <w:tcW w:w="2304" w:type="dxa"/>
          </w:tcPr>
          <w:p w14:paraId="5EDB2016"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−0.280</w:t>
            </w:r>
          </w:p>
        </w:tc>
        <w:tc>
          <w:tcPr>
            <w:tcW w:w="2304" w:type="dxa"/>
          </w:tcPr>
          <w:p w14:paraId="176AE00F" w14:textId="6E38AF36"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rsidR="003670EC" w:rsidRPr="00BA2FE5">
              <w:t>,</w:t>
            </w:r>
            <w:r w:rsidRPr="00BA2FE5">
              <w:fldChar w:fldCharType="begin"/>
            </w:r>
            <w:r w:rsidRPr="00BA2FE5">
              <w:instrText xml:space="preserve"> NOTEREF _Ref861580 \h </w:instrText>
            </w:r>
            <w:r>
              <w:instrText xml:space="preserve"> \* MERGEFORMAT </w:instrText>
            </w:r>
            <w:r w:rsidRPr="00BA2FE5">
              <w:fldChar w:fldCharType="separate"/>
            </w:r>
            <w:r>
              <w:t>5</w:t>
            </w:r>
            <w:r w:rsidRPr="00BA2FE5">
              <w:fldChar w:fldCharType="end"/>
            </w:r>
            <w:r>
              <w:t>]</w:t>
            </w:r>
          </w:p>
        </w:tc>
      </w:tr>
      <w:tr w:rsidR="003670EC" w:rsidRPr="008D3CCE" w14:paraId="03517050"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13E7E7D9" w14:textId="77777777" w:rsidR="003670EC" w:rsidRPr="008D3CCE" w:rsidRDefault="003670EC" w:rsidP="001A1442">
            <w:pPr>
              <w:pStyle w:val="Tabletext"/>
            </w:pPr>
            <w:r>
              <w:t>Post-amputation</w:t>
            </w:r>
          </w:p>
        </w:tc>
        <w:tc>
          <w:tcPr>
            <w:tcW w:w="2304" w:type="dxa"/>
            <w:noWrap/>
          </w:tcPr>
          <w:p w14:paraId="42B627CE"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121D79C"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0.505</w:t>
            </w:r>
          </w:p>
        </w:tc>
        <w:tc>
          <w:tcPr>
            <w:tcW w:w="2304" w:type="dxa"/>
          </w:tcPr>
          <w:p w14:paraId="6A596A57" w14:textId="0337029E"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t>]</w:t>
            </w:r>
          </w:p>
        </w:tc>
      </w:tr>
      <w:tr w:rsidR="003670EC" w:rsidRPr="008D3CCE" w14:paraId="5C0F7969"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64E6555" w14:textId="77777777" w:rsidR="003670EC" w:rsidRPr="008D3CCE" w:rsidRDefault="003670EC" w:rsidP="001A1442">
            <w:pPr>
              <w:pStyle w:val="Tabletext"/>
            </w:pPr>
            <w:r w:rsidRPr="008D3CCE">
              <w:t>Prosthesis (event based)</w:t>
            </w:r>
          </w:p>
        </w:tc>
        <w:tc>
          <w:tcPr>
            <w:tcW w:w="2304" w:type="dxa"/>
            <w:noWrap/>
            <w:hideMark/>
          </w:tcPr>
          <w:p w14:paraId="6892578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15,676</w:t>
            </w:r>
          </w:p>
        </w:tc>
        <w:tc>
          <w:tcPr>
            <w:tcW w:w="2304" w:type="dxa"/>
          </w:tcPr>
          <w:p w14:paraId="5134CB3B"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71657391" w14:textId="7B72D606"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bookmarkStart w:id="24" w:name="_Ref516672176"/>
            <w:r>
              <w:t>[</w:t>
            </w:r>
            <w:bookmarkStart w:id="25" w:name="_Ref861903"/>
            <w:r w:rsidR="003670EC" w:rsidRPr="00BA2FE5">
              <w:rPr>
                <w:rStyle w:val="EndnoteReference"/>
                <w:vertAlign w:val="baseline"/>
              </w:rPr>
              <w:endnoteReference w:id="20"/>
            </w:r>
            <w:bookmarkEnd w:id="24"/>
            <w:bookmarkEnd w:id="25"/>
            <w:r>
              <w:t>]</w:t>
            </w:r>
          </w:p>
        </w:tc>
      </w:tr>
      <w:tr w:rsidR="003670EC" w:rsidRPr="008D3CCE" w14:paraId="7B24949D"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8B1952C" w14:textId="77777777" w:rsidR="003670EC" w:rsidRPr="008D3CCE" w:rsidRDefault="003670EC" w:rsidP="001A1442">
            <w:pPr>
              <w:pStyle w:val="Tabletext"/>
            </w:pPr>
            <w:r w:rsidRPr="008D3CCE">
              <w:t>Gangrene treatment</w:t>
            </w:r>
          </w:p>
        </w:tc>
        <w:tc>
          <w:tcPr>
            <w:tcW w:w="2304" w:type="dxa"/>
            <w:noWrap/>
            <w:hideMark/>
          </w:tcPr>
          <w:p w14:paraId="2FB4A5A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20,221</w:t>
            </w:r>
          </w:p>
        </w:tc>
        <w:tc>
          <w:tcPr>
            <w:tcW w:w="2304" w:type="dxa"/>
          </w:tcPr>
          <w:p w14:paraId="4042F9D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4786E19" w14:textId="3D24E86E"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fldChar w:fldCharType="begin"/>
            </w:r>
            <w:r>
              <w:instrText xml:space="preserve"> NOTEREF _Ref861903 \h </w:instrText>
            </w:r>
            <w:r>
              <w:fldChar w:fldCharType="separate"/>
            </w:r>
            <w:r>
              <w:t>19</w:t>
            </w:r>
            <w:r>
              <w:fldChar w:fldCharType="end"/>
            </w:r>
            <w:r>
              <w:t>]</w:t>
            </w:r>
          </w:p>
        </w:tc>
      </w:tr>
      <w:tr w:rsidR="003670EC" w:rsidRPr="008D3CCE" w14:paraId="4C8BD286"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45663B94" w14:textId="77777777" w:rsidR="003670EC" w:rsidRPr="008D3CCE" w:rsidRDefault="003670EC" w:rsidP="001A1442">
            <w:pPr>
              <w:pStyle w:val="Tabletext"/>
            </w:pPr>
            <w:r>
              <w:t>H</w:t>
            </w:r>
            <w:r w:rsidRPr="008D3CCE">
              <w:t>ealed ulcer</w:t>
            </w:r>
          </w:p>
        </w:tc>
        <w:tc>
          <w:tcPr>
            <w:tcW w:w="2304" w:type="dxa"/>
            <w:noWrap/>
            <w:hideMark/>
          </w:tcPr>
          <w:p w14:paraId="7E087002"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0</w:t>
            </w:r>
          </w:p>
        </w:tc>
        <w:tc>
          <w:tcPr>
            <w:tcW w:w="2304" w:type="dxa"/>
          </w:tcPr>
          <w:p w14:paraId="24BDF55D"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0.785</w:t>
            </w:r>
          </w:p>
        </w:tc>
        <w:tc>
          <w:tcPr>
            <w:tcW w:w="2304" w:type="dxa"/>
          </w:tcPr>
          <w:p w14:paraId="267AB559" w14:textId="0F64DB72"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_Ref500840858 \f \h </w:instrText>
            </w:r>
            <w:r w:rsidR="00F70F17" w:rsidRPr="00BA2FE5">
              <w:instrText xml:space="preserve"> \* MERGEFORMAT </w:instrText>
            </w:r>
            <w:r w:rsidR="003670EC" w:rsidRPr="00BA2FE5">
              <w:fldChar w:fldCharType="separate"/>
            </w:r>
            <w:r w:rsidRPr="00BA2FE5">
              <w:rPr>
                <w:rStyle w:val="EndnoteReference"/>
                <w:vertAlign w:val="baseline"/>
              </w:rPr>
              <w:t>3</w:t>
            </w:r>
            <w:r w:rsidR="003670EC" w:rsidRPr="00BA2FE5">
              <w:fldChar w:fldCharType="end"/>
            </w:r>
            <w:r>
              <w:t>]</w:t>
            </w:r>
          </w:p>
        </w:tc>
      </w:tr>
      <w:tr w:rsidR="003670EC" w:rsidRPr="008D3CCE" w14:paraId="6C8DA601"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2B184B8D" w14:textId="77777777" w:rsidR="003670EC" w:rsidRPr="008D3CCE" w:rsidRDefault="003670EC" w:rsidP="001A1442">
            <w:pPr>
              <w:pStyle w:val="Tabletext"/>
            </w:pPr>
            <w:r w:rsidRPr="008D3CCE">
              <w:t>Infected ulcer</w:t>
            </w:r>
          </w:p>
        </w:tc>
        <w:tc>
          <w:tcPr>
            <w:tcW w:w="2304" w:type="dxa"/>
            <w:noWrap/>
            <w:hideMark/>
          </w:tcPr>
          <w:p w14:paraId="5E173723"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13,524</w:t>
            </w:r>
          </w:p>
        </w:tc>
        <w:tc>
          <w:tcPr>
            <w:tcW w:w="2304" w:type="dxa"/>
          </w:tcPr>
          <w:p w14:paraId="3BAB2E87"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0.615</w:t>
            </w:r>
          </w:p>
        </w:tc>
        <w:tc>
          <w:tcPr>
            <w:tcW w:w="2304" w:type="dxa"/>
          </w:tcPr>
          <w:p w14:paraId="3124D1B4" w14:textId="3E683B12" w:rsidR="00BA2FE5" w:rsidRPr="00BA2FE5" w:rsidRDefault="00BA2FE5" w:rsidP="00BA2FE5">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rsidR="003670EC" w:rsidRPr="00BA2FE5">
              <w:t>,</w:t>
            </w:r>
            <w:r>
              <w:fldChar w:fldCharType="begin"/>
            </w:r>
            <w:r>
              <w:instrText xml:space="preserve"> NOTEREF _Ref861903 \h </w:instrText>
            </w:r>
            <w:r>
              <w:fldChar w:fldCharType="separate"/>
            </w:r>
            <w:r>
              <w:t>19</w:t>
            </w:r>
            <w:r>
              <w:fldChar w:fldCharType="end"/>
            </w:r>
            <w:r>
              <w:t>]</w:t>
            </w:r>
            <w:r w:rsidRPr="00BA2FE5">
              <w:t xml:space="preserve"> </w:t>
            </w:r>
          </w:p>
        </w:tc>
      </w:tr>
      <w:tr w:rsidR="003670EC" w:rsidRPr="008D3CCE" w14:paraId="1D0CC660"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126565F" w14:textId="77777777" w:rsidR="003670EC" w:rsidRPr="008D3CCE" w:rsidRDefault="003670EC" w:rsidP="001A1442">
            <w:pPr>
              <w:pStyle w:val="Tabletext"/>
            </w:pPr>
            <w:r w:rsidRPr="008D3CCE">
              <w:t>Standard uninfected ulcer</w:t>
            </w:r>
          </w:p>
        </w:tc>
        <w:tc>
          <w:tcPr>
            <w:tcW w:w="2304" w:type="dxa"/>
            <w:noWrap/>
            <w:hideMark/>
          </w:tcPr>
          <w:p w14:paraId="06CC447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11,768</w:t>
            </w:r>
          </w:p>
        </w:tc>
        <w:tc>
          <w:tcPr>
            <w:tcW w:w="2304" w:type="dxa"/>
          </w:tcPr>
          <w:p w14:paraId="656B6DC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0.615</w:t>
            </w:r>
          </w:p>
        </w:tc>
        <w:tc>
          <w:tcPr>
            <w:tcW w:w="2304" w:type="dxa"/>
          </w:tcPr>
          <w:p w14:paraId="655F88B7" w14:textId="51DEE1AC"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rsidR="003670EC" w:rsidRPr="00BA2FE5">
              <w:t>,</w:t>
            </w:r>
            <w:r>
              <w:fldChar w:fldCharType="begin"/>
            </w:r>
            <w:r>
              <w:instrText xml:space="preserve"> NOTEREF _Ref861903 \h </w:instrText>
            </w:r>
            <w:r>
              <w:fldChar w:fldCharType="separate"/>
            </w:r>
            <w:r>
              <w:t>19</w:t>
            </w:r>
            <w:r>
              <w:fldChar w:fldCharType="end"/>
            </w:r>
            <w:r>
              <w:t>]</w:t>
            </w:r>
            <w:r w:rsidRPr="00BA2FE5">
              <w:t xml:space="preserve"> </w:t>
            </w:r>
          </w:p>
        </w:tc>
      </w:tr>
      <w:tr w:rsidR="003670EC" w:rsidRPr="008D3CCE" w14:paraId="281653D5"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hideMark/>
          </w:tcPr>
          <w:p w14:paraId="0E2307F3" w14:textId="77777777" w:rsidR="003670EC" w:rsidRPr="008D3CCE" w:rsidRDefault="003670EC" w:rsidP="001A1442">
            <w:pPr>
              <w:pStyle w:val="Tabletext"/>
            </w:pPr>
            <w:r w:rsidRPr="008D3CCE">
              <w:t>Healed ulcer (history of amputation)</w:t>
            </w:r>
          </w:p>
        </w:tc>
        <w:tc>
          <w:tcPr>
            <w:tcW w:w="2304" w:type="dxa"/>
            <w:noWrap/>
            <w:hideMark/>
          </w:tcPr>
          <w:p w14:paraId="70F4BC28"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8D3CCE">
              <w:t>0</w:t>
            </w:r>
          </w:p>
        </w:tc>
        <w:tc>
          <w:tcPr>
            <w:tcW w:w="2304" w:type="dxa"/>
          </w:tcPr>
          <w:p w14:paraId="77E34449"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64BFAB2A" w14:textId="77777777" w:rsidR="003670EC" w:rsidRPr="00BA2FE5"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A2FE5">
              <w:t>Assumed</w:t>
            </w:r>
          </w:p>
        </w:tc>
      </w:tr>
      <w:tr w:rsidR="003670EC" w:rsidRPr="008D3CCE" w14:paraId="4822B3E4" w14:textId="77777777" w:rsidTr="001A1442">
        <w:trPr>
          <w:cantSplit/>
          <w:trHeight w:val="39"/>
        </w:trPr>
        <w:tc>
          <w:tcPr>
            <w:cnfStyle w:val="001000000000" w:firstRow="0" w:lastRow="0" w:firstColumn="1" w:lastColumn="0" w:oddVBand="0" w:evenVBand="0" w:oddHBand="0" w:evenHBand="0" w:firstRowFirstColumn="0" w:firstRowLastColumn="0" w:lastRowFirstColumn="0" w:lastRowLastColumn="0"/>
            <w:tcW w:w="2304" w:type="dxa"/>
            <w:noWrap/>
          </w:tcPr>
          <w:p w14:paraId="7B9AE998" w14:textId="77777777" w:rsidR="003670EC" w:rsidRPr="00E02B7A" w:rsidRDefault="003670EC" w:rsidP="001A1442">
            <w:pPr>
              <w:pStyle w:val="Tabletext"/>
              <w:rPr>
                <w:vertAlign w:val="superscript"/>
              </w:rPr>
            </w:pPr>
            <w:r>
              <w:t>Each unit of BMI over 25 kg/m</w:t>
            </w:r>
            <w:r>
              <w:rPr>
                <w:vertAlign w:val="superscript"/>
              </w:rPr>
              <w:t>2</w:t>
            </w:r>
          </w:p>
        </w:tc>
        <w:tc>
          <w:tcPr>
            <w:tcW w:w="2304" w:type="dxa"/>
            <w:noWrap/>
          </w:tcPr>
          <w:p w14:paraId="0100568C" w14:textId="77777777" w:rsidR="003670EC" w:rsidRPr="008D3CCE"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p>
        </w:tc>
        <w:tc>
          <w:tcPr>
            <w:tcW w:w="2304" w:type="dxa"/>
          </w:tcPr>
          <w:p w14:paraId="0504E2C0" w14:textId="77777777" w:rsidR="003670EC"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−0.0061</w:t>
            </w:r>
          </w:p>
        </w:tc>
        <w:tc>
          <w:tcPr>
            <w:tcW w:w="2304" w:type="dxa"/>
          </w:tcPr>
          <w:p w14:paraId="277B8179" w14:textId="68981854" w:rsidR="003670EC" w:rsidRPr="00BA2FE5" w:rsidRDefault="00BA2FE5" w:rsidP="001A1442">
            <w:pPr>
              <w:pStyle w:val="Tabletext"/>
              <w:cnfStyle w:val="000000000000" w:firstRow="0" w:lastRow="0" w:firstColumn="0" w:lastColumn="0" w:oddVBand="0" w:evenVBand="0" w:oddHBand="0" w:evenHBand="0" w:firstRowFirstColumn="0" w:firstRowLastColumn="0" w:lastRowFirstColumn="0" w:lastRowLastColumn="0"/>
            </w:pPr>
            <w:r>
              <w:t>[</w:t>
            </w:r>
            <w:bookmarkStart w:id="26" w:name="_GoBack"/>
            <w:bookmarkEnd w:id="26"/>
            <w:r w:rsidR="003670EC" w:rsidRPr="00BA2FE5">
              <w:fldChar w:fldCharType="begin"/>
            </w:r>
            <w:r w:rsidR="003670EC" w:rsidRPr="00BA2FE5">
              <w:instrText xml:space="preserve"> NOTEREF _Ref500840915 \f \h </w:instrText>
            </w:r>
            <w:r w:rsidR="00F70F17" w:rsidRPr="00BA2FE5">
              <w:instrText xml:space="preserve"> \* MERGEFORMAT </w:instrText>
            </w:r>
            <w:r w:rsidR="003670EC" w:rsidRPr="00BA2FE5">
              <w:fldChar w:fldCharType="separate"/>
            </w:r>
            <w:r w:rsidRPr="00BA2FE5">
              <w:rPr>
                <w:rStyle w:val="EndnoteReference"/>
                <w:vertAlign w:val="baseline"/>
              </w:rPr>
              <w:t>8</w:t>
            </w:r>
            <w:r w:rsidR="003670EC" w:rsidRPr="00BA2FE5">
              <w:fldChar w:fldCharType="end"/>
            </w:r>
            <w:r>
              <w:t>]</w:t>
            </w:r>
          </w:p>
        </w:tc>
      </w:tr>
    </w:tbl>
    <w:bookmarkEnd w:id="9"/>
    <w:p w14:paraId="765BFD77" w14:textId="77777777" w:rsidR="003670EC" w:rsidRDefault="003670EC" w:rsidP="003670EC">
      <w:pPr>
        <w:pStyle w:val="Footnote"/>
      </w:pPr>
      <w:r w:rsidRPr="008D3CCE">
        <w:t>BMI, body mass index</w:t>
      </w:r>
      <w:r>
        <w:t>; DKK, 2017 Danish kroner.</w:t>
      </w:r>
    </w:p>
    <w:p w14:paraId="4217B943" w14:textId="77777777" w:rsidR="003670EC" w:rsidRDefault="003670EC" w:rsidP="003670EC">
      <w:pPr>
        <w:pStyle w:val="Text"/>
      </w:pPr>
    </w:p>
    <w:p w14:paraId="06A99E5C" w14:textId="77777777" w:rsidR="003670EC" w:rsidRDefault="003670EC" w:rsidP="003670EC">
      <w:pPr>
        <w:pStyle w:val="Caption"/>
        <w:sectPr w:rsidR="003670EC" w:rsidSect="00250B7F">
          <w:headerReference w:type="default" r:id="rId8"/>
          <w:footerReference w:type="default" r:id="rId9"/>
          <w:footerReference w:type="first" r:id="rId10"/>
          <w:endnotePr>
            <w:numFmt w:val="decimal"/>
          </w:endnotePr>
          <w:pgSz w:w="11907" w:h="16839" w:code="9"/>
          <w:pgMar w:top="1440" w:right="1440" w:bottom="1440" w:left="1440" w:header="709" w:footer="709" w:gutter="0"/>
          <w:cols w:space="708"/>
          <w:docGrid w:linePitch="360"/>
        </w:sectPr>
      </w:pPr>
      <w:bookmarkStart w:id="27" w:name="_Ref531179165"/>
      <w:bookmarkStart w:id="28" w:name="_Ref536112954"/>
    </w:p>
    <w:p w14:paraId="48ED3A50" w14:textId="1CF3BD8E" w:rsidR="003670EC" w:rsidRPr="004A058D" w:rsidRDefault="003670EC" w:rsidP="003670EC">
      <w:pPr>
        <w:pStyle w:val="Caption"/>
      </w:pPr>
      <w:r w:rsidRPr="004A058D">
        <w:t xml:space="preserve">Table </w:t>
      </w:r>
      <w:r>
        <w:t>S</w:t>
      </w:r>
      <w:r>
        <w:rPr>
          <w:noProof/>
        </w:rPr>
        <w:fldChar w:fldCharType="begin"/>
      </w:r>
      <w:r>
        <w:rPr>
          <w:noProof/>
        </w:rPr>
        <w:instrText xml:space="preserve"> SEQ Table \* ARABIC </w:instrText>
      </w:r>
      <w:r>
        <w:rPr>
          <w:noProof/>
        </w:rPr>
        <w:fldChar w:fldCharType="separate"/>
      </w:r>
      <w:r w:rsidR="00BA2FE5">
        <w:rPr>
          <w:noProof/>
        </w:rPr>
        <w:t>6</w:t>
      </w:r>
      <w:r>
        <w:rPr>
          <w:noProof/>
        </w:rPr>
        <w:fldChar w:fldCharType="end"/>
      </w:r>
      <w:bookmarkEnd w:id="27"/>
      <w:bookmarkEnd w:id="28"/>
      <w:r w:rsidRPr="004A058D">
        <w:tab/>
      </w:r>
      <w:r>
        <w:t>Sen</w:t>
      </w:r>
      <w:r w:rsidRPr="004A058D">
        <w:t>sitivity analys</w:t>
      </w:r>
      <w:r>
        <w:t>e</w:t>
      </w:r>
      <w:r w:rsidRPr="004A058D">
        <w:t>s results</w:t>
      </w:r>
      <w:r>
        <w:t xml:space="preserve"> for semaglutide 0.5 mg versus dulaglutide 1.5 mg based on SUSTAIN 7</w:t>
      </w:r>
    </w:p>
    <w:tbl>
      <w:tblPr>
        <w:tblStyle w:val="OssianReportTable"/>
        <w:tblW w:w="13965" w:type="dxa"/>
        <w:tblLayout w:type="fixed"/>
        <w:tblLook w:val="04A0" w:firstRow="1" w:lastRow="0" w:firstColumn="1" w:lastColumn="0" w:noHBand="0" w:noVBand="1"/>
      </w:tblPr>
      <w:tblGrid>
        <w:gridCol w:w="3348"/>
        <w:gridCol w:w="1530"/>
        <w:gridCol w:w="1529"/>
        <w:gridCol w:w="1529"/>
        <w:gridCol w:w="1529"/>
        <w:gridCol w:w="1529"/>
        <w:gridCol w:w="1529"/>
        <w:gridCol w:w="1442"/>
      </w:tblGrid>
      <w:tr w:rsidR="003670EC" w14:paraId="5316F220" w14:textId="77777777" w:rsidTr="001A1442">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348" w:type="dxa"/>
            <w:vMerge w:val="restart"/>
            <w:tcBorders>
              <w:top w:val="single" w:sz="6" w:space="0" w:color="auto"/>
              <w:left w:val="nil"/>
              <w:right w:val="nil"/>
            </w:tcBorders>
            <w:hideMark/>
          </w:tcPr>
          <w:p w14:paraId="4FE2E18F" w14:textId="77777777" w:rsidR="003670EC" w:rsidRDefault="003670EC" w:rsidP="001A1442">
            <w:pPr>
              <w:pStyle w:val="Tabletext"/>
              <w:keepLines w:val="0"/>
              <w:jc w:val="left"/>
            </w:pPr>
            <w:r>
              <w:t>Analysis</w:t>
            </w:r>
          </w:p>
        </w:tc>
        <w:tc>
          <w:tcPr>
            <w:tcW w:w="4588" w:type="dxa"/>
            <w:gridSpan w:val="3"/>
            <w:tcBorders>
              <w:top w:val="single" w:sz="6" w:space="0" w:color="auto"/>
              <w:left w:val="nil"/>
              <w:right w:val="nil"/>
            </w:tcBorders>
            <w:hideMark/>
          </w:tcPr>
          <w:p w14:paraId="4DF40443"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pPr>
            <w:r>
              <w:t>Discounted quality-adjusted life expectancy (QALYs)</w:t>
            </w:r>
          </w:p>
        </w:tc>
        <w:tc>
          <w:tcPr>
            <w:tcW w:w="4587" w:type="dxa"/>
            <w:gridSpan w:val="3"/>
            <w:tcBorders>
              <w:top w:val="single" w:sz="6" w:space="0" w:color="auto"/>
              <w:left w:val="nil"/>
              <w:right w:val="nil"/>
            </w:tcBorders>
            <w:hideMark/>
          </w:tcPr>
          <w:p w14:paraId="25546BF6"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t>Discounted direct costs (DKK)</w:t>
            </w:r>
          </w:p>
        </w:tc>
        <w:tc>
          <w:tcPr>
            <w:tcW w:w="1442" w:type="dxa"/>
            <w:vMerge w:val="restart"/>
            <w:tcBorders>
              <w:top w:val="single" w:sz="6" w:space="0" w:color="auto"/>
              <w:left w:val="nil"/>
              <w:right w:val="nil"/>
            </w:tcBorders>
            <w:hideMark/>
          </w:tcPr>
          <w:p w14:paraId="32BE8C3E"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pPr>
            <w:r>
              <w:t>ICER (DKK per QALY gained)</w:t>
            </w:r>
          </w:p>
        </w:tc>
      </w:tr>
      <w:tr w:rsidR="003670EC" w14:paraId="4A33B780" w14:textId="77777777" w:rsidTr="001A1442">
        <w:trPr>
          <w:cnfStyle w:val="100000000000" w:firstRow="1" w:lastRow="0" w:firstColumn="0" w:lastColumn="0" w:oddVBand="0" w:evenVBand="0" w:oddHBand="0" w:evenHBand="0" w:firstRowFirstColumn="0" w:firstRowLastColumn="0" w:lastRowFirstColumn="0" w:lastRowLastColumn="0"/>
          <w:cantSplit/>
          <w:trHeight w:val="642"/>
          <w:tblHeader/>
        </w:trPr>
        <w:tc>
          <w:tcPr>
            <w:cnfStyle w:val="001000000000" w:firstRow="0" w:lastRow="0" w:firstColumn="1" w:lastColumn="0" w:oddVBand="0" w:evenVBand="0" w:oddHBand="0" w:evenHBand="0" w:firstRowFirstColumn="0" w:firstRowLastColumn="0" w:lastRowFirstColumn="0" w:lastRowLastColumn="0"/>
            <w:tcW w:w="3348" w:type="dxa"/>
            <w:vMerge/>
            <w:tcBorders>
              <w:top w:val="single" w:sz="6" w:space="0" w:color="auto"/>
              <w:left w:val="nil"/>
              <w:right w:val="nil"/>
            </w:tcBorders>
            <w:hideMark/>
          </w:tcPr>
          <w:p w14:paraId="32539A08" w14:textId="77777777" w:rsidR="003670EC" w:rsidRDefault="003670EC" w:rsidP="001A1442">
            <w:pPr>
              <w:spacing w:before="0" w:after="0" w:line="240" w:lineRule="auto"/>
              <w:rPr>
                <w:rFonts w:eastAsia="Times New Roman"/>
                <w:szCs w:val="18"/>
                <w:lang w:val="en-US"/>
              </w:rPr>
            </w:pPr>
          </w:p>
        </w:tc>
        <w:tc>
          <w:tcPr>
            <w:tcW w:w="1530" w:type="dxa"/>
            <w:tcBorders>
              <w:top w:val="single" w:sz="4" w:space="0" w:color="auto"/>
              <w:left w:val="nil"/>
              <w:right w:val="nil"/>
            </w:tcBorders>
            <w:hideMark/>
          </w:tcPr>
          <w:p w14:paraId="4C48E7AB"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Semaglutide 0.5 mg</w:t>
            </w:r>
          </w:p>
        </w:tc>
        <w:tc>
          <w:tcPr>
            <w:tcW w:w="1529" w:type="dxa"/>
            <w:tcBorders>
              <w:top w:val="single" w:sz="4" w:space="0" w:color="auto"/>
              <w:left w:val="nil"/>
              <w:right w:val="nil"/>
            </w:tcBorders>
            <w:hideMark/>
          </w:tcPr>
          <w:p w14:paraId="23EC5EE5"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Dulaglutide 1.5 mg</w:t>
            </w:r>
          </w:p>
        </w:tc>
        <w:tc>
          <w:tcPr>
            <w:tcW w:w="1529" w:type="dxa"/>
            <w:tcBorders>
              <w:top w:val="single" w:sz="4" w:space="0" w:color="auto"/>
              <w:left w:val="nil"/>
              <w:right w:val="nil"/>
            </w:tcBorders>
            <w:hideMark/>
          </w:tcPr>
          <w:p w14:paraId="3E012D84"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Difference</w:t>
            </w:r>
          </w:p>
        </w:tc>
        <w:tc>
          <w:tcPr>
            <w:tcW w:w="1529" w:type="dxa"/>
            <w:tcBorders>
              <w:top w:val="single" w:sz="4" w:space="0" w:color="auto"/>
              <w:left w:val="nil"/>
              <w:right w:val="nil"/>
            </w:tcBorders>
            <w:hideMark/>
          </w:tcPr>
          <w:p w14:paraId="4E3BEEE1"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Semaglutide 0.5 mg</w:t>
            </w:r>
          </w:p>
        </w:tc>
        <w:tc>
          <w:tcPr>
            <w:tcW w:w="1529" w:type="dxa"/>
            <w:tcBorders>
              <w:top w:val="single" w:sz="4" w:space="0" w:color="auto"/>
              <w:left w:val="nil"/>
              <w:right w:val="nil"/>
            </w:tcBorders>
            <w:hideMark/>
          </w:tcPr>
          <w:p w14:paraId="6C4803FA"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Dulaglutide 1.5 mg</w:t>
            </w:r>
          </w:p>
        </w:tc>
        <w:tc>
          <w:tcPr>
            <w:tcW w:w="1529" w:type="dxa"/>
            <w:tcBorders>
              <w:top w:val="single" w:sz="4" w:space="0" w:color="auto"/>
              <w:left w:val="nil"/>
              <w:right w:val="nil"/>
            </w:tcBorders>
            <w:hideMark/>
          </w:tcPr>
          <w:p w14:paraId="21CD90A6" w14:textId="77777777" w:rsidR="003670EC" w:rsidRDefault="003670EC" w:rsidP="001A1442">
            <w:pPr>
              <w:pStyle w:val="Tabletext"/>
              <w:keepLines w:val="0"/>
              <w:cnfStyle w:val="100000000000" w:firstRow="1" w:lastRow="0" w:firstColumn="0" w:lastColumn="0" w:oddVBand="0" w:evenVBand="0" w:oddHBand="0" w:evenHBand="0" w:firstRowFirstColumn="0" w:firstRowLastColumn="0" w:lastRowFirstColumn="0" w:lastRowLastColumn="0"/>
              <w:rPr>
                <w:b w:val="0"/>
              </w:rPr>
            </w:pPr>
            <w:r>
              <w:rPr>
                <w:b w:val="0"/>
              </w:rPr>
              <w:t>Difference</w:t>
            </w:r>
          </w:p>
        </w:tc>
        <w:tc>
          <w:tcPr>
            <w:tcW w:w="1442" w:type="dxa"/>
            <w:vMerge/>
            <w:tcBorders>
              <w:top w:val="single" w:sz="6" w:space="0" w:color="auto"/>
              <w:left w:val="nil"/>
              <w:right w:val="nil"/>
            </w:tcBorders>
            <w:hideMark/>
          </w:tcPr>
          <w:p w14:paraId="6632E979" w14:textId="77777777" w:rsidR="003670EC" w:rsidRDefault="003670EC" w:rsidP="001A1442">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szCs w:val="18"/>
                <w:lang w:val="en-US"/>
              </w:rPr>
            </w:pPr>
          </w:p>
        </w:tc>
      </w:tr>
      <w:tr w:rsidR="003670EC" w14:paraId="73044C89"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3D137C99" w14:textId="77777777" w:rsidR="003670EC" w:rsidRDefault="003670EC" w:rsidP="001A1442">
            <w:pPr>
              <w:pStyle w:val="Tabletext"/>
              <w:keepLines w:val="0"/>
              <w:rPr>
                <w:szCs w:val="20"/>
              </w:rPr>
            </w:pPr>
            <w:r>
              <w:rPr>
                <w:szCs w:val="20"/>
              </w:rPr>
              <w:t>Base case</w:t>
            </w:r>
          </w:p>
        </w:tc>
        <w:tc>
          <w:tcPr>
            <w:tcW w:w="1530" w:type="dxa"/>
            <w:tcBorders>
              <w:top w:val="nil"/>
              <w:left w:val="nil"/>
              <w:bottom w:val="nil"/>
              <w:right w:val="nil"/>
            </w:tcBorders>
            <w:hideMark/>
          </w:tcPr>
          <w:p w14:paraId="2F9FBDE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9.19</w:t>
            </w:r>
          </w:p>
        </w:tc>
        <w:tc>
          <w:tcPr>
            <w:tcW w:w="1529" w:type="dxa"/>
            <w:tcBorders>
              <w:top w:val="nil"/>
              <w:left w:val="nil"/>
              <w:bottom w:val="nil"/>
              <w:right w:val="nil"/>
            </w:tcBorders>
            <w:hideMark/>
          </w:tcPr>
          <w:p w14:paraId="1E45AD0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hideMark/>
          </w:tcPr>
          <w:p w14:paraId="720B920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hideMark/>
          </w:tcPr>
          <w:p w14:paraId="40EED28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415,200</w:t>
            </w:r>
          </w:p>
        </w:tc>
        <w:tc>
          <w:tcPr>
            <w:tcW w:w="1529" w:type="dxa"/>
            <w:tcBorders>
              <w:top w:val="nil"/>
              <w:left w:val="nil"/>
              <w:bottom w:val="nil"/>
              <w:right w:val="nil"/>
            </w:tcBorders>
            <w:hideMark/>
          </w:tcPr>
          <w:p w14:paraId="250EEB0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415,489</w:t>
            </w:r>
          </w:p>
        </w:tc>
        <w:tc>
          <w:tcPr>
            <w:tcW w:w="1529" w:type="dxa"/>
            <w:tcBorders>
              <w:top w:val="nil"/>
              <w:left w:val="nil"/>
              <w:bottom w:val="nil"/>
              <w:right w:val="nil"/>
            </w:tcBorders>
            <w:hideMark/>
          </w:tcPr>
          <w:p w14:paraId="485BDDB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289</w:t>
            </w:r>
          </w:p>
        </w:tc>
        <w:tc>
          <w:tcPr>
            <w:tcW w:w="1442" w:type="dxa"/>
            <w:tcBorders>
              <w:top w:val="nil"/>
              <w:left w:val="nil"/>
              <w:bottom w:val="nil"/>
              <w:right w:val="nil"/>
            </w:tcBorders>
            <w:hideMark/>
          </w:tcPr>
          <w:p w14:paraId="07556B5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0587FD36"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06F912BE" w14:textId="77777777" w:rsidR="003670EC" w:rsidRDefault="003670EC" w:rsidP="001A1442">
            <w:pPr>
              <w:pStyle w:val="Tabletext"/>
              <w:keepLines w:val="0"/>
              <w:rPr>
                <w:bCs/>
                <w:szCs w:val="20"/>
              </w:rPr>
            </w:pPr>
            <w:r>
              <w:rPr>
                <w:bCs/>
                <w:szCs w:val="20"/>
              </w:rPr>
              <w:t>20-year time horizon</w:t>
            </w:r>
          </w:p>
        </w:tc>
        <w:tc>
          <w:tcPr>
            <w:tcW w:w="1530" w:type="dxa"/>
            <w:tcBorders>
              <w:top w:val="nil"/>
              <w:left w:val="nil"/>
              <w:bottom w:val="nil"/>
              <w:right w:val="nil"/>
            </w:tcBorders>
            <w:hideMark/>
          </w:tcPr>
          <w:p w14:paraId="1C50B6F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7.98</w:t>
            </w:r>
          </w:p>
        </w:tc>
        <w:tc>
          <w:tcPr>
            <w:tcW w:w="1529" w:type="dxa"/>
            <w:tcBorders>
              <w:top w:val="nil"/>
              <w:left w:val="nil"/>
              <w:bottom w:val="nil"/>
              <w:right w:val="nil"/>
            </w:tcBorders>
            <w:hideMark/>
          </w:tcPr>
          <w:p w14:paraId="5F875D6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7.88</w:t>
            </w:r>
          </w:p>
        </w:tc>
        <w:tc>
          <w:tcPr>
            <w:tcW w:w="1529" w:type="dxa"/>
            <w:tcBorders>
              <w:top w:val="nil"/>
              <w:left w:val="nil"/>
              <w:bottom w:val="nil"/>
              <w:right w:val="nil"/>
            </w:tcBorders>
            <w:hideMark/>
          </w:tcPr>
          <w:p w14:paraId="6716D2B7"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0.10</w:t>
            </w:r>
          </w:p>
        </w:tc>
        <w:tc>
          <w:tcPr>
            <w:tcW w:w="1529" w:type="dxa"/>
            <w:tcBorders>
              <w:top w:val="nil"/>
              <w:left w:val="nil"/>
              <w:bottom w:val="nil"/>
              <w:right w:val="nil"/>
            </w:tcBorders>
            <w:hideMark/>
          </w:tcPr>
          <w:p w14:paraId="719EAD50"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309,349</w:t>
            </w:r>
          </w:p>
        </w:tc>
        <w:tc>
          <w:tcPr>
            <w:tcW w:w="1529" w:type="dxa"/>
            <w:tcBorders>
              <w:top w:val="nil"/>
              <w:left w:val="nil"/>
              <w:bottom w:val="nil"/>
              <w:right w:val="nil"/>
            </w:tcBorders>
            <w:hideMark/>
          </w:tcPr>
          <w:p w14:paraId="6F6BD969"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306,919</w:t>
            </w:r>
          </w:p>
        </w:tc>
        <w:tc>
          <w:tcPr>
            <w:tcW w:w="1529" w:type="dxa"/>
            <w:tcBorders>
              <w:top w:val="nil"/>
              <w:left w:val="nil"/>
              <w:bottom w:val="nil"/>
              <w:right w:val="nil"/>
            </w:tcBorders>
            <w:hideMark/>
          </w:tcPr>
          <w:p w14:paraId="17807B0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2,429</w:t>
            </w:r>
          </w:p>
        </w:tc>
        <w:tc>
          <w:tcPr>
            <w:tcW w:w="1442" w:type="dxa"/>
            <w:tcBorders>
              <w:top w:val="nil"/>
              <w:left w:val="nil"/>
              <w:bottom w:val="nil"/>
              <w:right w:val="nil"/>
            </w:tcBorders>
            <w:hideMark/>
          </w:tcPr>
          <w:p w14:paraId="36FC3B9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24,490</w:t>
            </w:r>
          </w:p>
        </w:tc>
      </w:tr>
      <w:tr w:rsidR="003670EC" w14:paraId="567DC466"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4D09A7CE" w14:textId="77777777" w:rsidR="003670EC" w:rsidRDefault="003670EC" w:rsidP="001A1442">
            <w:pPr>
              <w:pStyle w:val="Tabletext"/>
              <w:keepLines w:val="0"/>
              <w:rPr>
                <w:bCs/>
                <w:szCs w:val="20"/>
              </w:rPr>
            </w:pPr>
            <w:r>
              <w:rPr>
                <w:bCs/>
                <w:szCs w:val="20"/>
              </w:rPr>
              <w:t>10-year time horizon</w:t>
            </w:r>
          </w:p>
        </w:tc>
        <w:tc>
          <w:tcPr>
            <w:tcW w:w="1530" w:type="dxa"/>
            <w:tcBorders>
              <w:top w:val="nil"/>
              <w:left w:val="nil"/>
              <w:bottom w:val="nil"/>
              <w:right w:val="nil"/>
            </w:tcBorders>
            <w:hideMark/>
          </w:tcPr>
          <w:p w14:paraId="0677639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5.36</w:t>
            </w:r>
          </w:p>
        </w:tc>
        <w:tc>
          <w:tcPr>
            <w:tcW w:w="1529" w:type="dxa"/>
            <w:tcBorders>
              <w:top w:val="nil"/>
              <w:left w:val="nil"/>
              <w:bottom w:val="nil"/>
              <w:right w:val="nil"/>
            </w:tcBorders>
            <w:hideMark/>
          </w:tcPr>
          <w:p w14:paraId="2D34D5A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5.28</w:t>
            </w:r>
          </w:p>
        </w:tc>
        <w:tc>
          <w:tcPr>
            <w:tcW w:w="1529" w:type="dxa"/>
            <w:tcBorders>
              <w:top w:val="nil"/>
              <w:left w:val="nil"/>
              <w:bottom w:val="nil"/>
              <w:right w:val="nil"/>
            </w:tcBorders>
            <w:hideMark/>
          </w:tcPr>
          <w:p w14:paraId="5EF51ED0"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0.08</w:t>
            </w:r>
          </w:p>
        </w:tc>
        <w:tc>
          <w:tcPr>
            <w:tcW w:w="1529" w:type="dxa"/>
            <w:tcBorders>
              <w:top w:val="nil"/>
              <w:left w:val="nil"/>
              <w:bottom w:val="nil"/>
              <w:right w:val="nil"/>
            </w:tcBorders>
            <w:hideMark/>
          </w:tcPr>
          <w:p w14:paraId="7CAC05C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168,732</w:t>
            </w:r>
          </w:p>
        </w:tc>
        <w:tc>
          <w:tcPr>
            <w:tcW w:w="1529" w:type="dxa"/>
            <w:tcBorders>
              <w:top w:val="nil"/>
              <w:left w:val="nil"/>
              <w:bottom w:val="nil"/>
              <w:right w:val="nil"/>
            </w:tcBorders>
            <w:hideMark/>
          </w:tcPr>
          <w:p w14:paraId="6E66729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167,743</w:t>
            </w:r>
          </w:p>
        </w:tc>
        <w:tc>
          <w:tcPr>
            <w:tcW w:w="1529" w:type="dxa"/>
            <w:tcBorders>
              <w:top w:val="nil"/>
              <w:left w:val="nil"/>
              <w:bottom w:val="nil"/>
              <w:right w:val="nil"/>
            </w:tcBorders>
            <w:hideMark/>
          </w:tcPr>
          <w:p w14:paraId="6B46056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989</w:t>
            </w:r>
          </w:p>
        </w:tc>
        <w:tc>
          <w:tcPr>
            <w:tcW w:w="1442" w:type="dxa"/>
            <w:tcBorders>
              <w:top w:val="nil"/>
              <w:left w:val="nil"/>
              <w:bottom w:val="nil"/>
              <w:right w:val="nil"/>
            </w:tcBorders>
            <w:hideMark/>
          </w:tcPr>
          <w:p w14:paraId="784A53C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12,793</w:t>
            </w:r>
          </w:p>
        </w:tc>
      </w:tr>
      <w:tr w:rsidR="003670EC" w14:paraId="28B4BD1A"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31E470AC" w14:textId="77777777" w:rsidR="003670EC" w:rsidRDefault="003670EC" w:rsidP="001A1442">
            <w:pPr>
              <w:pStyle w:val="Tabletext"/>
              <w:keepLines w:val="0"/>
              <w:rPr>
                <w:bCs/>
                <w:szCs w:val="20"/>
              </w:rPr>
            </w:pPr>
            <w:r>
              <w:rPr>
                <w:bCs/>
                <w:szCs w:val="20"/>
              </w:rPr>
              <w:t>Statistically significant differences only</w:t>
            </w:r>
          </w:p>
        </w:tc>
        <w:tc>
          <w:tcPr>
            <w:tcW w:w="1530" w:type="dxa"/>
            <w:tcBorders>
              <w:top w:val="nil"/>
              <w:left w:val="nil"/>
              <w:bottom w:val="nil"/>
              <w:right w:val="nil"/>
            </w:tcBorders>
            <w:hideMark/>
          </w:tcPr>
          <w:p w14:paraId="23C3346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9.09</w:t>
            </w:r>
          </w:p>
        </w:tc>
        <w:tc>
          <w:tcPr>
            <w:tcW w:w="1529" w:type="dxa"/>
            <w:tcBorders>
              <w:top w:val="nil"/>
              <w:left w:val="nil"/>
              <w:bottom w:val="nil"/>
              <w:right w:val="nil"/>
            </w:tcBorders>
            <w:hideMark/>
          </w:tcPr>
          <w:p w14:paraId="12BD221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hideMark/>
          </w:tcPr>
          <w:p w14:paraId="7CD09BD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0.01</w:t>
            </w:r>
          </w:p>
        </w:tc>
        <w:tc>
          <w:tcPr>
            <w:tcW w:w="1529" w:type="dxa"/>
            <w:tcBorders>
              <w:top w:val="nil"/>
              <w:left w:val="nil"/>
              <w:bottom w:val="nil"/>
              <w:right w:val="nil"/>
            </w:tcBorders>
            <w:hideMark/>
          </w:tcPr>
          <w:p w14:paraId="69F6C99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425,065</w:t>
            </w:r>
          </w:p>
        </w:tc>
        <w:tc>
          <w:tcPr>
            <w:tcW w:w="1529" w:type="dxa"/>
            <w:tcBorders>
              <w:top w:val="nil"/>
              <w:left w:val="nil"/>
              <w:bottom w:val="nil"/>
              <w:right w:val="nil"/>
            </w:tcBorders>
            <w:hideMark/>
          </w:tcPr>
          <w:p w14:paraId="3BA07AE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415,489</w:t>
            </w:r>
          </w:p>
        </w:tc>
        <w:tc>
          <w:tcPr>
            <w:tcW w:w="1529" w:type="dxa"/>
            <w:tcBorders>
              <w:top w:val="nil"/>
              <w:left w:val="nil"/>
              <w:bottom w:val="nil"/>
              <w:right w:val="nil"/>
            </w:tcBorders>
            <w:hideMark/>
          </w:tcPr>
          <w:p w14:paraId="1697A99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9,575</w:t>
            </w:r>
          </w:p>
        </w:tc>
        <w:tc>
          <w:tcPr>
            <w:tcW w:w="1442" w:type="dxa"/>
            <w:tcBorders>
              <w:top w:val="nil"/>
              <w:left w:val="nil"/>
              <w:bottom w:val="nil"/>
              <w:right w:val="nil"/>
            </w:tcBorders>
            <w:hideMark/>
          </w:tcPr>
          <w:p w14:paraId="5352C0A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683,944</w:t>
            </w:r>
          </w:p>
        </w:tc>
      </w:tr>
      <w:tr w:rsidR="003670EC" w14:paraId="005FBD49"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38C75567" w14:textId="77777777" w:rsidR="003670EC" w:rsidRDefault="003670EC" w:rsidP="001A1442">
            <w:pPr>
              <w:pStyle w:val="Tabletext"/>
              <w:keepLines w:val="0"/>
              <w:rPr>
                <w:bCs/>
                <w:szCs w:val="20"/>
              </w:rPr>
            </w:pPr>
            <w:r>
              <w:rPr>
                <w:bCs/>
                <w:szCs w:val="20"/>
              </w:rPr>
              <w:t>First treatment intensification at HbA1c ≥7.0% and second intensification at HbA1c ≥7.5%</w:t>
            </w:r>
          </w:p>
        </w:tc>
        <w:tc>
          <w:tcPr>
            <w:tcW w:w="1530" w:type="dxa"/>
            <w:tcBorders>
              <w:top w:val="nil"/>
              <w:left w:val="nil"/>
              <w:bottom w:val="nil"/>
              <w:right w:val="nil"/>
            </w:tcBorders>
            <w:hideMark/>
          </w:tcPr>
          <w:p w14:paraId="52242AC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8.99</w:t>
            </w:r>
          </w:p>
        </w:tc>
        <w:tc>
          <w:tcPr>
            <w:tcW w:w="1529" w:type="dxa"/>
            <w:tcBorders>
              <w:top w:val="nil"/>
              <w:left w:val="nil"/>
              <w:bottom w:val="nil"/>
              <w:right w:val="nil"/>
            </w:tcBorders>
            <w:hideMark/>
          </w:tcPr>
          <w:p w14:paraId="508A16B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8.88</w:t>
            </w:r>
          </w:p>
        </w:tc>
        <w:tc>
          <w:tcPr>
            <w:tcW w:w="1529" w:type="dxa"/>
            <w:tcBorders>
              <w:top w:val="nil"/>
              <w:left w:val="nil"/>
              <w:bottom w:val="nil"/>
              <w:right w:val="nil"/>
            </w:tcBorders>
            <w:hideMark/>
          </w:tcPr>
          <w:p w14:paraId="5C9759ED"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hideMark/>
          </w:tcPr>
          <w:p w14:paraId="3561D04F"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435,937</w:t>
            </w:r>
          </w:p>
        </w:tc>
        <w:tc>
          <w:tcPr>
            <w:tcW w:w="1529" w:type="dxa"/>
            <w:tcBorders>
              <w:top w:val="nil"/>
              <w:left w:val="nil"/>
              <w:bottom w:val="nil"/>
              <w:right w:val="nil"/>
            </w:tcBorders>
            <w:hideMark/>
          </w:tcPr>
          <w:p w14:paraId="0481402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438,257</w:t>
            </w:r>
          </w:p>
        </w:tc>
        <w:tc>
          <w:tcPr>
            <w:tcW w:w="1529" w:type="dxa"/>
            <w:tcBorders>
              <w:top w:val="nil"/>
              <w:left w:val="nil"/>
              <w:bottom w:val="nil"/>
              <w:right w:val="nil"/>
            </w:tcBorders>
            <w:hideMark/>
          </w:tcPr>
          <w:p w14:paraId="6D87607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2,320</w:t>
            </w:r>
          </w:p>
        </w:tc>
        <w:tc>
          <w:tcPr>
            <w:tcW w:w="1442" w:type="dxa"/>
            <w:tcBorders>
              <w:top w:val="nil"/>
              <w:left w:val="nil"/>
              <w:bottom w:val="nil"/>
              <w:right w:val="nil"/>
            </w:tcBorders>
            <w:hideMark/>
          </w:tcPr>
          <w:p w14:paraId="7D8C09C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5E47CFA7"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73ED5097" w14:textId="77777777" w:rsidR="003670EC" w:rsidRDefault="003670EC" w:rsidP="001A1442">
            <w:pPr>
              <w:pStyle w:val="Tabletext"/>
              <w:keepLines w:val="0"/>
              <w:rPr>
                <w:bCs/>
                <w:szCs w:val="20"/>
              </w:rPr>
            </w:pPr>
            <w:r>
              <w:rPr>
                <w:bCs/>
                <w:szCs w:val="20"/>
              </w:rPr>
              <w:t>First treatment intensification at HbA1c ≥8.0% and second intensification at HbA1c ≥8.5%</w:t>
            </w:r>
          </w:p>
        </w:tc>
        <w:tc>
          <w:tcPr>
            <w:tcW w:w="1530" w:type="dxa"/>
            <w:tcBorders>
              <w:top w:val="nil"/>
              <w:left w:val="nil"/>
              <w:bottom w:val="nil"/>
              <w:right w:val="nil"/>
            </w:tcBorders>
            <w:hideMark/>
          </w:tcPr>
          <w:p w14:paraId="72399E1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9.37</w:t>
            </w:r>
          </w:p>
        </w:tc>
        <w:tc>
          <w:tcPr>
            <w:tcW w:w="1529" w:type="dxa"/>
            <w:tcBorders>
              <w:top w:val="nil"/>
              <w:left w:val="nil"/>
              <w:bottom w:val="nil"/>
              <w:right w:val="nil"/>
            </w:tcBorders>
            <w:hideMark/>
          </w:tcPr>
          <w:p w14:paraId="27732D3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9.24</w:t>
            </w:r>
          </w:p>
        </w:tc>
        <w:tc>
          <w:tcPr>
            <w:tcW w:w="1529" w:type="dxa"/>
            <w:tcBorders>
              <w:top w:val="nil"/>
              <w:left w:val="nil"/>
              <w:bottom w:val="nil"/>
              <w:right w:val="nil"/>
            </w:tcBorders>
            <w:hideMark/>
          </w:tcPr>
          <w:p w14:paraId="089AE590"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0.13</w:t>
            </w:r>
          </w:p>
        </w:tc>
        <w:tc>
          <w:tcPr>
            <w:tcW w:w="1529" w:type="dxa"/>
            <w:tcBorders>
              <w:top w:val="nil"/>
              <w:left w:val="nil"/>
              <w:bottom w:val="nil"/>
              <w:right w:val="nil"/>
            </w:tcBorders>
            <w:hideMark/>
          </w:tcPr>
          <w:p w14:paraId="39657079"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397,062</w:t>
            </w:r>
          </w:p>
        </w:tc>
        <w:tc>
          <w:tcPr>
            <w:tcW w:w="1529" w:type="dxa"/>
            <w:tcBorders>
              <w:top w:val="nil"/>
              <w:left w:val="nil"/>
              <w:bottom w:val="nil"/>
              <w:right w:val="nil"/>
            </w:tcBorders>
            <w:hideMark/>
          </w:tcPr>
          <w:p w14:paraId="03989D6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390,248</w:t>
            </w:r>
          </w:p>
        </w:tc>
        <w:tc>
          <w:tcPr>
            <w:tcW w:w="1529" w:type="dxa"/>
            <w:tcBorders>
              <w:top w:val="nil"/>
              <w:left w:val="nil"/>
              <w:bottom w:val="nil"/>
              <w:right w:val="nil"/>
            </w:tcBorders>
            <w:hideMark/>
          </w:tcPr>
          <w:p w14:paraId="10DB9B9D"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6,814</w:t>
            </w:r>
          </w:p>
        </w:tc>
        <w:tc>
          <w:tcPr>
            <w:tcW w:w="1442" w:type="dxa"/>
            <w:tcBorders>
              <w:top w:val="nil"/>
              <w:left w:val="nil"/>
              <w:bottom w:val="nil"/>
              <w:right w:val="nil"/>
            </w:tcBorders>
            <w:hideMark/>
          </w:tcPr>
          <w:p w14:paraId="53EDA10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54,209</w:t>
            </w:r>
          </w:p>
        </w:tc>
      </w:tr>
      <w:tr w:rsidR="003670EC" w14:paraId="225B367F"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03F61D67" w14:textId="77777777" w:rsidR="003670EC" w:rsidRDefault="003670EC" w:rsidP="001A1442">
            <w:pPr>
              <w:pStyle w:val="Tabletext"/>
              <w:keepLines w:val="0"/>
              <w:rPr>
                <w:szCs w:val="20"/>
              </w:rPr>
            </w:pPr>
            <w:r>
              <w:rPr>
                <w:szCs w:val="20"/>
              </w:rPr>
              <w:t>Treatment intensification at 3 years</w:t>
            </w:r>
          </w:p>
        </w:tc>
        <w:tc>
          <w:tcPr>
            <w:tcW w:w="1530" w:type="dxa"/>
            <w:tcBorders>
              <w:top w:val="nil"/>
              <w:left w:val="nil"/>
              <w:bottom w:val="nil"/>
              <w:right w:val="nil"/>
            </w:tcBorders>
            <w:hideMark/>
          </w:tcPr>
          <w:p w14:paraId="13D2A2D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9.58</w:t>
            </w:r>
          </w:p>
        </w:tc>
        <w:tc>
          <w:tcPr>
            <w:tcW w:w="1529" w:type="dxa"/>
            <w:tcBorders>
              <w:top w:val="nil"/>
              <w:left w:val="nil"/>
              <w:bottom w:val="nil"/>
              <w:right w:val="nil"/>
            </w:tcBorders>
            <w:hideMark/>
          </w:tcPr>
          <w:p w14:paraId="12BD718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9.54</w:t>
            </w:r>
          </w:p>
        </w:tc>
        <w:tc>
          <w:tcPr>
            <w:tcW w:w="1529" w:type="dxa"/>
            <w:tcBorders>
              <w:top w:val="nil"/>
              <w:left w:val="nil"/>
              <w:bottom w:val="nil"/>
              <w:right w:val="nil"/>
            </w:tcBorders>
            <w:hideMark/>
          </w:tcPr>
          <w:p w14:paraId="08B887E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0.04</w:t>
            </w:r>
          </w:p>
        </w:tc>
        <w:tc>
          <w:tcPr>
            <w:tcW w:w="1529" w:type="dxa"/>
            <w:tcBorders>
              <w:top w:val="nil"/>
              <w:left w:val="nil"/>
              <w:bottom w:val="nil"/>
              <w:right w:val="nil"/>
            </w:tcBorders>
            <w:hideMark/>
          </w:tcPr>
          <w:p w14:paraId="2A42968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385,442</w:t>
            </w:r>
          </w:p>
        </w:tc>
        <w:tc>
          <w:tcPr>
            <w:tcW w:w="1529" w:type="dxa"/>
            <w:tcBorders>
              <w:top w:val="nil"/>
              <w:left w:val="nil"/>
              <w:bottom w:val="nil"/>
              <w:right w:val="nil"/>
            </w:tcBorders>
            <w:hideMark/>
          </w:tcPr>
          <w:p w14:paraId="5795FC0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382,932</w:t>
            </w:r>
          </w:p>
        </w:tc>
        <w:tc>
          <w:tcPr>
            <w:tcW w:w="1529" w:type="dxa"/>
            <w:tcBorders>
              <w:top w:val="nil"/>
              <w:left w:val="nil"/>
              <w:bottom w:val="nil"/>
              <w:right w:val="nil"/>
            </w:tcBorders>
            <w:hideMark/>
          </w:tcPr>
          <w:p w14:paraId="2FF1A45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2,511</w:t>
            </w:r>
          </w:p>
        </w:tc>
        <w:tc>
          <w:tcPr>
            <w:tcW w:w="1442" w:type="dxa"/>
            <w:tcBorders>
              <w:top w:val="nil"/>
              <w:left w:val="nil"/>
              <w:bottom w:val="nil"/>
              <w:right w:val="nil"/>
            </w:tcBorders>
            <w:hideMark/>
          </w:tcPr>
          <w:p w14:paraId="643A0EE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68,414</w:t>
            </w:r>
          </w:p>
        </w:tc>
      </w:tr>
      <w:tr w:rsidR="003670EC" w14:paraId="44E17B07"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204679E9" w14:textId="77777777" w:rsidR="003670EC" w:rsidRDefault="003670EC" w:rsidP="001A1442">
            <w:pPr>
              <w:pStyle w:val="Tabletext"/>
              <w:keepLines w:val="0"/>
              <w:rPr>
                <w:szCs w:val="20"/>
              </w:rPr>
            </w:pPr>
            <w:r>
              <w:rPr>
                <w:szCs w:val="20"/>
              </w:rPr>
              <w:t>Treatment intensification at 5 years</w:t>
            </w:r>
          </w:p>
        </w:tc>
        <w:tc>
          <w:tcPr>
            <w:tcW w:w="1530" w:type="dxa"/>
            <w:tcBorders>
              <w:top w:val="nil"/>
              <w:left w:val="nil"/>
              <w:bottom w:val="nil"/>
              <w:right w:val="nil"/>
            </w:tcBorders>
            <w:hideMark/>
          </w:tcPr>
          <w:p w14:paraId="4ABF95F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9.65</w:t>
            </w:r>
          </w:p>
        </w:tc>
        <w:tc>
          <w:tcPr>
            <w:tcW w:w="1529" w:type="dxa"/>
            <w:tcBorders>
              <w:top w:val="nil"/>
              <w:left w:val="nil"/>
              <w:bottom w:val="nil"/>
              <w:right w:val="nil"/>
            </w:tcBorders>
            <w:hideMark/>
          </w:tcPr>
          <w:p w14:paraId="32E9190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9.60</w:t>
            </w:r>
          </w:p>
        </w:tc>
        <w:tc>
          <w:tcPr>
            <w:tcW w:w="1529" w:type="dxa"/>
            <w:tcBorders>
              <w:top w:val="nil"/>
              <w:left w:val="nil"/>
              <w:bottom w:val="nil"/>
              <w:right w:val="nil"/>
            </w:tcBorders>
            <w:hideMark/>
          </w:tcPr>
          <w:p w14:paraId="3371AB0F"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0.05</w:t>
            </w:r>
          </w:p>
        </w:tc>
        <w:tc>
          <w:tcPr>
            <w:tcW w:w="1529" w:type="dxa"/>
            <w:tcBorders>
              <w:top w:val="nil"/>
              <w:left w:val="nil"/>
              <w:bottom w:val="nil"/>
              <w:right w:val="nil"/>
            </w:tcBorders>
            <w:hideMark/>
          </w:tcPr>
          <w:p w14:paraId="2ABC3AE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376,249</w:t>
            </w:r>
          </w:p>
        </w:tc>
        <w:tc>
          <w:tcPr>
            <w:tcW w:w="1529" w:type="dxa"/>
            <w:tcBorders>
              <w:top w:val="nil"/>
              <w:left w:val="nil"/>
              <w:bottom w:val="nil"/>
              <w:right w:val="nil"/>
            </w:tcBorders>
            <w:hideMark/>
          </w:tcPr>
          <w:p w14:paraId="122CDC0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371,568</w:t>
            </w:r>
          </w:p>
        </w:tc>
        <w:tc>
          <w:tcPr>
            <w:tcW w:w="1529" w:type="dxa"/>
            <w:tcBorders>
              <w:top w:val="nil"/>
              <w:left w:val="nil"/>
              <w:bottom w:val="nil"/>
              <w:right w:val="nil"/>
            </w:tcBorders>
            <w:hideMark/>
          </w:tcPr>
          <w:p w14:paraId="5E01DB2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4,681</w:t>
            </w:r>
          </w:p>
        </w:tc>
        <w:tc>
          <w:tcPr>
            <w:tcW w:w="1442" w:type="dxa"/>
            <w:tcBorders>
              <w:top w:val="nil"/>
              <w:left w:val="nil"/>
              <w:bottom w:val="nil"/>
              <w:right w:val="nil"/>
            </w:tcBorders>
            <w:hideMark/>
          </w:tcPr>
          <w:p w14:paraId="08411C2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96,326</w:t>
            </w:r>
          </w:p>
        </w:tc>
      </w:tr>
      <w:tr w:rsidR="003670EC" w14:paraId="63E91BD6"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tcPr>
          <w:p w14:paraId="19398F3E" w14:textId="77777777" w:rsidR="003670EC" w:rsidRPr="00E555AF" w:rsidRDefault="003670EC" w:rsidP="001A1442">
            <w:pPr>
              <w:pStyle w:val="Tabletext"/>
            </w:pPr>
            <w:r w:rsidRPr="00E555AF">
              <w:t xml:space="preserve">GLP-1 </w:t>
            </w:r>
            <w:r>
              <w:t>receptor agonist</w:t>
            </w:r>
            <w:r w:rsidRPr="00E555AF">
              <w:t xml:space="preserve"> treatment continued for patient lifetimes</w:t>
            </w:r>
          </w:p>
        </w:tc>
        <w:tc>
          <w:tcPr>
            <w:tcW w:w="1530" w:type="dxa"/>
            <w:tcBorders>
              <w:top w:val="nil"/>
              <w:left w:val="nil"/>
              <w:bottom w:val="nil"/>
              <w:right w:val="nil"/>
            </w:tcBorders>
          </w:tcPr>
          <w:p w14:paraId="5038ECE1"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E555AF">
              <w:t>9.21</w:t>
            </w:r>
          </w:p>
        </w:tc>
        <w:tc>
          <w:tcPr>
            <w:tcW w:w="1529" w:type="dxa"/>
            <w:tcBorders>
              <w:top w:val="nil"/>
              <w:left w:val="nil"/>
              <w:bottom w:val="nil"/>
              <w:right w:val="nil"/>
            </w:tcBorders>
          </w:tcPr>
          <w:p w14:paraId="32E445C9"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E555AF">
              <w:t>9.08</w:t>
            </w:r>
          </w:p>
        </w:tc>
        <w:tc>
          <w:tcPr>
            <w:tcW w:w="1529" w:type="dxa"/>
            <w:tcBorders>
              <w:top w:val="nil"/>
              <w:left w:val="nil"/>
              <w:bottom w:val="nil"/>
              <w:right w:val="nil"/>
            </w:tcBorders>
          </w:tcPr>
          <w:p w14:paraId="7A5605E2"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E555AF">
              <w:t>0.13</w:t>
            </w:r>
          </w:p>
        </w:tc>
        <w:tc>
          <w:tcPr>
            <w:tcW w:w="1529" w:type="dxa"/>
            <w:tcBorders>
              <w:top w:val="nil"/>
              <w:left w:val="nil"/>
              <w:bottom w:val="nil"/>
              <w:right w:val="nil"/>
            </w:tcBorders>
          </w:tcPr>
          <w:p w14:paraId="512CB573"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E555AF">
              <w:t>503,549</w:t>
            </w:r>
          </w:p>
        </w:tc>
        <w:tc>
          <w:tcPr>
            <w:tcW w:w="1529" w:type="dxa"/>
            <w:tcBorders>
              <w:top w:val="nil"/>
              <w:left w:val="nil"/>
              <w:bottom w:val="nil"/>
              <w:right w:val="nil"/>
            </w:tcBorders>
          </w:tcPr>
          <w:p w14:paraId="3B39CA7B"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E555AF">
              <w:t>502,717</w:t>
            </w:r>
          </w:p>
        </w:tc>
        <w:tc>
          <w:tcPr>
            <w:tcW w:w="1529" w:type="dxa"/>
            <w:tcBorders>
              <w:top w:val="nil"/>
              <w:left w:val="nil"/>
              <w:bottom w:val="nil"/>
              <w:right w:val="nil"/>
            </w:tcBorders>
          </w:tcPr>
          <w:p w14:paraId="33199206"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E555AF">
              <w:t>831</w:t>
            </w:r>
          </w:p>
        </w:tc>
        <w:tc>
          <w:tcPr>
            <w:tcW w:w="1442" w:type="dxa"/>
            <w:tcBorders>
              <w:top w:val="nil"/>
              <w:left w:val="nil"/>
              <w:bottom w:val="nil"/>
              <w:right w:val="nil"/>
            </w:tcBorders>
          </w:tcPr>
          <w:p w14:paraId="7703B2A3" w14:textId="77777777" w:rsidR="003670EC" w:rsidRPr="00E555AF"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E555AF">
              <w:t>6,264</w:t>
            </w:r>
          </w:p>
        </w:tc>
      </w:tr>
      <w:tr w:rsidR="003670EC" w14:paraId="7B2F3440"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00DDCE11" w14:textId="77777777" w:rsidR="003670EC" w:rsidRDefault="003670EC" w:rsidP="001A1442">
            <w:pPr>
              <w:pStyle w:val="Tabletext"/>
              <w:keepLines w:val="0"/>
              <w:rPr>
                <w:szCs w:val="20"/>
              </w:rPr>
            </w:pPr>
            <w:r>
              <w:rPr>
                <w:szCs w:val="20"/>
              </w:rPr>
              <w:t>Cost of complications +25%</w:t>
            </w:r>
          </w:p>
        </w:tc>
        <w:tc>
          <w:tcPr>
            <w:tcW w:w="1530" w:type="dxa"/>
            <w:tcBorders>
              <w:top w:val="nil"/>
              <w:left w:val="nil"/>
              <w:bottom w:val="nil"/>
              <w:right w:val="nil"/>
            </w:tcBorders>
            <w:hideMark/>
          </w:tcPr>
          <w:p w14:paraId="5837162D"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9.19</w:t>
            </w:r>
          </w:p>
        </w:tc>
        <w:tc>
          <w:tcPr>
            <w:tcW w:w="1529" w:type="dxa"/>
            <w:tcBorders>
              <w:top w:val="nil"/>
              <w:left w:val="nil"/>
              <w:bottom w:val="nil"/>
              <w:right w:val="nil"/>
            </w:tcBorders>
            <w:hideMark/>
          </w:tcPr>
          <w:p w14:paraId="545A986F"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hideMark/>
          </w:tcPr>
          <w:p w14:paraId="3296C8B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hideMark/>
          </w:tcPr>
          <w:p w14:paraId="5D9E1D7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452,007</w:t>
            </w:r>
          </w:p>
        </w:tc>
        <w:tc>
          <w:tcPr>
            <w:tcW w:w="1529" w:type="dxa"/>
            <w:tcBorders>
              <w:top w:val="nil"/>
              <w:left w:val="nil"/>
              <w:bottom w:val="nil"/>
              <w:right w:val="nil"/>
            </w:tcBorders>
            <w:hideMark/>
          </w:tcPr>
          <w:p w14:paraId="15DE59E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454,138</w:t>
            </w:r>
          </w:p>
        </w:tc>
        <w:tc>
          <w:tcPr>
            <w:tcW w:w="1529" w:type="dxa"/>
            <w:tcBorders>
              <w:top w:val="nil"/>
              <w:left w:val="nil"/>
              <w:bottom w:val="nil"/>
              <w:right w:val="nil"/>
            </w:tcBorders>
            <w:hideMark/>
          </w:tcPr>
          <w:p w14:paraId="0E2B67FB"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2,131</w:t>
            </w:r>
          </w:p>
        </w:tc>
        <w:tc>
          <w:tcPr>
            <w:tcW w:w="1442" w:type="dxa"/>
            <w:tcBorders>
              <w:top w:val="nil"/>
              <w:left w:val="nil"/>
              <w:bottom w:val="nil"/>
              <w:right w:val="nil"/>
            </w:tcBorders>
            <w:hideMark/>
          </w:tcPr>
          <w:p w14:paraId="3240CE1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1D10F0F5"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5CF46AAB" w14:textId="77777777" w:rsidR="003670EC" w:rsidRDefault="003670EC" w:rsidP="001A1442">
            <w:pPr>
              <w:pStyle w:val="Tabletext"/>
              <w:rPr>
                <w:szCs w:val="20"/>
              </w:rPr>
            </w:pPr>
            <w:r>
              <w:rPr>
                <w:szCs w:val="20"/>
              </w:rPr>
              <w:t>Cost of complications −25%</w:t>
            </w:r>
          </w:p>
        </w:tc>
        <w:tc>
          <w:tcPr>
            <w:tcW w:w="1530" w:type="dxa"/>
            <w:tcBorders>
              <w:top w:val="nil"/>
              <w:left w:val="nil"/>
              <w:bottom w:val="nil"/>
              <w:right w:val="nil"/>
            </w:tcBorders>
            <w:hideMark/>
          </w:tcPr>
          <w:p w14:paraId="27ACFFD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9.19</w:t>
            </w:r>
          </w:p>
        </w:tc>
        <w:tc>
          <w:tcPr>
            <w:tcW w:w="1529" w:type="dxa"/>
            <w:tcBorders>
              <w:top w:val="nil"/>
              <w:left w:val="nil"/>
              <w:bottom w:val="nil"/>
              <w:right w:val="nil"/>
            </w:tcBorders>
            <w:hideMark/>
          </w:tcPr>
          <w:p w14:paraId="32E0575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hideMark/>
          </w:tcPr>
          <w:p w14:paraId="6382815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hideMark/>
          </w:tcPr>
          <w:p w14:paraId="20A8A1F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378,401</w:t>
            </w:r>
          </w:p>
        </w:tc>
        <w:tc>
          <w:tcPr>
            <w:tcW w:w="1529" w:type="dxa"/>
            <w:tcBorders>
              <w:top w:val="nil"/>
              <w:left w:val="nil"/>
              <w:bottom w:val="nil"/>
              <w:right w:val="nil"/>
            </w:tcBorders>
            <w:hideMark/>
          </w:tcPr>
          <w:p w14:paraId="0059BBB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376,849</w:t>
            </w:r>
          </w:p>
        </w:tc>
        <w:tc>
          <w:tcPr>
            <w:tcW w:w="1529" w:type="dxa"/>
            <w:tcBorders>
              <w:top w:val="nil"/>
              <w:left w:val="nil"/>
              <w:bottom w:val="nil"/>
              <w:right w:val="nil"/>
            </w:tcBorders>
            <w:hideMark/>
          </w:tcPr>
          <w:p w14:paraId="0D8376E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1,552</w:t>
            </w:r>
          </w:p>
        </w:tc>
        <w:tc>
          <w:tcPr>
            <w:tcW w:w="1442" w:type="dxa"/>
            <w:tcBorders>
              <w:top w:val="nil"/>
              <w:left w:val="nil"/>
              <w:bottom w:val="nil"/>
              <w:right w:val="nil"/>
            </w:tcBorders>
            <w:hideMark/>
          </w:tcPr>
          <w:p w14:paraId="07748B4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13,836</w:t>
            </w:r>
          </w:p>
        </w:tc>
      </w:tr>
      <w:tr w:rsidR="003670EC" w14:paraId="140B825B"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tcPr>
          <w:p w14:paraId="2DF8A6D3" w14:textId="77777777" w:rsidR="003670EC" w:rsidRDefault="003670EC" w:rsidP="001A1442">
            <w:pPr>
              <w:pStyle w:val="Tabletext"/>
              <w:rPr>
                <w:szCs w:val="20"/>
              </w:rPr>
            </w:pPr>
            <w:r>
              <w:rPr>
                <w:szCs w:val="20"/>
              </w:rPr>
              <w:lastRenderedPageBreak/>
              <w:t>All costs +25%</w:t>
            </w:r>
          </w:p>
        </w:tc>
        <w:tc>
          <w:tcPr>
            <w:tcW w:w="1530" w:type="dxa"/>
            <w:tcBorders>
              <w:top w:val="nil"/>
              <w:left w:val="nil"/>
              <w:bottom w:val="nil"/>
              <w:right w:val="nil"/>
            </w:tcBorders>
          </w:tcPr>
          <w:p w14:paraId="3724C51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9.19</w:t>
            </w:r>
          </w:p>
        </w:tc>
        <w:tc>
          <w:tcPr>
            <w:tcW w:w="1529" w:type="dxa"/>
            <w:tcBorders>
              <w:top w:val="nil"/>
              <w:left w:val="nil"/>
              <w:bottom w:val="nil"/>
              <w:right w:val="nil"/>
            </w:tcBorders>
          </w:tcPr>
          <w:p w14:paraId="18A903E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tcPr>
          <w:p w14:paraId="27078FE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tcPr>
          <w:p w14:paraId="6827983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515,747</w:t>
            </w:r>
          </w:p>
        </w:tc>
        <w:tc>
          <w:tcPr>
            <w:tcW w:w="1529" w:type="dxa"/>
            <w:tcBorders>
              <w:top w:val="nil"/>
              <w:left w:val="nil"/>
              <w:bottom w:val="nil"/>
              <w:right w:val="nil"/>
            </w:tcBorders>
          </w:tcPr>
          <w:p w14:paraId="5207118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516,115</w:t>
            </w:r>
          </w:p>
        </w:tc>
        <w:tc>
          <w:tcPr>
            <w:tcW w:w="1529" w:type="dxa"/>
            <w:tcBorders>
              <w:top w:val="nil"/>
              <w:left w:val="nil"/>
              <w:bottom w:val="nil"/>
              <w:right w:val="nil"/>
            </w:tcBorders>
          </w:tcPr>
          <w:p w14:paraId="7439486E"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367</w:t>
            </w:r>
          </w:p>
        </w:tc>
        <w:tc>
          <w:tcPr>
            <w:tcW w:w="1442" w:type="dxa"/>
            <w:tcBorders>
              <w:top w:val="nil"/>
              <w:left w:val="nil"/>
              <w:bottom w:val="nil"/>
              <w:right w:val="nil"/>
            </w:tcBorders>
          </w:tcPr>
          <w:p w14:paraId="549C879D"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3693770B"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tcPr>
          <w:p w14:paraId="18949B40" w14:textId="77777777" w:rsidR="003670EC" w:rsidRDefault="003670EC" w:rsidP="001A1442">
            <w:pPr>
              <w:pStyle w:val="Tabletext"/>
              <w:rPr>
                <w:szCs w:val="20"/>
              </w:rPr>
            </w:pPr>
            <w:r>
              <w:rPr>
                <w:szCs w:val="20"/>
              </w:rPr>
              <w:t>All costs −25%</w:t>
            </w:r>
          </w:p>
        </w:tc>
        <w:tc>
          <w:tcPr>
            <w:tcW w:w="1530" w:type="dxa"/>
            <w:tcBorders>
              <w:top w:val="nil"/>
              <w:left w:val="nil"/>
              <w:bottom w:val="nil"/>
              <w:right w:val="nil"/>
            </w:tcBorders>
          </w:tcPr>
          <w:p w14:paraId="1814B6F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9.19</w:t>
            </w:r>
          </w:p>
        </w:tc>
        <w:tc>
          <w:tcPr>
            <w:tcW w:w="1529" w:type="dxa"/>
            <w:tcBorders>
              <w:top w:val="nil"/>
              <w:left w:val="nil"/>
              <w:bottom w:val="nil"/>
              <w:right w:val="nil"/>
            </w:tcBorders>
          </w:tcPr>
          <w:p w14:paraId="6DBB53CD"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9.08</w:t>
            </w:r>
          </w:p>
        </w:tc>
        <w:tc>
          <w:tcPr>
            <w:tcW w:w="1529" w:type="dxa"/>
            <w:tcBorders>
              <w:top w:val="nil"/>
              <w:left w:val="nil"/>
              <w:bottom w:val="nil"/>
              <w:right w:val="nil"/>
            </w:tcBorders>
          </w:tcPr>
          <w:p w14:paraId="468AE34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0.11</w:t>
            </w:r>
          </w:p>
        </w:tc>
        <w:tc>
          <w:tcPr>
            <w:tcW w:w="1529" w:type="dxa"/>
            <w:tcBorders>
              <w:top w:val="nil"/>
              <w:left w:val="nil"/>
              <w:bottom w:val="nil"/>
              <w:right w:val="nil"/>
            </w:tcBorders>
          </w:tcPr>
          <w:p w14:paraId="593DBB6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314,661</w:t>
            </w:r>
          </w:p>
        </w:tc>
        <w:tc>
          <w:tcPr>
            <w:tcW w:w="1529" w:type="dxa"/>
            <w:tcBorders>
              <w:top w:val="nil"/>
              <w:left w:val="nil"/>
              <w:bottom w:val="nil"/>
              <w:right w:val="nil"/>
            </w:tcBorders>
          </w:tcPr>
          <w:p w14:paraId="304A9F5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314,872</w:t>
            </w:r>
          </w:p>
        </w:tc>
        <w:tc>
          <w:tcPr>
            <w:tcW w:w="1529" w:type="dxa"/>
            <w:tcBorders>
              <w:top w:val="nil"/>
              <w:left w:val="nil"/>
              <w:bottom w:val="nil"/>
              <w:right w:val="nil"/>
            </w:tcBorders>
          </w:tcPr>
          <w:p w14:paraId="39CF359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211</w:t>
            </w:r>
          </w:p>
        </w:tc>
        <w:tc>
          <w:tcPr>
            <w:tcW w:w="1442" w:type="dxa"/>
            <w:tcBorders>
              <w:top w:val="nil"/>
              <w:left w:val="nil"/>
              <w:bottom w:val="nil"/>
              <w:right w:val="nil"/>
            </w:tcBorders>
          </w:tcPr>
          <w:p w14:paraId="5D4837D9"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21445806"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524ABA76" w14:textId="77777777" w:rsidR="003670EC" w:rsidRDefault="003670EC" w:rsidP="001A1442">
            <w:pPr>
              <w:pStyle w:val="Tabletext"/>
              <w:keepLines w:val="0"/>
              <w:rPr>
                <w:szCs w:val="20"/>
              </w:rPr>
            </w:pPr>
            <w:r>
              <w:rPr>
                <w:szCs w:val="20"/>
              </w:rPr>
              <w:t xml:space="preserve">Lee </w:t>
            </w:r>
            <w:r>
              <w:rPr>
                <w:i/>
                <w:szCs w:val="20"/>
              </w:rPr>
              <w:t>et al.</w:t>
            </w:r>
            <w:r>
              <w:rPr>
                <w:szCs w:val="20"/>
              </w:rPr>
              <w:t xml:space="preserve"> BMI disutility applied</w:t>
            </w:r>
          </w:p>
        </w:tc>
        <w:tc>
          <w:tcPr>
            <w:tcW w:w="1530" w:type="dxa"/>
            <w:tcBorders>
              <w:top w:val="nil"/>
              <w:left w:val="nil"/>
              <w:bottom w:val="nil"/>
              <w:right w:val="nil"/>
            </w:tcBorders>
            <w:hideMark/>
          </w:tcPr>
          <w:p w14:paraId="17E01610"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8.70</w:t>
            </w:r>
          </w:p>
        </w:tc>
        <w:tc>
          <w:tcPr>
            <w:tcW w:w="1529" w:type="dxa"/>
            <w:tcBorders>
              <w:top w:val="nil"/>
              <w:left w:val="nil"/>
              <w:bottom w:val="nil"/>
              <w:right w:val="nil"/>
            </w:tcBorders>
            <w:hideMark/>
          </w:tcPr>
          <w:p w14:paraId="0ABB2B73"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8.57</w:t>
            </w:r>
          </w:p>
        </w:tc>
        <w:tc>
          <w:tcPr>
            <w:tcW w:w="1529" w:type="dxa"/>
            <w:tcBorders>
              <w:top w:val="nil"/>
              <w:left w:val="nil"/>
              <w:bottom w:val="nil"/>
              <w:right w:val="nil"/>
            </w:tcBorders>
            <w:hideMark/>
          </w:tcPr>
          <w:p w14:paraId="497E80C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0.14</w:t>
            </w:r>
          </w:p>
        </w:tc>
        <w:tc>
          <w:tcPr>
            <w:tcW w:w="1529" w:type="dxa"/>
            <w:tcBorders>
              <w:top w:val="nil"/>
              <w:left w:val="nil"/>
              <w:bottom w:val="nil"/>
              <w:right w:val="nil"/>
            </w:tcBorders>
            <w:hideMark/>
          </w:tcPr>
          <w:p w14:paraId="151EBC9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415,200</w:t>
            </w:r>
          </w:p>
        </w:tc>
        <w:tc>
          <w:tcPr>
            <w:tcW w:w="1529" w:type="dxa"/>
            <w:tcBorders>
              <w:top w:val="nil"/>
              <w:left w:val="nil"/>
              <w:bottom w:val="nil"/>
              <w:right w:val="nil"/>
            </w:tcBorders>
            <w:hideMark/>
          </w:tcPr>
          <w:p w14:paraId="5734C697"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415,489</w:t>
            </w:r>
          </w:p>
        </w:tc>
        <w:tc>
          <w:tcPr>
            <w:tcW w:w="1529" w:type="dxa"/>
            <w:tcBorders>
              <w:top w:val="nil"/>
              <w:left w:val="nil"/>
              <w:bottom w:val="nil"/>
              <w:right w:val="nil"/>
            </w:tcBorders>
            <w:hideMark/>
          </w:tcPr>
          <w:p w14:paraId="1EB36660"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289</w:t>
            </w:r>
          </w:p>
        </w:tc>
        <w:tc>
          <w:tcPr>
            <w:tcW w:w="1442" w:type="dxa"/>
            <w:tcBorders>
              <w:top w:val="nil"/>
              <w:left w:val="nil"/>
              <w:bottom w:val="nil"/>
              <w:right w:val="nil"/>
            </w:tcBorders>
            <w:hideMark/>
          </w:tcPr>
          <w:p w14:paraId="636B2A5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049D9AB6"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nil"/>
              <w:right w:val="nil"/>
            </w:tcBorders>
            <w:hideMark/>
          </w:tcPr>
          <w:p w14:paraId="55F1A0CA" w14:textId="77777777" w:rsidR="003670EC" w:rsidRPr="00A028DC" w:rsidRDefault="003670EC" w:rsidP="001A1442">
            <w:pPr>
              <w:pStyle w:val="Tabletext"/>
              <w:keepLines w:val="0"/>
              <w:rPr>
                <w:szCs w:val="20"/>
              </w:rPr>
            </w:pPr>
            <w:r>
              <w:rPr>
                <w:szCs w:val="20"/>
              </w:rPr>
              <w:t xml:space="preserve">Evans </w:t>
            </w:r>
            <w:r>
              <w:rPr>
                <w:i/>
                <w:szCs w:val="20"/>
              </w:rPr>
              <w:t>et al.</w:t>
            </w:r>
            <w:r>
              <w:rPr>
                <w:szCs w:val="20"/>
              </w:rPr>
              <w:t xml:space="preserve"> hypoglycemia disutilities applied</w:t>
            </w:r>
          </w:p>
        </w:tc>
        <w:tc>
          <w:tcPr>
            <w:tcW w:w="1530" w:type="dxa"/>
            <w:tcBorders>
              <w:top w:val="nil"/>
              <w:left w:val="nil"/>
              <w:bottom w:val="nil"/>
              <w:right w:val="nil"/>
            </w:tcBorders>
            <w:hideMark/>
          </w:tcPr>
          <w:p w14:paraId="31B2519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9.06</w:t>
            </w:r>
          </w:p>
        </w:tc>
        <w:tc>
          <w:tcPr>
            <w:tcW w:w="1529" w:type="dxa"/>
            <w:tcBorders>
              <w:top w:val="nil"/>
              <w:left w:val="nil"/>
              <w:bottom w:val="nil"/>
              <w:right w:val="nil"/>
            </w:tcBorders>
            <w:hideMark/>
          </w:tcPr>
          <w:p w14:paraId="20F07FB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8.94</w:t>
            </w:r>
          </w:p>
        </w:tc>
        <w:tc>
          <w:tcPr>
            <w:tcW w:w="1529" w:type="dxa"/>
            <w:tcBorders>
              <w:top w:val="nil"/>
              <w:left w:val="nil"/>
              <w:bottom w:val="nil"/>
              <w:right w:val="nil"/>
            </w:tcBorders>
            <w:hideMark/>
          </w:tcPr>
          <w:p w14:paraId="455F9CD7"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0.12</w:t>
            </w:r>
          </w:p>
        </w:tc>
        <w:tc>
          <w:tcPr>
            <w:tcW w:w="1529" w:type="dxa"/>
            <w:tcBorders>
              <w:top w:val="nil"/>
              <w:left w:val="nil"/>
              <w:bottom w:val="nil"/>
              <w:right w:val="nil"/>
            </w:tcBorders>
            <w:hideMark/>
          </w:tcPr>
          <w:p w14:paraId="0010C165"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415,200</w:t>
            </w:r>
          </w:p>
        </w:tc>
        <w:tc>
          <w:tcPr>
            <w:tcW w:w="1529" w:type="dxa"/>
            <w:tcBorders>
              <w:top w:val="nil"/>
              <w:left w:val="nil"/>
              <w:bottom w:val="nil"/>
              <w:right w:val="nil"/>
            </w:tcBorders>
            <w:hideMark/>
          </w:tcPr>
          <w:p w14:paraId="1DD7F8A4"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415,489</w:t>
            </w:r>
          </w:p>
        </w:tc>
        <w:tc>
          <w:tcPr>
            <w:tcW w:w="1529" w:type="dxa"/>
            <w:tcBorders>
              <w:top w:val="nil"/>
              <w:left w:val="nil"/>
              <w:bottom w:val="nil"/>
              <w:right w:val="nil"/>
            </w:tcBorders>
            <w:hideMark/>
          </w:tcPr>
          <w:p w14:paraId="016A60D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289</w:t>
            </w:r>
          </w:p>
        </w:tc>
        <w:tc>
          <w:tcPr>
            <w:tcW w:w="1442" w:type="dxa"/>
            <w:tcBorders>
              <w:top w:val="nil"/>
              <w:left w:val="nil"/>
              <w:bottom w:val="nil"/>
              <w:right w:val="nil"/>
            </w:tcBorders>
            <w:hideMark/>
          </w:tcPr>
          <w:p w14:paraId="6912784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r w:rsidR="003670EC" w14:paraId="417FF82D" w14:textId="77777777" w:rsidTr="001A1442">
        <w:trPr>
          <w:cantSplit/>
          <w:trHeight w:val="20"/>
        </w:trPr>
        <w:tc>
          <w:tcPr>
            <w:cnfStyle w:val="001000000000" w:firstRow="0" w:lastRow="0" w:firstColumn="1" w:lastColumn="0" w:oddVBand="0" w:evenVBand="0" w:oddHBand="0" w:evenHBand="0" w:firstRowFirstColumn="0" w:firstRowLastColumn="0" w:lastRowFirstColumn="0" w:lastRowLastColumn="0"/>
            <w:tcW w:w="3348" w:type="dxa"/>
            <w:tcBorders>
              <w:top w:val="nil"/>
              <w:left w:val="nil"/>
              <w:bottom w:val="single" w:sz="6" w:space="0" w:color="auto"/>
              <w:right w:val="nil"/>
            </w:tcBorders>
            <w:hideMark/>
          </w:tcPr>
          <w:p w14:paraId="2D44DF4E" w14:textId="77777777" w:rsidR="003670EC" w:rsidRPr="00AC552A" w:rsidRDefault="003670EC" w:rsidP="001A1442">
            <w:pPr>
              <w:pStyle w:val="Tabletext"/>
              <w:keepLines w:val="0"/>
              <w:rPr>
                <w:szCs w:val="20"/>
                <w:lang w:val="fr-FR"/>
              </w:rPr>
            </w:pPr>
            <w:r w:rsidRPr="00AC552A">
              <w:rPr>
                <w:szCs w:val="20"/>
                <w:lang w:val="fr-FR"/>
              </w:rPr>
              <w:t xml:space="preserve">Currie </w:t>
            </w:r>
            <w:r w:rsidRPr="00AC552A">
              <w:rPr>
                <w:i/>
                <w:szCs w:val="20"/>
                <w:lang w:val="fr-FR"/>
              </w:rPr>
              <w:t>et al.</w:t>
            </w:r>
            <w:r w:rsidRPr="00AC552A">
              <w:rPr>
                <w:szCs w:val="20"/>
                <w:lang w:val="fr-FR"/>
              </w:rPr>
              <w:t xml:space="preserve"> </w:t>
            </w:r>
            <w:proofErr w:type="spellStart"/>
            <w:proofErr w:type="gramStart"/>
            <w:r w:rsidRPr="00AC552A">
              <w:rPr>
                <w:szCs w:val="20"/>
                <w:lang w:val="fr-FR"/>
              </w:rPr>
              <w:t>hypoglycemia</w:t>
            </w:r>
            <w:proofErr w:type="spellEnd"/>
            <w:proofErr w:type="gramEnd"/>
            <w:r w:rsidRPr="00AC552A">
              <w:rPr>
                <w:szCs w:val="20"/>
                <w:lang w:val="fr-FR"/>
              </w:rPr>
              <w:t xml:space="preserve"> disutilities </w:t>
            </w:r>
            <w:proofErr w:type="spellStart"/>
            <w:r w:rsidRPr="00AC552A">
              <w:rPr>
                <w:szCs w:val="20"/>
                <w:lang w:val="fr-FR"/>
              </w:rPr>
              <w:t>applied</w:t>
            </w:r>
            <w:proofErr w:type="spellEnd"/>
          </w:p>
        </w:tc>
        <w:tc>
          <w:tcPr>
            <w:tcW w:w="1530" w:type="dxa"/>
            <w:tcBorders>
              <w:top w:val="nil"/>
              <w:left w:val="nil"/>
              <w:bottom w:val="single" w:sz="6" w:space="0" w:color="auto"/>
              <w:right w:val="nil"/>
            </w:tcBorders>
            <w:hideMark/>
          </w:tcPr>
          <w:p w14:paraId="46378D1A"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9.27</w:t>
            </w:r>
          </w:p>
        </w:tc>
        <w:tc>
          <w:tcPr>
            <w:tcW w:w="1529" w:type="dxa"/>
            <w:tcBorders>
              <w:top w:val="nil"/>
              <w:left w:val="nil"/>
              <w:bottom w:val="single" w:sz="6" w:space="0" w:color="auto"/>
              <w:right w:val="nil"/>
            </w:tcBorders>
            <w:hideMark/>
          </w:tcPr>
          <w:p w14:paraId="5C2CE926"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9.17</w:t>
            </w:r>
          </w:p>
        </w:tc>
        <w:tc>
          <w:tcPr>
            <w:tcW w:w="1529" w:type="dxa"/>
            <w:tcBorders>
              <w:top w:val="nil"/>
              <w:left w:val="nil"/>
              <w:bottom w:val="single" w:sz="6" w:space="0" w:color="auto"/>
              <w:right w:val="nil"/>
            </w:tcBorders>
            <w:hideMark/>
          </w:tcPr>
          <w:p w14:paraId="41F9345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0.10</w:t>
            </w:r>
          </w:p>
        </w:tc>
        <w:tc>
          <w:tcPr>
            <w:tcW w:w="1529" w:type="dxa"/>
            <w:tcBorders>
              <w:top w:val="nil"/>
              <w:left w:val="nil"/>
              <w:bottom w:val="single" w:sz="6" w:space="0" w:color="auto"/>
              <w:right w:val="nil"/>
            </w:tcBorders>
            <w:hideMark/>
          </w:tcPr>
          <w:p w14:paraId="1058D548"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415,200</w:t>
            </w:r>
          </w:p>
        </w:tc>
        <w:tc>
          <w:tcPr>
            <w:tcW w:w="1529" w:type="dxa"/>
            <w:tcBorders>
              <w:top w:val="nil"/>
              <w:left w:val="nil"/>
              <w:bottom w:val="single" w:sz="6" w:space="0" w:color="auto"/>
              <w:right w:val="nil"/>
            </w:tcBorders>
            <w:hideMark/>
          </w:tcPr>
          <w:p w14:paraId="3AFAD411"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rsidRPr="00B66B3D">
              <w:t>415,489</w:t>
            </w:r>
          </w:p>
        </w:tc>
        <w:tc>
          <w:tcPr>
            <w:tcW w:w="1529" w:type="dxa"/>
            <w:tcBorders>
              <w:top w:val="nil"/>
              <w:left w:val="nil"/>
              <w:bottom w:val="single" w:sz="6" w:space="0" w:color="auto"/>
              <w:right w:val="nil"/>
            </w:tcBorders>
            <w:hideMark/>
          </w:tcPr>
          <w:p w14:paraId="43A670C2"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w:t>
            </w:r>
            <w:r w:rsidRPr="00B66B3D">
              <w:t>289</w:t>
            </w:r>
          </w:p>
        </w:tc>
        <w:tc>
          <w:tcPr>
            <w:tcW w:w="1442" w:type="dxa"/>
            <w:tcBorders>
              <w:top w:val="nil"/>
              <w:left w:val="nil"/>
              <w:bottom w:val="single" w:sz="6" w:space="0" w:color="auto"/>
              <w:right w:val="nil"/>
            </w:tcBorders>
            <w:hideMark/>
          </w:tcPr>
          <w:p w14:paraId="6340A17C" w14:textId="77777777" w:rsidR="003670EC" w:rsidRPr="00B66B3D" w:rsidRDefault="003670EC" w:rsidP="001A1442">
            <w:pPr>
              <w:pStyle w:val="Tabletext"/>
              <w:cnfStyle w:val="000000000000" w:firstRow="0" w:lastRow="0" w:firstColumn="0" w:lastColumn="0" w:oddVBand="0" w:evenVBand="0" w:oddHBand="0" w:evenHBand="0" w:firstRowFirstColumn="0" w:firstRowLastColumn="0" w:lastRowFirstColumn="0" w:lastRowLastColumn="0"/>
            </w:pPr>
            <w:r>
              <w:t>Semaglutide</w:t>
            </w:r>
            <w:r w:rsidRPr="00B66B3D">
              <w:t xml:space="preserve"> dominant</w:t>
            </w:r>
          </w:p>
        </w:tc>
      </w:tr>
    </w:tbl>
    <w:p w14:paraId="65609FED" w14:textId="77777777" w:rsidR="003670EC" w:rsidRDefault="003670EC" w:rsidP="003670EC">
      <w:pPr>
        <w:pStyle w:val="Footnote"/>
      </w:pPr>
      <w:r>
        <w:t>BMI, body mass index; DKK, 2017 Danish kroner; HbA1c, glycated hemoglobin; ICER, incremental cost-effectiveness ratio; QALY, quality-adjusted life year.</w:t>
      </w:r>
    </w:p>
    <w:p w14:paraId="3A00981B" w14:textId="77777777" w:rsidR="003670EC" w:rsidRDefault="003670EC" w:rsidP="003670EC">
      <w:pPr>
        <w:sectPr w:rsidR="003670EC" w:rsidSect="003670EC">
          <w:endnotePr>
            <w:numFmt w:val="decimal"/>
          </w:endnotePr>
          <w:pgSz w:w="16839" w:h="11907" w:orient="landscape" w:code="9"/>
          <w:pgMar w:top="1440" w:right="1440" w:bottom="1440" w:left="1440" w:header="709" w:footer="709" w:gutter="0"/>
          <w:cols w:space="708"/>
          <w:docGrid w:linePitch="360"/>
        </w:sectPr>
      </w:pPr>
    </w:p>
    <w:p w14:paraId="55CAFACB" w14:textId="2BBE776D" w:rsidR="007A5E2B" w:rsidRPr="003670EC" w:rsidRDefault="003670EC" w:rsidP="003670EC">
      <w:pPr>
        <w:pStyle w:val="Manuheading"/>
      </w:pPr>
      <w:r>
        <w:lastRenderedPageBreak/>
        <w:t>References</w:t>
      </w:r>
    </w:p>
    <w:sectPr w:rsidR="007A5E2B" w:rsidRPr="003670EC" w:rsidSect="00250B7F">
      <w:endnotePr>
        <w:numFmt w:val="decimal"/>
      </w:endnotePr>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364A9" w14:textId="77777777" w:rsidR="00DE2A94" w:rsidRDefault="00DE2A94" w:rsidP="00882FEA">
      <w:pPr>
        <w:spacing w:after="0" w:line="240" w:lineRule="auto"/>
      </w:pPr>
      <w:r>
        <w:separator/>
      </w:r>
    </w:p>
  </w:endnote>
  <w:endnote w:type="continuationSeparator" w:id="0">
    <w:p w14:paraId="2A8A98DF" w14:textId="77777777" w:rsidR="00DE2A94" w:rsidRDefault="00DE2A94" w:rsidP="00882FEA">
      <w:pPr>
        <w:spacing w:after="0" w:line="240" w:lineRule="auto"/>
      </w:pPr>
      <w:r>
        <w:continuationSeparator/>
      </w:r>
    </w:p>
  </w:endnote>
  <w:endnote w:type="continuationNotice" w:id="1">
    <w:p w14:paraId="14DCEAD7" w14:textId="77777777" w:rsidR="00DE2A94" w:rsidRDefault="00DE2A94">
      <w:pPr>
        <w:spacing w:after="0" w:line="240" w:lineRule="auto"/>
      </w:pPr>
    </w:p>
  </w:endnote>
  <w:endnote w:id="2">
    <w:p w14:paraId="46E42F2C" w14:textId="77777777" w:rsidR="003670EC" w:rsidRPr="00EF01CA" w:rsidRDefault="003670EC" w:rsidP="003670EC">
      <w:pPr>
        <w:pStyle w:val="Text"/>
      </w:pPr>
      <w:r>
        <w:rPr>
          <w:rStyle w:val="EndnoteReference"/>
        </w:rPr>
        <w:endnoteRef/>
      </w:r>
      <w:r>
        <w:t xml:space="preserve"> </w:t>
      </w:r>
      <w:r w:rsidRPr="00EF01CA">
        <w:t xml:space="preserve">Special Eurobarometer 458. Attitudes of Europeans towards tobacco and electronic cigarettes. May 2017. Available at: </w:t>
      </w:r>
      <w:hyperlink r:id="rId1" w:history="1">
        <w:r w:rsidRPr="00F62FB9">
          <w:rPr>
            <w:rStyle w:val="Hyperlink"/>
          </w:rPr>
          <w:t>https://ec.europa.eu/commfrontoffice/publicopinion/index.cfm/ResultDoc/download/DocumentKy/79002</w:t>
        </w:r>
      </w:hyperlink>
      <w:r>
        <w:t xml:space="preserve"> [Last accessed May 10, 2018].</w:t>
      </w:r>
    </w:p>
  </w:endnote>
  <w:endnote w:id="3">
    <w:p w14:paraId="3AF2904A" w14:textId="77777777" w:rsidR="003670EC" w:rsidRPr="003B6E2F" w:rsidRDefault="003670EC" w:rsidP="003670EC">
      <w:pPr>
        <w:pStyle w:val="Text"/>
      </w:pPr>
      <w:r>
        <w:rPr>
          <w:rStyle w:val="EndnoteReference"/>
        </w:rPr>
        <w:endnoteRef/>
      </w:r>
      <w:r>
        <w:t xml:space="preserve"> World Health Organization. Global Alcohol Report – Denmark. Available at: </w:t>
      </w:r>
      <w:hyperlink r:id="rId2" w:history="1">
        <w:r w:rsidRPr="00F62FB9">
          <w:rPr>
            <w:rStyle w:val="Hyperlink"/>
          </w:rPr>
          <w:t>http://www.who.int/substance_abuse/publications/global_alcohol_report/profiles/dnk.pdf?ua=1</w:t>
        </w:r>
      </w:hyperlink>
      <w:r>
        <w:t xml:space="preserve"> [Last accessed May 10, 2018].</w:t>
      </w:r>
    </w:p>
  </w:endnote>
  <w:endnote w:id="4">
    <w:p w14:paraId="0696308B" w14:textId="77777777" w:rsidR="003670EC" w:rsidRPr="00212564" w:rsidRDefault="003670EC" w:rsidP="003670EC">
      <w:pPr>
        <w:pStyle w:val="Text"/>
        <w:rPr>
          <w:lang w:val="en-GB"/>
        </w:rPr>
      </w:pPr>
      <w:r w:rsidRPr="00212564">
        <w:rPr>
          <w:rStyle w:val="EndnoteReference"/>
          <w:lang w:val="en-GB"/>
        </w:rPr>
        <w:endnoteRef/>
      </w:r>
      <w:r w:rsidRPr="00212564">
        <w:rPr>
          <w:lang w:val="en-GB"/>
        </w:rPr>
        <w:t xml:space="preserve"> Clarke P, </w:t>
      </w:r>
      <w:proofErr w:type="spellStart"/>
      <w:r w:rsidRPr="00212564">
        <w:rPr>
          <w:lang w:val="en-GB"/>
        </w:rPr>
        <w:t>Gray</w:t>
      </w:r>
      <w:proofErr w:type="spellEnd"/>
      <w:r w:rsidRPr="00212564">
        <w:rPr>
          <w:lang w:val="en-GB"/>
        </w:rPr>
        <w:t xml:space="preserve"> A, Holman R. Estimating utility values for health states of type 2 diabetic patients using the EQ-5D (UKPDS 62). </w:t>
      </w:r>
      <w:r w:rsidRPr="008733B9">
        <w:rPr>
          <w:i/>
          <w:lang w:val="en-GB"/>
        </w:rPr>
        <w:t xml:space="preserve">Med </w:t>
      </w:r>
      <w:proofErr w:type="spellStart"/>
      <w:r w:rsidRPr="008733B9">
        <w:rPr>
          <w:i/>
          <w:lang w:val="en-GB"/>
        </w:rPr>
        <w:t>Decis</w:t>
      </w:r>
      <w:proofErr w:type="spellEnd"/>
      <w:r w:rsidRPr="008733B9">
        <w:rPr>
          <w:i/>
          <w:lang w:val="en-GB"/>
        </w:rPr>
        <w:t xml:space="preserve"> Making</w:t>
      </w:r>
      <w:r w:rsidRPr="00212564">
        <w:rPr>
          <w:lang w:val="en-GB"/>
        </w:rPr>
        <w:t>. 2002; 22(4): 340–9.</w:t>
      </w:r>
    </w:p>
  </w:endnote>
  <w:endnote w:id="5">
    <w:p w14:paraId="37564F0C" w14:textId="77777777" w:rsidR="00F70F17" w:rsidRPr="00A02536" w:rsidRDefault="00F70F17" w:rsidP="00F70F17">
      <w:pPr>
        <w:pStyle w:val="Text"/>
      </w:pPr>
      <w:r>
        <w:rPr>
          <w:rStyle w:val="EndnoteReference"/>
        </w:rPr>
        <w:endnoteRef/>
      </w:r>
      <w:r w:rsidRPr="00407D8D">
        <w:t xml:space="preserve"> </w:t>
      </w:r>
      <w:proofErr w:type="spellStart"/>
      <w:r w:rsidRPr="00407D8D">
        <w:t>L</w:t>
      </w:r>
      <w:r w:rsidRPr="00407D8D">
        <w:rPr>
          <w:rFonts w:cs="Calibri"/>
        </w:rPr>
        <w:t>æ</w:t>
      </w:r>
      <w:r w:rsidRPr="00407D8D">
        <w:t>gemiddelstyrelsen</w:t>
      </w:r>
      <w:proofErr w:type="spellEnd"/>
      <w:r w:rsidRPr="00407D8D">
        <w:t xml:space="preserve"> [Danish Medicines Agency]. </w:t>
      </w:r>
      <w:proofErr w:type="spellStart"/>
      <w:r w:rsidRPr="00407D8D">
        <w:t>Medicinpriser</w:t>
      </w:r>
      <w:proofErr w:type="spellEnd"/>
      <w:r w:rsidRPr="00407D8D">
        <w:t xml:space="preserve">. </w:t>
      </w:r>
      <w:r>
        <w:t xml:space="preserve">2018. Available at: </w:t>
      </w:r>
      <w:hyperlink r:id="rId3" w:history="1">
        <w:r w:rsidRPr="0017209E">
          <w:rPr>
            <w:rStyle w:val="Hyperlink"/>
          </w:rPr>
          <w:t>https://www.medicinpriser.dk/?lng=2</w:t>
        </w:r>
      </w:hyperlink>
      <w:r>
        <w:t xml:space="preserve"> [Last accessed June 13, 2018].</w:t>
      </w:r>
    </w:p>
  </w:endnote>
  <w:endnote w:id="6">
    <w:p w14:paraId="4AD0E6D0" w14:textId="77777777" w:rsidR="003670EC" w:rsidRPr="00270517" w:rsidRDefault="003670EC" w:rsidP="003670EC">
      <w:pPr>
        <w:pStyle w:val="Text"/>
      </w:pPr>
      <w:r>
        <w:rPr>
          <w:rStyle w:val="EndnoteReference"/>
        </w:rPr>
        <w:endnoteRef/>
      </w:r>
      <w:r>
        <w:t xml:space="preserve"> </w:t>
      </w:r>
      <w:proofErr w:type="spellStart"/>
      <w:r w:rsidRPr="00B15897">
        <w:t>Sundhedsdatastyrelsen</w:t>
      </w:r>
      <w:proofErr w:type="spellEnd"/>
      <w:r>
        <w:t xml:space="preserve"> [Health Data Protection Agency]. DRG-</w:t>
      </w:r>
      <w:proofErr w:type="spellStart"/>
      <w:r>
        <w:t>takster</w:t>
      </w:r>
      <w:proofErr w:type="spellEnd"/>
      <w:r>
        <w:t xml:space="preserve"> 2018. Available at: </w:t>
      </w:r>
      <w:hyperlink r:id="rId4" w:history="1">
        <w:r w:rsidRPr="0017209E">
          <w:rPr>
            <w:rStyle w:val="Hyperlink"/>
          </w:rPr>
          <w:t>https://sundhedsdatastyrelsen.dk/da/afregning-og-finansiering/takster-drg/takster-2018</w:t>
        </w:r>
      </w:hyperlink>
      <w:r>
        <w:t xml:space="preserve"> [Last accessed June 13, 2018].</w:t>
      </w:r>
    </w:p>
  </w:endnote>
  <w:endnote w:id="7">
    <w:p w14:paraId="4B339ABE" w14:textId="77777777" w:rsidR="003670EC" w:rsidRPr="00DD58B3" w:rsidRDefault="003670EC" w:rsidP="003670EC">
      <w:pPr>
        <w:pStyle w:val="Text"/>
      </w:pPr>
      <w:r>
        <w:rPr>
          <w:rStyle w:val="EndnoteReference"/>
        </w:rPr>
        <w:endnoteRef/>
      </w:r>
      <w:r>
        <w:t xml:space="preserve"> </w:t>
      </w:r>
      <w:proofErr w:type="spellStart"/>
      <w:r w:rsidRPr="00DD58B3">
        <w:t>Jennum</w:t>
      </w:r>
      <w:proofErr w:type="spellEnd"/>
      <w:r w:rsidRPr="00DD58B3">
        <w:t xml:space="preserve"> P, Iversen HK, Ibsen R, </w:t>
      </w:r>
      <w:proofErr w:type="spellStart"/>
      <w:r w:rsidRPr="00DD58B3">
        <w:t>Kjellberg</w:t>
      </w:r>
      <w:proofErr w:type="spellEnd"/>
      <w:r w:rsidRPr="00DD58B3">
        <w:t xml:space="preserve"> J.</w:t>
      </w:r>
      <w:r>
        <w:t xml:space="preserve"> </w:t>
      </w:r>
      <w:r w:rsidRPr="00DD58B3">
        <w:t>Cost of stroke: a controlled national study evaluating societal effects on patients and their partners</w:t>
      </w:r>
      <w:r>
        <w:t xml:space="preserve">. </w:t>
      </w:r>
      <w:r w:rsidRPr="00DD58B3">
        <w:t>BMC Health Serv Res. 2015;</w:t>
      </w:r>
      <w:r>
        <w:t xml:space="preserve"> </w:t>
      </w:r>
      <w:r w:rsidRPr="00DD58B3">
        <w:t>15:</w:t>
      </w:r>
      <w:r>
        <w:t xml:space="preserve"> </w:t>
      </w:r>
      <w:r w:rsidRPr="00DD58B3">
        <w:t>466.</w:t>
      </w:r>
    </w:p>
  </w:endnote>
  <w:endnote w:id="8">
    <w:p w14:paraId="15C45B6B" w14:textId="77777777" w:rsidR="003670EC" w:rsidRPr="00B26A0F" w:rsidRDefault="003670EC" w:rsidP="003670EC">
      <w:pPr>
        <w:pStyle w:val="Text"/>
      </w:pPr>
      <w:r>
        <w:rPr>
          <w:rStyle w:val="EndnoteReference"/>
        </w:rPr>
        <w:endnoteRef/>
      </w:r>
      <w:r>
        <w:t xml:space="preserve"> Danish cost of illness report 2014.</w:t>
      </w:r>
    </w:p>
  </w:endnote>
  <w:endnote w:id="9">
    <w:p w14:paraId="28F3DD08" w14:textId="77777777" w:rsidR="003670EC" w:rsidRPr="00212564" w:rsidRDefault="003670EC" w:rsidP="003670EC">
      <w:pPr>
        <w:pStyle w:val="Text"/>
        <w:rPr>
          <w:lang w:val="en-GB"/>
        </w:rPr>
      </w:pPr>
      <w:r w:rsidRPr="00212564">
        <w:rPr>
          <w:rStyle w:val="EndnoteReference"/>
          <w:lang w:val="en-GB"/>
        </w:rPr>
        <w:endnoteRef/>
      </w:r>
      <w:r w:rsidRPr="00212564">
        <w:rPr>
          <w:lang w:val="en-GB"/>
        </w:rPr>
        <w:t xml:space="preserve"> </w:t>
      </w:r>
      <w:proofErr w:type="spellStart"/>
      <w:r w:rsidRPr="00212564">
        <w:rPr>
          <w:lang w:val="en-GB"/>
        </w:rPr>
        <w:t>Bagust</w:t>
      </w:r>
      <w:proofErr w:type="spellEnd"/>
      <w:r w:rsidRPr="00212564">
        <w:rPr>
          <w:lang w:val="en-GB"/>
        </w:rPr>
        <w:t xml:space="preserve"> A, Beale S. Modelling </w:t>
      </w:r>
      <w:proofErr w:type="spellStart"/>
      <w:r w:rsidRPr="00212564">
        <w:rPr>
          <w:lang w:val="en-GB"/>
        </w:rPr>
        <w:t>EuroQol</w:t>
      </w:r>
      <w:proofErr w:type="spellEnd"/>
      <w:r w:rsidRPr="00212564">
        <w:rPr>
          <w:lang w:val="en-GB"/>
        </w:rPr>
        <w:t xml:space="preserve"> health-related utility values for diabetic complications from CODE-2 data. </w:t>
      </w:r>
      <w:r w:rsidRPr="00EF7253">
        <w:rPr>
          <w:lang w:val="en-GB"/>
        </w:rPr>
        <w:t>Health Econ. 2005</w:t>
      </w:r>
      <w:r w:rsidRPr="00212564">
        <w:rPr>
          <w:lang w:val="en-GB"/>
        </w:rPr>
        <w:t>;</w:t>
      </w:r>
      <w:r>
        <w:rPr>
          <w:lang w:val="en-GB"/>
        </w:rPr>
        <w:t xml:space="preserve"> </w:t>
      </w:r>
      <w:r w:rsidRPr="00212564">
        <w:rPr>
          <w:lang w:val="en-GB"/>
        </w:rPr>
        <w:t>14(3):</w:t>
      </w:r>
      <w:r>
        <w:rPr>
          <w:lang w:val="en-GB"/>
        </w:rPr>
        <w:t xml:space="preserve"> </w:t>
      </w:r>
      <w:r w:rsidRPr="00212564">
        <w:rPr>
          <w:lang w:val="en-GB"/>
        </w:rPr>
        <w:t>217</w:t>
      </w:r>
      <w:r>
        <w:rPr>
          <w:lang w:val="en-GB"/>
        </w:rPr>
        <w:t>–</w:t>
      </w:r>
      <w:r w:rsidRPr="00212564">
        <w:rPr>
          <w:lang w:val="en-GB"/>
        </w:rPr>
        <w:t>30.</w:t>
      </w:r>
    </w:p>
  </w:endnote>
  <w:endnote w:id="10">
    <w:p w14:paraId="2E73487C" w14:textId="77777777" w:rsidR="003670EC" w:rsidRPr="00B85652" w:rsidRDefault="003670EC" w:rsidP="003670EC">
      <w:pPr>
        <w:pStyle w:val="Text"/>
        <w:rPr>
          <w:lang w:val="de-CH"/>
        </w:rPr>
      </w:pPr>
      <w:r>
        <w:rPr>
          <w:rStyle w:val="EndnoteReference"/>
        </w:rPr>
        <w:endnoteRef/>
      </w:r>
      <w:r>
        <w:t xml:space="preserve"> </w:t>
      </w:r>
      <w:proofErr w:type="spellStart"/>
      <w:r w:rsidRPr="00B26A0F">
        <w:t>Gerdtham</w:t>
      </w:r>
      <w:proofErr w:type="spellEnd"/>
      <w:r>
        <w:t xml:space="preserve"> UG, </w:t>
      </w:r>
      <w:r w:rsidRPr="00B26A0F">
        <w:t>Clarke</w:t>
      </w:r>
      <w:r>
        <w:t xml:space="preserve"> P, </w:t>
      </w:r>
      <w:r w:rsidRPr="00B26A0F">
        <w:t>Hayes</w:t>
      </w:r>
      <w:r>
        <w:t xml:space="preserve"> A,</w:t>
      </w:r>
      <w:r w:rsidRPr="00B26A0F">
        <w:t xml:space="preserve"> </w:t>
      </w:r>
      <w:proofErr w:type="spellStart"/>
      <w:r w:rsidRPr="00B26A0F">
        <w:t>Gudbjornsdottir</w:t>
      </w:r>
      <w:proofErr w:type="spellEnd"/>
      <w:r>
        <w:t xml:space="preserve"> S. </w:t>
      </w:r>
      <w:r w:rsidRPr="00B26A0F">
        <w:t>Estimating the Cost of Diabetes Mellitus-Related Events from Inpatient Admissions in Sweden Using Administrative Hospitalization Data</w:t>
      </w:r>
      <w:r>
        <w:t xml:space="preserve">. </w:t>
      </w:r>
      <w:r w:rsidRPr="00B85652">
        <w:rPr>
          <w:lang w:val="de-CH"/>
        </w:rPr>
        <w:t>Pharmacoeconomics. 2009; 27(1): 81-90.</w:t>
      </w:r>
    </w:p>
  </w:endnote>
  <w:endnote w:id="11">
    <w:p w14:paraId="17B088F4" w14:textId="77777777" w:rsidR="003670EC" w:rsidRPr="00393429" w:rsidRDefault="003670EC" w:rsidP="003670EC">
      <w:pPr>
        <w:pStyle w:val="Text"/>
        <w:rPr>
          <w:lang w:val="da-DK"/>
        </w:rPr>
      </w:pPr>
      <w:r w:rsidRPr="00212564">
        <w:rPr>
          <w:rStyle w:val="EndnoteReference"/>
          <w:lang w:val="en-GB"/>
        </w:rPr>
        <w:endnoteRef/>
      </w:r>
      <w:r w:rsidRPr="00B85652">
        <w:rPr>
          <w:lang w:val="de-CH"/>
        </w:rPr>
        <w:t xml:space="preserve"> </w:t>
      </w:r>
      <w:r w:rsidRPr="00B85652">
        <w:rPr>
          <w:lang w:val="de-CH"/>
        </w:rPr>
        <w:t xml:space="preserve">Wasserfallen </w:t>
      </w:r>
      <w:r w:rsidRPr="00B85652">
        <w:rPr>
          <w:lang w:val="de-CH"/>
        </w:rPr>
        <w:t>JB, Halabi G, Saudan P</w:t>
      </w:r>
      <w:r>
        <w:rPr>
          <w:lang w:val="de-CH"/>
        </w:rPr>
        <w:t xml:space="preserve"> </w:t>
      </w:r>
      <w:r>
        <w:rPr>
          <w:i/>
          <w:lang w:val="de-CH"/>
        </w:rPr>
        <w:t>et al</w:t>
      </w:r>
      <w:r w:rsidRPr="00B85652">
        <w:rPr>
          <w:lang w:val="de-CH"/>
        </w:rPr>
        <w:t xml:space="preserve">. </w:t>
      </w:r>
      <w:r w:rsidRPr="00212564">
        <w:rPr>
          <w:lang w:val="en-GB"/>
        </w:rPr>
        <w:t>Quality of life on chronic dialysis: comparison between haemodialysis and peritoneal dialysis</w:t>
      </w:r>
      <w:r w:rsidRPr="00EF7253">
        <w:rPr>
          <w:lang w:val="en-GB"/>
        </w:rPr>
        <w:t xml:space="preserve">. </w:t>
      </w:r>
      <w:r w:rsidRPr="00EF7253">
        <w:rPr>
          <w:lang w:val="da-DK"/>
        </w:rPr>
        <w:t>Nephrol Dial Transplant.</w:t>
      </w:r>
      <w:r w:rsidRPr="00393429">
        <w:rPr>
          <w:lang w:val="da-DK"/>
        </w:rPr>
        <w:t xml:space="preserve"> 2004; 19(6): 1594–9.</w:t>
      </w:r>
    </w:p>
  </w:endnote>
  <w:endnote w:id="12">
    <w:p w14:paraId="6A82AC30" w14:textId="77777777" w:rsidR="003670EC" w:rsidRPr="00393429" w:rsidRDefault="003670EC" w:rsidP="003670EC">
      <w:pPr>
        <w:pStyle w:val="Text"/>
        <w:rPr>
          <w:lang w:val="da-DK"/>
        </w:rPr>
      </w:pPr>
      <w:r>
        <w:rPr>
          <w:rStyle w:val="EndnoteReference"/>
        </w:rPr>
        <w:endnoteRef/>
      </w:r>
      <w:r w:rsidRPr="00393429">
        <w:rPr>
          <w:lang w:val="da-DK"/>
        </w:rPr>
        <w:t xml:space="preserve"> </w:t>
      </w:r>
      <w:r w:rsidRPr="00393429">
        <w:rPr>
          <w:lang w:val="da-DK"/>
        </w:rPr>
        <w:t xml:space="preserve">Sundhedsstyrelsen </w:t>
      </w:r>
      <w:r w:rsidRPr="00393429">
        <w:rPr>
          <w:lang w:val="da-DK"/>
        </w:rPr>
        <w:t>[Health]. Dialyse ved kronisk nyresvigt – kan antallet af patienter i udga</w:t>
      </w:r>
      <w:r w:rsidRPr="00393429">
        <w:rPr>
          <w:rFonts w:ascii="Arial" w:hAnsi="Arial" w:cs="Arial"/>
          <w:lang w:val="da-DK"/>
        </w:rPr>
        <w:t>̊</w:t>
      </w:r>
      <w:r w:rsidRPr="00393429">
        <w:rPr>
          <w:lang w:val="da-DK"/>
        </w:rPr>
        <w:t xml:space="preserve">ende dialyse </w:t>
      </w:r>
      <w:r w:rsidRPr="00393429">
        <w:rPr>
          <w:rFonts w:cs="Futura Bk"/>
          <w:lang w:val="da-DK"/>
        </w:rPr>
        <w:t>ø</w:t>
      </w:r>
      <w:r w:rsidRPr="00393429">
        <w:rPr>
          <w:lang w:val="da-DK"/>
        </w:rPr>
        <w:t xml:space="preserve">ges? En medicinsk teknologivurdering. Medicinsk Teknologivurdering. 2006; 8 (3). Available at: </w:t>
      </w:r>
      <w:r>
        <w:rPr>
          <w:rStyle w:val="Hyperlink"/>
          <w:lang w:val="da-DK"/>
        </w:rPr>
        <w:fldChar w:fldCharType="begin"/>
      </w:r>
      <w:r>
        <w:rPr>
          <w:rStyle w:val="Hyperlink"/>
          <w:lang w:val="da-DK"/>
        </w:rPr>
        <w:instrText xml:space="preserve"> HYPERLINK "http://www.sst.dk/~/media/223DEE107A384C0CA805ABE7DAAACD17.ashx" </w:instrText>
      </w:r>
      <w:r>
        <w:rPr>
          <w:rStyle w:val="Hyperlink"/>
          <w:lang w:val="da-DK"/>
        </w:rPr>
        <w:fldChar w:fldCharType="separate"/>
      </w:r>
      <w:r w:rsidRPr="00393429">
        <w:rPr>
          <w:rStyle w:val="Hyperlink"/>
          <w:lang w:val="da-DK"/>
        </w:rPr>
        <w:t>http://www.sst.dk/~/media/223DEE107A384C0CA805ABE7DAAACD17.ashx</w:t>
      </w:r>
      <w:r>
        <w:rPr>
          <w:rStyle w:val="Hyperlink"/>
          <w:lang w:val="da-DK"/>
        </w:rPr>
        <w:fldChar w:fldCharType="end"/>
      </w:r>
      <w:r w:rsidRPr="00393429">
        <w:rPr>
          <w:lang w:val="da-DK"/>
        </w:rPr>
        <w:t xml:space="preserve"> [Last accessed June 13, 2018].</w:t>
      </w:r>
    </w:p>
  </w:endnote>
  <w:endnote w:id="13">
    <w:p w14:paraId="3214AC71" w14:textId="77777777" w:rsidR="003670EC" w:rsidRPr="00212564" w:rsidRDefault="003670EC" w:rsidP="003670EC">
      <w:pPr>
        <w:pStyle w:val="Text"/>
        <w:rPr>
          <w:lang w:val="en-GB"/>
        </w:rPr>
      </w:pPr>
      <w:r w:rsidRPr="00212564">
        <w:rPr>
          <w:rStyle w:val="EndnoteReference"/>
          <w:lang w:val="en-GB"/>
        </w:rPr>
        <w:endnoteRef/>
      </w:r>
      <w:r w:rsidRPr="00FC0859">
        <w:rPr>
          <w:lang w:val="en-GB"/>
        </w:rPr>
        <w:t xml:space="preserve"> </w:t>
      </w:r>
      <w:proofErr w:type="spellStart"/>
      <w:r w:rsidRPr="00FC0859">
        <w:rPr>
          <w:lang w:val="en-GB"/>
        </w:rPr>
        <w:t>Kiberd</w:t>
      </w:r>
      <w:proofErr w:type="spellEnd"/>
      <w:r w:rsidRPr="00FC0859">
        <w:rPr>
          <w:lang w:val="en-GB"/>
        </w:rPr>
        <w:t xml:space="preserve"> BA, Jindal KK. </w:t>
      </w:r>
      <w:r w:rsidRPr="00EF7253">
        <w:rPr>
          <w:lang w:val="en-GB"/>
        </w:rPr>
        <w:t>Screening to prevent renal failure in insulin dependent diabetic patients: an economic evaluation. BMJ. 1995</w:t>
      </w:r>
      <w:r w:rsidRPr="00212564">
        <w:rPr>
          <w:lang w:val="en-GB"/>
        </w:rPr>
        <w:t>; 311(7020): 1595</w:t>
      </w:r>
      <w:r>
        <w:rPr>
          <w:lang w:val="en-GB"/>
        </w:rPr>
        <w:t>–</w:t>
      </w:r>
      <w:r w:rsidRPr="00212564">
        <w:rPr>
          <w:lang w:val="en-GB"/>
        </w:rPr>
        <w:t>9.</w:t>
      </w:r>
    </w:p>
  </w:endnote>
  <w:endnote w:id="14">
    <w:p w14:paraId="5E284051" w14:textId="77777777" w:rsidR="003670EC" w:rsidRPr="00212564" w:rsidRDefault="003670EC" w:rsidP="003670EC">
      <w:pPr>
        <w:pStyle w:val="Text"/>
        <w:rPr>
          <w:lang w:val="en-GB"/>
        </w:rPr>
      </w:pPr>
      <w:r w:rsidRPr="00212564">
        <w:rPr>
          <w:rStyle w:val="EndnoteReference"/>
          <w:lang w:val="en-GB"/>
        </w:rPr>
        <w:endnoteRef/>
      </w:r>
      <w:r w:rsidRPr="00212564">
        <w:rPr>
          <w:lang w:val="en-GB"/>
        </w:rPr>
        <w:t xml:space="preserve"> Fenwick EK, </w:t>
      </w:r>
      <w:proofErr w:type="spellStart"/>
      <w:r w:rsidRPr="00212564">
        <w:rPr>
          <w:lang w:val="en-GB"/>
        </w:rPr>
        <w:t>Xie</w:t>
      </w:r>
      <w:proofErr w:type="spellEnd"/>
      <w:r w:rsidRPr="00212564">
        <w:rPr>
          <w:lang w:val="en-GB"/>
        </w:rPr>
        <w:t xml:space="preserve"> J, Ratcliffe J, </w:t>
      </w:r>
      <w:proofErr w:type="spellStart"/>
      <w:r w:rsidRPr="00212564">
        <w:rPr>
          <w:lang w:val="en-GB"/>
        </w:rPr>
        <w:t>Pesudovs</w:t>
      </w:r>
      <w:proofErr w:type="spellEnd"/>
      <w:r w:rsidRPr="00212564">
        <w:rPr>
          <w:lang w:val="en-GB"/>
        </w:rPr>
        <w:t xml:space="preserve"> K, Finger RP, Wong TY, Lamoureux EL. The impact of diabetic retinopathy and diabetic macular </w:t>
      </w:r>
      <w:proofErr w:type="spellStart"/>
      <w:r w:rsidRPr="00212564">
        <w:rPr>
          <w:lang w:val="en-GB"/>
        </w:rPr>
        <w:t>edema</w:t>
      </w:r>
      <w:proofErr w:type="spellEnd"/>
      <w:r w:rsidRPr="00212564">
        <w:rPr>
          <w:lang w:val="en-GB"/>
        </w:rPr>
        <w:t xml:space="preserve"> on health-related quality of life in type 1 and type 2 diabetes. </w:t>
      </w:r>
      <w:r w:rsidRPr="00EF7253">
        <w:rPr>
          <w:lang w:val="en-GB"/>
        </w:rPr>
        <w:t xml:space="preserve">Invest </w:t>
      </w:r>
      <w:proofErr w:type="spellStart"/>
      <w:r w:rsidRPr="00EF7253">
        <w:rPr>
          <w:lang w:val="en-GB"/>
        </w:rPr>
        <w:t>Ophthalmol</w:t>
      </w:r>
      <w:proofErr w:type="spellEnd"/>
      <w:r w:rsidRPr="00EF7253">
        <w:rPr>
          <w:lang w:val="en-GB"/>
        </w:rPr>
        <w:t xml:space="preserve"> Vis Sci. 2012</w:t>
      </w:r>
      <w:r w:rsidRPr="00212564">
        <w:rPr>
          <w:lang w:val="en-GB"/>
        </w:rPr>
        <w:t>; 53(2): 677</w:t>
      </w:r>
      <w:r>
        <w:rPr>
          <w:lang w:val="en-GB"/>
        </w:rPr>
        <w:t>–</w:t>
      </w:r>
      <w:r w:rsidRPr="00212564">
        <w:rPr>
          <w:lang w:val="en-GB"/>
        </w:rPr>
        <w:t>84.</w:t>
      </w:r>
    </w:p>
  </w:endnote>
  <w:endnote w:id="15">
    <w:p w14:paraId="49385863" w14:textId="77777777" w:rsidR="003670EC" w:rsidRPr="00B552E8" w:rsidRDefault="003670EC" w:rsidP="003670EC">
      <w:pPr>
        <w:pStyle w:val="Text"/>
      </w:pPr>
      <w:r>
        <w:rPr>
          <w:rStyle w:val="EndnoteReference"/>
        </w:rPr>
        <w:endnoteRef/>
      </w:r>
      <w:r>
        <w:t xml:space="preserve"> </w:t>
      </w:r>
      <w:proofErr w:type="spellStart"/>
      <w:r>
        <w:t>L</w:t>
      </w:r>
      <w:r w:rsidRPr="00B552E8">
        <w:t>ægeforeningen</w:t>
      </w:r>
      <w:proofErr w:type="spellEnd"/>
      <w:r>
        <w:t xml:space="preserve"> [Medical Association]. 2018. Available at: </w:t>
      </w:r>
      <w:hyperlink r:id="rId5" w:history="1">
        <w:r w:rsidRPr="0017209E">
          <w:rPr>
            <w:rStyle w:val="Hyperlink"/>
          </w:rPr>
          <w:t>https://www.laeger.dk</w:t>
        </w:r>
      </w:hyperlink>
      <w:r>
        <w:t xml:space="preserve"> [Last accessed June 13, 2018].</w:t>
      </w:r>
    </w:p>
  </w:endnote>
  <w:endnote w:id="16">
    <w:p w14:paraId="11A3BC90" w14:textId="77777777" w:rsidR="003670EC" w:rsidRPr="00393429" w:rsidRDefault="003670EC" w:rsidP="003670EC">
      <w:pPr>
        <w:pStyle w:val="Text"/>
        <w:rPr>
          <w:lang w:val="da-DK"/>
        </w:rPr>
      </w:pPr>
      <w:r w:rsidRPr="00212564">
        <w:rPr>
          <w:rStyle w:val="EndnoteReference"/>
          <w:lang w:val="en-GB"/>
        </w:rPr>
        <w:endnoteRef/>
      </w:r>
      <w:r w:rsidRPr="00212564">
        <w:rPr>
          <w:lang w:val="en-GB"/>
        </w:rPr>
        <w:t xml:space="preserve"> Lee AJ, Morgan CL, Morrissey M, </w:t>
      </w:r>
      <w:proofErr w:type="spellStart"/>
      <w:r w:rsidRPr="00212564">
        <w:rPr>
          <w:lang w:val="en-GB"/>
        </w:rPr>
        <w:t>Wittrup</w:t>
      </w:r>
      <w:proofErr w:type="spellEnd"/>
      <w:r w:rsidRPr="00212564">
        <w:rPr>
          <w:lang w:val="en-GB"/>
        </w:rPr>
        <w:t xml:space="preserve">-Jensen KU, Kennedy-Martin T, Currie CJ. Evaluation of the association between the EQ-5D (health-related utility) and body mass index (obesity) in hospital-treated people with Type 1 diabetes, Type 2 diabetes and with no diagnosed </w:t>
      </w:r>
      <w:r w:rsidRPr="00EF7253">
        <w:rPr>
          <w:lang w:val="en-GB"/>
        </w:rPr>
        <w:t xml:space="preserve">diabetes. </w:t>
      </w:r>
      <w:r w:rsidRPr="00EF7253">
        <w:rPr>
          <w:lang w:val="da-DK"/>
        </w:rPr>
        <w:t>Diabet Med. 2005</w:t>
      </w:r>
      <w:r w:rsidRPr="00393429">
        <w:rPr>
          <w:lang w:val="da-DK"/>
        </w:rPr>
        <w:t>; 22(11): 1482–6.</w:t>
      </w:r>
    </w:p>
  </w:endnote>
  <w:endnote w:id="17">
    <w:p w14:paraId="518597AF" w14:textId="77777777" w:rsidR="003670EC" w:rsidRPr="00FC0859" w:rsidRDefault="003670EC" w:rsidP="003670EC">
      <w:pPr>
        <w:pStyle w:val="Text"/>
        <w:rPr>
          <w:lang w:val="en-GB"/>
        </w:rPr>
      </w:pPr>
      <w:r>
        <w:rPr>
          <w:rStyle w:val="EndnoteReference"/>
        </w:rPr>
        <w:endnoteRef/>
      </w:r>
      <w:r w:rsidRPr="00393429">
        <w:rPr>
          <w:lang w:val="da-DK"/>
        </w:rPr>
        <w:t xml:space="preserve"> </w:t>
      </w:r>
      <w:r w:rsidRPr="00393429">
        <w:rPr>
          <w:lang w:val="da-DK"/>
        </w:rPr>
        <w:t xml:space="preserve">Sundhedsstyrelsen </w:t>
      </w:r>
      <w:r w:rsidRPr="00393429">
        <w:rPr>
          <w:lang w:val="da-DK"/>
        </w:rPr>
        <w:t xml:space="preserve">[Health]. Type 2-diabetes – Medicinsk teknologivurdering af screening, diagnostik og behandling. </w:t>
      </w:r>
      <w:proofErr w:type="spellStart"/>
      <w:r w:rsidRPr="00FC0859">
        <w:rPr>
          <w:lang w:val="en-GB"/>
        </w:rPr>
        <w:t>Medicinsk</w:t>
      </w:r>
      <w:proofErr w:type="spellEnd"/>
      <w:r w:rsidRPr="00FC0859">
        <w:rPr>
          <w:lang w:val="en-GB"/>
        </w:rPr>
        <w:t xml:space="preserve"> </w:t>
      </w:r>
      <w:proofErr w:type="spellStart"/>
      <w:r w:rsidRPr="00FC0859">
        <w:rPr>
          <w:lang w:val="en-GB"/>
        </w:rPr>
        <w:t>Teknologivurdering</w:t>
      </w:r>
      <w:proofErr w:type="spellEnd"/>
      <w:r w:rsidRPr="00FC0859">
        <w:rPr>
          <w:lang w:val="en-GB"/>
        </w:rPr>
        <w:t xml:space="preserve">. 2003; 5(1). Available at: </w:t>
      </w:r>
      <w:hyperlink r:id="rId6" w:history="1">
        <w:r w:rsidRPr="00601BF6">
          <w:rPr>
            <w:rStyle w:val="Hyperlink"/>
          </w:rPr>
          <w:t>http://sundhedsstyrelsen.dk/~/media/F42943CEAEC743DDAD8CB57FF55C9581.ashx</w:t>
        </w:r>
      </w:hyperlink>
      <w:r w:rsidRPr="00FC0859">
        <w:rPr>
          <w:lang w:val="en-GB"/>
        </w:rPr>
        <w:t xml:space="preserve"> [Last accessed June 13, 2018].</w:t>
      </w:r>
    </w:p>
  </w:endnote>
  <w:endnote w:id="18">
    <w:p w14:paraId="35A6CFEB" w14:textId="77777777" w:rsidR="00BA2FE5" w:rsidRPr="000879D4" w:rsidRDefault="00BA2FE5" w:rsidP="00BA2FE5">
      <w:pPr>
        <w:pStyle w:val="Text"/>
        <w:rPr>
          <w:lang w:val="en-GB" w:eastAsia="ja-JP"/>
        </w:rPr>
      </w:pPr>
      <w:r w:rsidRPr="000879D4">
        <w:rPr>
          <w:rStyle w:val="EndnoteReference"/>
          <w:lang w:val="en-GB"/>
        </w:rPr>
        <w:endnoteRef/>
      </w:r>
      <w:r w:rsidRPr="006406D8">
        <w:rPr>
          <w:lang w:val="en-GB"/>
        </w:rPr>
        <w:t xml:space="preserve"> </w:t>
      </w:r>
      <w:r w:rsidRPr="006406D8">
        <w:rPr>
          <w:noProof/>
          <w:lang w:val="en-GB" w:eastAsia="ja-JP"/>
        </w:rPr>
        <w:t xml:space="preserve">Evans M, Khunti K, Mamdani M </w:t>
      </w:r>
      <w:r w:rsidRPr="006406D8">
        <w:rPr>
          <w:i/>
          <w:noProof/>
          <w:lang w:val="en-GB" w:eastAsia="ja-JP"/>
        </w:rPr>
        <w:t>et al</w:t>
      </w:r>
      <w:r w:rsidRPr="006406D8">
        <w:rPr>
          <w:noProof/>
          <w:lang w:val="en-GB" w:eastAsia="ja-JP"/>
        </w:rPr>
        <w:t xml:space="preserve">. </w:t>
      </w:r>
      <w:r w:rsidRPr="000879D4">
        <w:rPr>
          <w:lang w:val="en-GB" w:eastAsia="ja-JP"/>
        </w:rPr>
        <w:t>Health-related quality of life associated with daytime and nocturnal hypoglycaemic events: a time trade-off survey in five countries. Health Qual Life Outcomes. 2013; 11(1): 90.</w:t>
      </w:r>
    </w:p>
  </w:endnote>
  <w:endnote w:id="19">
    <w:p w14:paraId="0D18F755" w14:textId="77777777" w:rsidR="003670EC" w:rsidRPr="00357D2B" w:rsidRDefault="003670EC" w:rsidP="003670EC">
      <w:pPr>
        <w:pStyle w:val="Text"/>
      </w:pPr>
      <w:r>
        <w:rPr>
          <w:rStyle w:val="EndnoteReference"/>
        </w:rPr>
        <w:endnoteRef/>
      </w:r>
      <w:r>
        <w:t xml:space="preserve"> </w:t>
      </w:r>
      <w:r w:rsidRPr="00357D2B">
        <w:t xml:space="preserve">Hoskins N, </w:t>
      </w:r>
      <w:proofErr w:type="spellStart"/>
      <w:r w:rsidRPr="00357D2B">
        <w:t>Tikkanen</w:t>
      </w:r>
      <w:proofErr w:type="spellEnd"/>
      <w:r w:rsidRPr="00357D2B">
        <w:t xml:space="preserve"> CK, Pedersen-</w:t>
      </w:r>
      <w:proofErr w:type="spellStart"/>
      <w:r w:rsidRPr="00357D2B">
        <w:t>Bjergaard</w:t>
      </w:r>
      <w:proofErr w:type="spellEnd"/>
      <w:r w:rsidRPr="00357D2B">
        <w:t xml:space="preserve"> U</w:t>
      </w:r>
      <w:r>
        <w:t xml:space="preserve">. </w:t>
      </w:r>
      <w:r w:rsidRPr="004873FC">
        <w:t>The economic impact of insulin-related hypoglycemia in Denmark: an analysis using the Local Impact of Hypoglycemia Tool.</w:t>
      </w:r>
      <w:r>
        <w:t xml:space="preserve"> </w:t>
      </w:r>
      <w:r w:rsidRPr="004873FC">
        <w:t>J Med Econ. 2017</w:t>
      </w:r>
      <w:r>
        <w:t>;</w:t>
      </w:r>
      <w:r w:rsidRPr="004873FC">
        <w:t xml:space="preserve"> 20(4):</w:t>
      </w:r>
      <w:r>
        <w:t xml:space="preserve"> </w:t>
      </w:r>
      <w:r w:rsidRPr="004873FC">
        <w:t>363-370</w:t>
      </w:r>
      <w:r>
        <w:t>.</w:t>
      </w:r>
    </w:p>
  </w:endnote>
  <w:endnote w:id="20">
    <w:p w14:paraId="11D53ACB" w14:textId="77777777" w:rsidR="003670EC" w:rsidRPr="00A85E50" w:rsidRDefault="003670EC" w:rsidP="003670EC">
      <w:pPr>
        <w:pStyle w:val="Text"/>
        <w:rPr>
          <w:lang w:val="en-GB"/>
        </w:rPr>
      </w:pPr>
      <w:r>
        <w:rPr>
          <w:rStyle w:val="EndnoteReference"/>
        </w:rPr>
        <w:endnoteRef/>
      </w:r>
      <w:r>
        <w:t xml:space="preserve"> </w:t>
      </w:r>
      <w:proofErr w:type="spellStart"/>
      <w:r w:rsidRPr="00A85E50">
        <w:t>Ghatnekar</w:t>
      </w:r>
      <w:proofErr w:type="spellEnd"/>
      <w:r>
        <w:t xml:space="preserve"> O, </w:t>
      </w:r>
      <w:r w:rsidRPr="00A85E50">
        <w:t>Persson</w:t>
      </w:r>
      <w:r>
        <w:t xml:space="preserve"> U,</w:t>
      </w:r>
      <w:r w:rsidRPr="00A85E50">
        <w:t xml:space="preserve"> Willis</w:t>
      </w:r>
      <w:r>
        <w:t xml:space="preserve"> M,</w:t>
      </w:r>
      <w:r w:rsidRPr="00A85E50">
        <w:t xml:space="preserve"> </w:t>
      </w:r>
      <w:proofErr w:type="spellStart"/>
      <w:r w:rsidRPr="00A85E50">
        <w:t>Ödegaard</w:t>
      </w:r>
      <w:proofErr w:type="spellEnd"/>
      <w:r>
        <w:t xml:space="preserve"> K. </w:t>
      </w:r>
      <w:r w:rsidRPr="00A85E50">
        <w:t xml:space="preserve">Cost Effectiveness of </w:t>
      </w:r>
      <w:proofErr w:type="spellStart"/>
      <w:r w:rsidRPr="00A85E50">
        <w:t>Becaplermin</w:t>
      </w:r>
      <w:proofErr w:type="spellEnd"/>
      <w:r w:rsidRPr="00A85E50">
        <w:t xml:space="preserve"> in the Treatment of Diabetic Foot Ulcers in Four European Countrie</w:t>
      </w:r>
      <w:r>
        <w:t xml:space="preserve">s. Pharmacoeconomics. </w:t>
      </w:r>
      <w:r w:rsidRPr="00A85E50">
        <w:t>2001</w:t>
      </w:r>
      <w:r>
        <w:t xml:space="preserve">; </w:t>
      </w:r>
      <w:r w:rsidRPr="00A85E50">
        <w:t>19</w:t>
      </w:r>
      <w:r>
        <w:t>(</w:t>
      </w:r>
      <w:r w:rsidRPr="00A85E50">
        <w:t>7</w:t>
      </w:r>
      <w:r>
        <w:t xml:space="preserve">): </w:t>
      </w:r>
      <w:r w:rsidRPr="00A85E50">
        <w:t>767–778</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w:altName w:val="Century Gothic"/>
    <w:panose1 w:val="020B0502020204020303"/>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5AB7A" w14:textId="6A84243B" w:rsidR="00DE2A94" w:rsidRPr="00304372" w:rsidRDefault="00DE2A94" w:rsidP="00AC4D3F">
    <w:pPr>
      <w:pStyle w:val="Footer"/>
      <w:jc w:val="right"/>
      <w:rPr>
        <w:rFonts w:ascii="Futura Bk" w:hAnsi="Futura Bk"/>
      </w:rPr>
    </w:pPr>
    <w:r w:rsidRPr="00446AA3">
      <w:rPr>
        <w:rFonts w:ascii="Futura Bk" w:hAnsi="Futura Bk"/>
        <w:color w:val="808080"/>
        <w:sz w:val="16"/>
        <w:szCs w:val="16"/>
      </w:rPr>
      <w:fldChar w:fldCharType="begin"/>
    </w:r>
    <w:r w:rsidRPr="00446AA3">
      <w:rPr>
        <w:rFonts w:ascii="Futura Bk" w:hAnsi="Futura Bk"/>
        <w:color w:val="808080"/>
        <w:sz w:val="16"/>
        <w:szCs w:val="16"/>
      </w:rPr>
      <w:instrText xml:space="preserve"> PAGE   \* MERGEFORMAT </w:instrText>
    </w:r>
    <w:r w:rsidRPr="00446AA3">
      <w:rPr>
        <w:rFonts w:ascii="Futura Bk" w:hAnsi="Futura Bk"/>
        <w:color w:val="808080"/>
        <w:sz w:val="16"/>
        <w:szCs w:val="16"/>
      </w:rPr>
      <w:fldChar w:fldCharType="separate"/>
    </w:r>
    <w:r>
      <w:rPr>
        <w:rFonts w:ascii="Futura Bk" w:hAnsi="Futura Bk"/>
        <w:noProof/>
        <w:color w:val="808080"/>
        <w:sz w:val="16"/>
        <w:szCs w:val="16"/>
      </w:rPr>
      <w:t>8</w:t>
    </w:r>
    <w:r w:rsidRPr="00446AA3">
      <w:rPr>
        <w:rFonts w:ascii="Futura Bk" w:hAnsi="Futura Bk"/>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F943" w14:textId="77777777" w:rsidR="00DE2A94" w:rsidRPr="006A08BA" w:rsidRDefault="00DE2A94" w:rsidP="00AC4D3F">
    <w:pPr>
      <w:pStyle w:val="Footer"/>
      <w:jc w:val="right"/>
      <w:rPr>
        <w:color w:val="FFFFFF"/>
        <w:lang w:val="en-US" w:eastAsia="zh-TW"/>
      </w:rPr>
    </w:pPr>
    <w:r w:rsidRPr="006A08BA">
      <w:rPr>
        <w:color w:val="FFFFFF"/>
        <w:lang w:val="en-US" w:eastAsia="zh-T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1B1D0" w14:textId="77777777" w:rsidR="00DE2A94" w:rsidRDefault="00DE2A94" w:rsidP="00882FEA">
      <w:pPr>
        <w:spacing w:after="0" w:line="240" w:lineRule="auto"/>
      </w:pPr>
      <w:r>
        <w:separator/>
      </w:r>
    </w:p>
  </w:footnote>
  <w:footnote w:type="continuationSeparator" w:id="0">
    <w:p w14:paraId="7DB17AF0" w14:textId="77777777" w:rsidR="00DE2A94" w:rsidRDefault="00DE2A94" w:rsidP="00882FEA">
      <w:pPr>
        <w:spacing w:after="0" w:line="240" w:lineRule="auto"/>
      </w:pPr>
      <w:r>
        <w:continuationSeparator/>
      </w:r>
    </w:p>
  </w:footnote>
  <w:footnote w:type="continuationNotice" w:id="1">
    <w:p w14:paraId="4D7597A9" w14:textId="77777777" w:rsidR="00DE2A94" w:rsidRDefault="00DE2A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954D" w14:textId="77777777" w:rsidR="00DE2A94" w:rsidRDefault="00DE2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551D"/>
    <w:multiLevelType w:val="hybridMultilevel"/>
    <w:tmpl w:val="DD164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D019B"/>
    <w:multiLevelType w:val="hybridMultilevel"/>
    <w:tmpl w:val="39862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F51B0"/>
    <w:multiLevelType w:val="hybridMultilevel"/>
    <w:tmpl w:val="09CC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679D9"/>
    <w:multiLevelType w:val="hybridMultilevel"/>
    <w:tmpl w:val="C5E204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201467F"/>
    <w:multiLevelType w:val="hybridMultilevel"/>
    <w:tmpl w:val="61FA2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973D4"/>
    <w:multiLevelType w:val="hybridMultilevel"/>
    <w:tmpl w:val="6944DB68"/>
    <w:lvl w:ilvl="0" w:tplc="A7C2681C">
      <w:start w:val="1"/>
      <w:numFmt w:val="bullet"/>
      <w:lvlText w:val=""/>
      <w:lvlJc w:val="left"/>
      <w:pPr>
        <w:ind w:left="720" w:hanging="360"/>
      </w:pPr>
      <w:rPr>
        <w:rFonts w:ascii="Symbol" w:hAnsi="Symbol" w:hint="default"/>
        <w:vertAlign w:val="baseline"/>
      </w:rPr>
    </w:lvl>
    <w:lvl w:ilvl="1" w:tplc="C2BE9D1A">
      <w:start w:val="1"/>
      <w:numFmt w:val="bullet"/>
      <w:lvlText w:val="o"/>
      <w:lvlJc w:val="left"/>
      <w:pPr>
        <w:ind w:left="1440" w:hanging="360"/>
      </w:pPr>
      <w:rPr>
        <w:rFonts w:ascii="Courier New" w:hAnsi="Courier New" w:cs="Courier New" w:hint="default"/>
        <w:vertAlign w:val="baseline"/>
      </w:rPr>
    </w:lvl>
    <w:lvl w:ilvl="2" w:tplc="ADC26B02">
      <w:start w:val="1"/>
      <w:numFmt w:val="bullet"/>
      <w:lvlText w:val=""/>
      <w:lvlJc w:val="left"/>
      <w:pPr>
        <w:ind w:left="2160" w:hanging="360"/>
      </w:pPr>
      <w:rPr>
        <w:rFonts w:ascii="Wingdings" w:hAnsi="Wingdings" w:hint="default"/>
        <w:vertAlign w:val="baseline"/>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E77CF"/>
    <w:multiLevelType w:val="hybridMultilevel"/>
    <w:tmpl w:val="304E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B51CC7"/>
    <w:multiLevelType w:val="hybridMultilevel"/>
    <w:tmpl w:val="75606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E6436"/>
    <w:multiLevelType w:val="hybridMultilevel"/>
    <w:tmpl w:val="42F4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0C6883"/>
    <w:multiLevelType w:val="multilevel"/>
    <w:tmpl w:val="162CE1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F0D38AB"/>
    <w:multiLevelType w:val="hybridMultilevel"/>
    <w:tmpl w:val="CBF62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ED292B"/>
    <w:multiLevelType w:val="hybridMultilevel"/>
    <w:tmpl w:val="76203D70"/>
    <w:lvl w:ilvl="0" w:tplc="20FEF2E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D7BDB"/>
    <w:multiLevelType w:val="hybridMultilevel"/>
    <w:tmpl w:val="E0941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0"/>
  </w:num>
  <w:num w:numId="4">
    <w:abstractNumId w:val="4"/>
  </w:num>
  <w:num w:numId="5">
    <w:abstractNumId w:val="5"/>
  </w:num>
  <w:num w:numId="6">
    <w:abstractNumId w:val="1"/>
  </w:num>
  <w:num w:numId="7">
    <w:abstractNumId w:val="6"/>
  </w:num>
  <w:num w:numId="8">
    <w:abstractNumId w:val="7"/>
  </w:num>
  <w:num w:numId="9">
    <w:abstractNumId w:val="2"/>
  </w:num>
  <w:num w:numId="10">
    <w:abstractNumId w:val="12"/>
  </w:num>
  <w:num w:numId="11">
    <w:abstractNumId w:val="8"/>
  </w:num>
  <w:num w:numId="12">
    <w:abstractNumId w:val="3"/>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FEA"/>
    <w:rsid w:val="00001A89"/>
    <w:rsid w:val="0000227F"/>
    <w:rsid w:val="0000428F"/>
    <w:rsid w:val="00004DDC"/>
    <w:rsid w:val="00005532"/>
    <w:rsid w:val="00015454"/>
    <w:rsid w:val="00015B7E"/>
    <w:rsid w:val="00017BFE"/>
    <w:rsid w:val="0002332B"/>
    <w:rsid w:val="000236F0"/>
    <w:rsid w:val="00023B98"/>
    <w:rsid w:val="00025ED3"/>
    <w:rsid w:val="00026A3E"/>
    <w:rsid w:val="00031A1F"/>
    <w:rsid w:val="00032D82"/>
    <w:rsid w:val="00033CBF"/>
    <w:rsid w:val="00033D52"/>
    <w:rsid w:val="00041673"/>
    <w:rsid w:val="000436E3"/>
    <w:rsid w:val="00044C3C"/>
    <w:rsid w:val="000454C0"/>
    <w:rsid w:val="00045879"/>
    <w:rsid w:val="00045C05"/>
    <w:rsid w:val="000467AA"/>
    <w:rsid w:val="00046FB7"/>
    <w:rsid w:val="00047A62"/>
    <w:rsid w:val="00051CD6"/>
    <w:rsid w:val="00054DF9"/>
    <w:rsid w:val="0005531B"/>
    <w:rsid w:val="00055C67"/>
    <w:rsid w:val="000560E6"/>
    <w:rsid w:val="00057ACA"/>
    <w:rsid w:val="00061813"/>
    <w:rsid w:val="00063BA6"/>
    <w:rsid w:val="000644CE"/>
    <w:rsid w:val="00065DD6"/>
    <w:rsid w:val="000664A8"/>
    <w:rsid w:val="0006737B"/>
    <w:rsid w:val="00072121"/>
    <w:rsid w:val="00073086"/>
    <w:rsid w:val="00076372"/>
    <w:rsid w:val="00077215"/>
    <w:rsid w:val="00077DE5"/>
    <w:rsid w:val="00081EDB"/>
    <w:rsid w:val="0008202F"/>
    <w:rsid w:val="00083733"/>
    <w:rsid w:val="00086BC1"/>
    <w:rsid w:val="00087018"/>
    <w:rsid w:val="0009170A"/>
    <w:rsid w:val="00095D1C"/>
    <w:rsid w:val="00096577"/>
    <w:rsid w:val="0009672A"/>
    <w:rsid w:val="00097788"/>
    <w:rsid w:val="000A3036"/>
    <w:rsid w:val="000A3755"/>
    <w:rsid w:val="000A45C5"/>
    <w:rsid w:val="000A4B8E"/>
    <w:rsid w:val="000A6719"/>
    <w:rsid w:val="000A68E3"/>
    <w:rsid w:val="000A7FB7"/>
    <w:rsid w:val="000B00B1"/>
    <w:rsid w:val="000B2CE5"/>
    <w:rsid w:val="000B5915"/>
    <w:rsid w:val="000B766B"/>
    <w:rsid w:val="000C0262"/>
    <w:rsid w:val="000C02EE"/>
    <w:rsid w:val="000C14D5"/>
    <w:rsid w:val="000C3D0B"/>
    <w:rsid w:val="000D29A2"/>
    <w:rsid w:val="000D463A"/>
    <w:rsid w:val="000D5FA1"/>
    <w:rsid w:val="000D68F2"/>
    <w:rsid w:val="000D6E5C"/>
    <w:rsid w:val="000D7C5B"/>
    <w:rsid w:val="000E0616"/>
    <w:rsid w:val="000E2424"/>
    <w:rsid w:val="000E28F2"/>
    <w:rsid w:val="000E495B"/>
    <w:rsid w:val="000E6426"/>
    <w:rsid w:val="000E64F2"/>
    <w:rsid w:val="000E6958"/>
    <w:rsid w:val="000F5659"/>
    <w:rsid w:val="00100D43"/>
    <w:rsid w:val="00101D7F"/>
    <w:rsid w:val="0010367A"/>
    <w:rsid w:val="00104F52"/>
    <w:rsid w:val="00105825"/>
    <w:rsid w:val="00106222"/>
    <w:rsid w:val="00112A2E"/>
    <w:rsid w:val="001176C6"/>
    <w:rsid w:val="00117AD9"/>
    <w:rsid w:val="001206DA"/>
    <w:rsid w:val="0012577D"/>
    <w:rsid w:val="0013072B"/>
    <w:rsid w:val="00130A1F"/>
    <w:rsid w:val="00130CDB"/>
    <w:rsid w:val="001368F0"/>
    <w:rsid w:val="00137FDF"/>
    <w:rsid w:val="00141101"/>
    <w:rsid w:val="0014111E"/>
    <w:rsid w:val="0014434D"/>
    <w:rsid w:val="001523B4"/>
    <w:rsid w:val="00152C0C"/>
    <w:rsid w:val="001553AD"/>
    <w:rsid w:val="00155FDC"/>
    <w:rsid w:val="001576AC"/>
    <w:rsid w:val="00160AA8"/>
    <w:rsid w:val="001634D1"/>
    <w:rsid w:val="0016518C"/>
    <w:rsid w:val="001656B0"/>
    <w:rsid w:val="00167975"/>
    <w:rsid w:val="00171615"/>
    <w:rsid w:val="00172BB0"/>
    <w:rsid w:val="00174700"/>
    <w:rsid w:val="00174E3D"/>
    <w:rsid w:val="00175A38"/>
    <w:rsid w:val="00175B64"/>
    <w:rsid w:val="00176C1F"/>
    <w:rsid w:val="00176DCF"/>
    <w:rsid w:val="0017718C"/>
    <w:rsid w:val="00181B2D"/>
    <w:rsid w:val="00183B03"/>
    <w:rsid w:val="0018754A"/>
    <w:rsid w:val="001919E9"/>
    <w:rsid w:val="001923D8"/>
    <w:rsid w:val="0019300E"/>
    <w:rsid w:val="00193B59"/>
    <w:rsid w:val="0019743A"/>
    <w:rsid w:val="001975F8"/>
    <w:rsid w:val="001A5547"/>
    <w:rsid w:val="001B0437"/>
    <w:rsid w:val="001B2CEE"/>
    <w:rsid w:val="001B7924"/>
    <w:rsid w:val="001C03FA"/>
    <w:rsid w:val="001C0E17"/>
    <w:rsid w:val="001C2BB1"/>
    <w:rsid w:val="001C43AB"/>
    <w:rsid w:val="001C6C6D"/>
    <w:rsid w:val="001D0158"/>
    <w:rsid w:val="001D0744"/>
    <w:rsid w:val="001D197B"/>
    <w:rsid w:val="001D6BF6"/>
    <w:rsid w:val="001D6DB8"/>
    <w:rsid w:val="001E1653"/>
    <w:rsid w:val="001E333C"/>
    <w:rsid w:val="001E51F2"/>
    <w:rsid w:val="001E6687"/>
    <w:rsid w:val="001E6C3F"/>
    <w:rsid w:val="001E771D"/>
    <w:rsid w:val="001E79A8"/>
    <w:rsid w:val="001F098A"/>
    <w:rsid w:val="001F1134"/>
    <w:rsid w:val="001F1829"/>
    <w:rsid w:val="001F3776"/>
    <w:rsid w:val="001F3DA5"/>
    <w:rsid w:val="001F3E41"/>
    <w:rsid w:val="001F3FBE"/>
    <w:rsid w:val="001F3FF6"/>
    <w:rsid w:val="001F628E"/>
    <w:rsid w:val="001F6736"/>
    <w:rsid w:val="001F68C2"/>
    <w:rsid w:val="002026DC"/>
    <w:rsid w:val="002040E3"/>
    <w:rsid w:val="002053CE"/>
    <w:rsid w:val="00207CE5"/>
    <w:rsid w:val="00210FD1"/>
    <w:rsid w:val="002125BB"/>
    <w:rsid w:val="00213308"/>
    <w:rsid w:val="002169CF"/>
    <w:rsid w:val="0022043F"/>
    <w:rsid w:val="00220668"/>
    <w:rsid w:val="00222207"/>
    <w:rsid w:val="002232E9"/>
    <w:rsid w:val="002244FB"/>
    <w:rsid w:val="00227F86"/>
    <w:rsid w:val="00234055"/>
    <w:rsid w:val="00240ABA"/>
    <w:rsid w:val="00243C5E"/>
    <w:rsid w:val="00244316"/>
    <w:rsid w:val="00244D2A"/>
    <w:rsid w:val="0025038D"/>
    <w:rsid w:val="00250B5C"/>
    <w:rsid w:val="00250B7F"/>
    <w:rsid w:val="00251EB5"/>
    <w:rsid w:val="00253019"/>
    <w:rsid w:val="002566F6"/>
    <w:rsid w:val="00260069"/>
    <w:rsid w:val="00263146"/>
    <w:rsid w:val="0026320D"/>
    <w:rsid w:val="0026395E"/>
    <w:rsid w:val="00264EDA"/>
    <w:rsid w:val="00265256"/>
    <w:rsid w:val="00266C9C"/>
    <w:rsid w:val="00270517"/>
    <w:rsid w:val="002711BC"/>
    <w:rsid w:val="00272703"/>
    <w:rsid w:val="00274442"/>
    <w:rsid w:val="002752DA"/>
    <w:rsid w:val="00287CD3"/>
    <w:rsid w:val="0029063B"/>
    <w:rsid w:val="00291C8A"/>
    <w:rsid w:val="002926B8"/>
    <w:rsid w:val="00293A1E"/>
    <w:rsid w:val="00296A40"/>
    <w:rsid w:val="002A3944"/>
    <w:rsid w:val="002A5488"/>
    <w:rsid w:val="002A5667"/>
    <w:rsid w:val="002A622B"/>
    <w:rsid w:val="002A6CC4"/>
    <w:rsid w:val="002A766E"/>
    <w:rsid w:val="002A7AB8"/>
    <w:rsid w:val="002B00F6"/>
    <w:rsid w:val="002B04D7"/>
    <w:rsid w:val="002B0DB9"/>
    <w:rsid w:val="002B0FFD"/>
    <w:rsid w:val="002B1020"/>
    <w:rsid w:val="002B3361"/>
    <w:rsid w:val="002B4273"/>
    <w:rsid w:val="002B56A6"/>
    <w:rsid w:val="002B577D"/>
    <w:rsid w:val="002B7311"/>
    <w:rsid w:val="002C0530"/>
    <w:rsid w:val="002C1EE8"/>
    <w:rsid w:val="002C3253"/>
    <w:rsid w:val="002C38FC"/>
    <w:rsid w:val="002C5DA6"/>
    <w:rsid w:val="002C6742"/>
    <w:rsid w:val="002C78A1"/>
    <w:rsid w:val="002D0171"/>
    <w:rsid w:val="002D0D57"/>
    <w:rsid w:val="002D1617"/>
    <w:rsid w:val="002D1F14"/>
    <w:rsid w:val="002D2041"/>
    <w:rsid w:val="002D259D"/>
    <w:rsid w:val="002D46A7"/>
    <w:rsid w:val="002D5087"/>
    <w:rsid w:val="002D604B"/>
    <w:rsid w:val="002E23EA"/>
    <w:rsid w:val="002E3E97"/>
    <w:rsid w:val="002E4905"/>
    <w:rsid w:val="002E4ABE"/>
    <w:rsid w:val="002E58C4"/>
    <w:rsid w:val="002E615B"/>
    <w:rsid w:val="002E71F1"/>
    <w:rsid w:val="002E76CE"/>
    <w:rsid w:val="002F019C"/>
    <w:rsid w:val="002F0291"/>
    <w:rsid w:val="002F672B"/>
    <w:rsid w:val="002F7C5A"/>
    <w:rsid w:val="00300A56"/>
    <w:rsid w:val="0030199A"/>
    <w:rsid w:val="0030253D"/>
    <w:rsid w:val="00303DCE"/>
    <w:rsid w:val="0030475C"/>
    <w:rsid w:val="003058A3"/>
    <w:rsid w:val="003058F1"/>
    <w:rsid w:val="00306984"/>
    <w:rsid w:val="00306B82"/>
    <w:rsid w:val="0031511D"/>
    <w:rsid w:val="00316C25"/>
    <w:rsid w:val="003171F1"/>
    <w:rsid w:val="0032072E"/>
    <w:rsid w:val="00321972"/>
    <w:rsid w:val="00322265"/>
    <w:rsid w:val="003228A5"/>
    <w:rsid w:val="003232F8"/>
    <w:rsid w:val="003234B9"/>
    <w:rsid w:val="003255D8"/>
    <w:rsid w:val="00327F34"/>
    <w:rsid w:val="00330561"/>
    <w:rsid w:val="00334508"/>
    <w:rsid w:val="003345CD"/>
    <w:rsid w:val="003346E6"/>
    <w:rsid w:val="00334B21"/>
    <w:rsid w:val="003358B2"/>
    <w:rsid w:val="003362B1"/>
    <w:rsid w:val="0033757A"/>
    <w:rsid w:val="00337C91"/>
    <w:rsid w:val="00340EC7"/>
    <w:rsid w:val="00341CBD"/>
    <w:rsid w:val="00342B96"/>
    <w:rsid w:val="00344EF1"/>
    <w:rsid w:val="0034610E"/>
    <w:rsid w:val="003476F5"/>
    <w:rsid w:val="00347AD1"/>
    <w:rsid w:val="003507D0"/>
    <w:rsid w:val="00351FFD"/>
    <w:rsid w:val="003529C9"/>
    <w:rsid w:val="00353C4E"/>
    <w:rsid w:val="003551AB"/>
    <w:rsid w:val="003556BC"/>
    <w:rsid w:val="003561F3"/>
    <w:rsid w:val="003565F8"/>
    <w:rsid w:val="00357D2B"/>
    <w:rsid w:val="00357FC8"/>
    <w:rsid w:val="00363FAD"/>
    <w:rsid w:val="003641C6"/>
    <w:rsid w:val="0036561A"/>
    <w:rsid w:val="00366EC9"/>
    <w:rsid w:val="003670EC"/>
    <w:rsid w:val="00367738"/>
    <w:rsid w:val="00371992"/>
    <w:rsid w:val="00372FC1"/>
    <w:rsid w:val="003732B6"/>
    <w:rsid w:val="00374C02"/>
    <w:rsid w:val="00380BEB"/>
    <w:rsid w:val="00381088"/>
    <w:rsid w:val="0038300F"/>
    <w:rsid w:val="00383451"/>
    <w:rsid w:val="0038471F"/>
    <w:rsid w:val="0039001B"/>
    <w:rsid w:val="003907C2"/>
    <w:rsid w:val="00390F21"/>
    <w:rsid w:val="00391610"/>
    <w:rsid w:val="00391F38"/>
    <w:rsid w:val="00393429"/>
    <w:rsid w:val="00395247"/>
    <w:rsid w:val="003957C3"/>
    <w:rsid w:val="003977A4"/>
    <w:rsid w:val="003A0D05"/>
    <w:rsid w:val="003A0E34"/>
    <w:rsid w:val="003A110E"/>
    <w:rsid w:val="003A533C"/>
    <w:rsid w:val="003A5357"/>
    <w:rsid w:val="003B047E"/>
    <w:rsid w:val="003B0F88"/>
    <w:rsid w:val="003B14A4"/>
    <w:rsid w:val="003B22D8"/>
    <w:rsid w:val="003B2BB4"/>
    <w:rsid w:val="003B4D10"/>
    <w:rsid w:val="003B6E2F"/>
    <w:rsid w:val="003B7115"/>
    <w:rsid w:val="003C00C6"/>
    <w:rsid w:val="003C2F64"/>
    <w:rsid w:val="003C3C6C"/>
    <w:rsid w:val="003C6B77"/>
    <w:rsid w:val="003C6E3A"/>
    <w:rsid w:val="003C76DD"/>
    <w:rsid w:val="003C7A44"/>
    <w:rsid w:val="003D3A29"/>
    <w:rsid w:val="003D4541"/>
    <w:rsid w:val="003D51DC"/>
    <w:rsid w:val="003D673B"/>
    <w:rsid w:val="003D6A10"/>
    <w:rsid w:val="003E0346"/>
    <w:rsid w:val="003E03F4"/>
    <w:rsid w:val="003E2F35"/>
    <w:rsid w:val="003E3F19"/>
    <w:rsid w:val="003E41C3"/>
    <w:rsid w:val="003E50AE"/>
    <w:rsid w:val="003F10B3"/>
    <w:rsid w:val="003F28EA"/>
    <w:rsid w:val="003F3FAB"/>
    <w:rsid w:val="003F4160"/>
    <w:rsid w:val="003F7AC5"/>
    <w:rsid w:val="0040038E"/>
    <w:rsid w:val="0040056D"/>
    <w:rsid w:val="00401435"/>
    <w:rsid w:val="00401E67"/>
    <w:rsid w:val="00401FC3"/>
    <w:rsid w:val="004042AA"/>
    <w:rsid w:val="004061E5"/>
    <w:rsid w:val="00406F49"/>
    <w:rsid w:val="00407D8D"/>
    <w:rsid w:val="00412722"/>
    <w:rsid w:val="00413D73"/>
    <w:rsid w:val="00414234"/>
    <w:rsid w:val="00415FC4"/>
    <w:rsid w:val="004177F3"/>
    <w:rsid w:val="00420608"/>
    <w:rsid w:val="004256B3"/>
    <w:rsid w:val="0042696A"/>
    <w:rsid w:val="00427F26"/>
    <w:rsid w:val="004317E9"/>
    <w:rsid w:val="00432DB7"/>
    <w:rsid w:val="00436CF4"/>
    <w:rsid w:val="00437AF5"/>
    <w:rsid w:val="0044022E"/>
    <w:rsid w:val="004418CB"/>
    <w:rsid w:val="00441C40"/>
    <w:rsid w:val="00441F27"/>
    <w:rsid w:val="004447B8"/>
    <w:rsid w:val="00445015"/>
    <w:rsid w:val="00447844"/>
    <w:rsid w:val="00451AF4"/>
    <w:rsid w:val="00453BF0"/>
    <w:rsid w:val="00461F52"/>
    <w:rsid w:val="004626A1"/>
    <w:rsid w:val="00465BCA"/>
    <w:rsid w:val="00466421"/>
    <w:rsid w:val="00470F43"/>
    <w:rsid w:val="00471CBB"/>
    <w:rsid w:val="00472B72"/>
    <w:rsid w:val="00472F43"/>
    <w:rsid w:val="0047477F"/>
    <w:rsid w:val="00475062"/>
    <w:rsid w:val="00480C1F"/>
    <w:rsid w:val="00482AA7"/>
    <w:rsid w:val="004846D8"/>
    <w:rsid w:val="0048523F"/>
    <w:rsid w:val="004873FC"/>
    <w:rsid w:val="0048792E"/>
    <w:rsid w:val="00491EC2"/>
    <w:rsid w:val="004925C1"/>
    <w:rsid w:val="0049319B"/>
    <w:rsid w:val="004950BC"/>
    <w:rsid w:val="004971BA"/>
    <w:rsid w:val="004A1E85"/>
    <w:rsid w:val="004A31FC"/>
    <w:rsid w:val="004A40AA"/>
    <w:rsid w:val="004A41A6"/>
    <w:rsid w:val="004A549C"/>
    <w:rsid w:val="004A5821"/>
    <w:rsid w:val="004A6BE0"/>
    <w:rsid w:val="004A7923"/>
    <w:rsid w:val="004B196A"/>
    <w:rsid w:val="004B3517"/>
    <w:rsid w:val="004B40A8"/>
    <w:rsid w:val="004B4FD5"/>
    <w:rsid w:val="004C2976"/>
    <w:rsid w:val="004C3286"/>
    <w:rsid w:val="004C3F76"/>
    <w:rsid w:val="004C47F2"/>
    <w:rsid w:val="004C5252"/>
    <w:rsid w:val="004C6D78"/>
    <w:rsid w:val="004D16DC"/>
    <w:rsid w:val="004D1F25"/>
    <w:rsid w:val="004D226B"/>
    <w:rsid w:val="004D34D8"/>
    <w:rsid w:val="004D4E4F"/>
    <w:rsid w:val="004D4EE8"/>
    <w:rsid w:val="004E5C50"/>
    <w:rsid w:val="004F1D3F"/>
    <w:rsid w:val="00506BD2"/>
    <w:rsid w:val="00507EE2"/>
    <w:rsid w:val="005136BD"/>
    <w:rsid w:val="00514DBA"/>
    <w:rsid w:val="00521166"/>
    <w:rsid w:val="00523A1C"/>
    <w:rsid w:val="0052622D"/>
    <w:rsid w:val="00527362"/>
    <w:rsid w:val="005311D9"/>
    <w:rsid w:val="00531D37"/>
    <w:rsid w:val="00531DB0"/>
    <w:rsid w:val="00535C23"/>
    <w:rsid w:val="005369F8"/>
    <w:rsid w:val="00540E9D"/>
    <w:rsid w:val="00540EBE"/>
    <w:rsid w:val="00541082"/>
    <w:rsid w:val="0054546B"/>
    <w:rsid w:val="005518C3"/>
    <w:rsid w:val="00553CDE"/>
    <w:rsid w:val="00560CCD"/>
    <w:rsid w:val="00561134"/>
    <w:rsid w:val="00561A1B"/>
    <w:rsid w:val="00565807"/>
    <w:rsid w:val="00567E01"/>
    <w:rsid w:val="00575CD1"/>
    <w:rsid w:val="0057798E"/>
    <w:rsid w:val="00581F85"/>
    <w:rsid w:val="00582494"/>
    <w:rsid w:val="00583240"/>
    <w:rsid w:val="00584BDA"/>
    <w:rsid w:val="00586E1D"/>
    <w:rsid w:val="005873CB"/>
    <w:rsid w:val="005905D3"/>
    <w:rsid w:val="00590D9B"/>
    <w:rsid w:val="00594DE0"/>
    <w:rsid w:val="00597887"/>
    <w:rsid w:val="005A16E3"/>
    <w:rsid w:val="005A30BD"/>
    <w:rsid w:val="005A3AF0"/>
    <w:rsid w:val="005A4470"/>
    <w:rsid w:val="005A48FC"/>
    <w:rsid w:val="005A51CC"/>
    <w:rsid w:val="005A5D0D"/>
    <w:rsid w:val="005A6565"/>
    <w:rsid w:val="005B2086"/>
    <w:rsid w:val="005B3438"/>
    <w:rsid w:val="005B3636"/>
    <w:rsid w:val="005B4B95"/>
    <w:rsid w:val="005B667F"/>
    <w:rsid w:val="005C31DA"/>
    <w:rsid w:val="005C3E36"/>
    <w:rsid w:val="005C43AA"/>
    <w:rsid w:val="005C4639"/>
    <w:rsid w:val="005C4F96"/>
    <w:rsid w:val="005C69A2"/>
    <w:rsid w:val="005C7AC5"/>
    <w:rsid w:val="005D12A1"/>
    <w:rsid w:val="005D1369"/>
    <w:rsid w:val="005D316F"/>
    <w:rsid w:val="005D40CD"/>
    <w:rsid w:val="005D7704"/>
    <w:rsid w:val="005E1F9F"/>
    <w:rsid w:val="005E2258"/>
    <w:rsid w:val="005E2BBF"/>
    <w:rsid w:val="005E3FA1"/>
    <w:rsid w:val="005E42CF"/>
    <w:rsid w:val="005E4C95"/>
    <w:rsid w:val="005E6627"/>
    <w:rsid w:val="005E712E"/>
    <w:rsid w:val="005F05C0"/>
    <w:rsid w:val="005F451D"/>
    <w:rsid w:val="005F5094"/>
    <w:rsid w:val="005F564B"/>
    <w:rsid w:val="005F5B08"/>
    <w:rsid w:val="005F7CB1"/>
    <w:rsid w:val="00600042"/>
    <w:rsid w:val="00601AA5"/>
    <w:rsid w:val="00602952"/>
    <w:rsid w:val="00604769"/>
    <w:rsid w:val="00605E14"/>
    <w:rsid w:val="006074A8"/>
    <w:rsid w:val="00610428"/>
    <w:rsid w:val="00610F22"/>
    <w:rsid w:val="00612C3B"/>
    <w:rsid w:val="0061349A"/>
    <w:rsid w:val="0061687C"/>
    <w:rsid w:val="006169D0"/>
    <w:rsid w:val="006173E2"/>
    <w:rsid w:val="00621E40"/>
    <w:rsid w:val="006272A1"/>
    <w:rsid w:val="00632271"/>
    <w:rsid w:val="00633746"/>
    <w:rsid w:val="00633BC1"/>
    <w:rsid w:val="00634601"/>
    <w:rsid w:val="006406D8"/>
    <w:rsid w:val="006408A3"/>
    <w:rsid w:val="00642BA0"/>
    <w:rsid w:val="00643346"/>
    <w:rsid w:val="00644DEC"/>
    <w:rsid w:val="00645AB3"/>
    <w:rsid w:val="00646614"/>
    <w:rsid w:val="00646884"/>
    <w:rsid w:val="00646D98"/>
    <w:rsid w:val="0065091F"/>
    <w:rsid w:val="00651C06"/>
    <w:rsid w:val="00651C0C"/>
    <w:rsid w:val="00651E03"/>
    <w:rsid w:val="00652454"/>
    <w:rsid w:val="00652460"/>
    <w:rsid w:val="00653516"/>
    <w:rsid w:val="00654E36"/>
    <w:rsid w:val="0065766B"/>
    <w:rsid w:val="00661B67"/>
    <w:rsid w:val="0066209E"/>
    <w:rsid w:val="0066232D"/>
    <w:rsid w:val="0066588B"/>
    <w:rsid w:val="00665D46"/>
    <w:rsid w:val="0066704C"/>
    <w:rsid w:val="00667363"/>
    <w:rsid w:val="00671628"/>
    <w:rsid w:val="00671D55"/>
    <w:rsid w:val="00672FBD"/>
    <w:rsid w:val="00673C74"/>
    <w:rsid w:val="0067416E"/>
    <w:rsid w:val="00675321"/>
    <w:rsid w:val="0067690A"/>
    <w:rsid w:val="006771E5"/>
    <w:rsid w:val="0068087F"/>
    <w:rsid w:val="006819AD"/>
    <w:rsid w:val="00683271"/>
    <w:rsid w:val="00683FA6"/>
    <w:rsid w:val="00684B63"/>
    <w:rsid w:val="00686BC5"/>
    <w:rsid w:val="00687512"/>
    <w:rsid w:val="00691A7A"/>
    <w:rsid w:val="0069275D"/>
    <w:rsid w:val="00694486"/>
    <w:rsid w:val="006949FD"/>
    <w:rsid w:val="00694B5E"/>
    <w:rsid w:val="00695AF7"/>
    <w:rsid w:val="00697D23"/>
    <w:rsid w:val="006A1C91"/>
    <w:rsid w:val="006A27EE"/>
    <w:rsid w:val="006A2AEE"/>
    <w:rsid w:val="006A2F20"/>
    <w:rsid w:val="006A3E00"/>
    <w:rsid w:val="006A70E9"/>
    <w:rsid w:val="006A7DFA"/>
    <w:rsid w:val="006B4636"/>
    <w:rsid w:val="006B5DA9"/>
    <w:rsid w:val="006B6A3C"/>
    <w:rsid w:val="006B6B76"/>
    <w:rsid w:val="006C064E"/>
    <w:rsid w:val="006C158A"/>
    <w:rsid w:val="006C1BAC"/>
    <w:rsid w:val="006C3724"/>
    <w:rsid w:val="006C4E8F"/>
    <w:rsid w:val="006C52B2"/>
    <w:rsid w:val="006D1084"/>
    <w:rsid w:val="006D17E7"/>
    <w:rsid w:val="006E11B1"/>
    <w:rsid w:val="006E1673"/>
    <w:rsid w:val="006E3070"/>
    <w:rsid w:val="006E355D"/>
    <w:rsid w:val="006E413B"/>
    <w:rsid w:val="006E6389"/>
    <w:rsid w:val="006E7D04"/>
    <w:rsid w:val="006F0E63"/>
    <w:rsid w:val="006F3AAA"/>
    <w:rsid w:val="006F7234"/>
    <w:rsid w:val="00701319"/>
    <w:rsid w:val="00701329"/>
    <w:rsid w:val="007026F3"/>
    <w:rsid w:val="00703ACC"/>
    <w:rsid w:val="00703D6D"/>
    <w:rsid w:val="00704B8C"/>
    <w:rsid w:val="00704E66"/>
    <w:rsid w:val="00706879"/>
    <w:rsid w:val="00707162"/>
    <w:rsid w:val="0070730F"/>
    <w:rsid w:val="00710137"/>
    <w:rsid w:val="0071135F"/>
    <w:rsid w:val="00711726"/>
    <w:rsid w:val="00714DD3"/>
    <w:rsid w:val="00714FA5"/>
    <w:rsid w:val="00717813"/>
    <w:rsid w:val="00717940"/>
    <w:rsid w:val="0072024A"/>
    <w:rsid w:val="00721B3C"/>
    <w:rsid w:val="007253A1"/>
    <w:rsid w:val="00725C8A"/>
    <w:rsid w:val="00730227"/>
    <w:rsid w:val="00732472"/>
    <w:rsid w:val="0073286F"/>
    <w:rsid w:val="0073363F"/>
    <w:rsid w:val="00733B28"/>
    <w:rsid w:val="007340B8"/>
    <w:rsid w:val="007346DF"/>
    <w:rsid w:val="007425BD"/>
    <w:rsid w:val="007436C6"/>
    <w:rsid w:val="00743AD3"/>
    <w:rsid w:val="00746627"/>
    <w:rsid w:val="0074732F"/>
    <w:rsid w:val="007476F5"/>
    <w:rsid w:val="00747882"/>
    <w:rsid w:val="007479F8"/>
    <w:rsid w:val="00747AE8"/>
    <w:rsid w:val="007500D3"/>
    <w:rsid w:val="00751E61"/>
    <w:rsid w:val="007527BC"/>
    <w:rsid w:val="00753BC4"/>
    <w:rsid w:val="00753E78"/>
    <w:rsid w:val="00755837"/>
    <w:rsid w:val="00755BBC"/>
    <w:rsid w:val="0075719A"/>
    <w:rsid w:val="00757558"/>
    <w:rsid w:val="00757FAE"/>
    <w:rsid w:val="007606E5"/>
    <w:rsid w:val="0076072E"/>
    <w:rsid w:val="007611F6"/>
    <w:rsid w:val="007622A4"/>
    <w:rsid w:val="0076239B"/>
    <w:rsid w:val="00766D16"/>
    <w:rsid w:val="00767B79"/>
    <w:rsid w:val="00772E16"/>
    <w:rsid w:val="00773841"/>
    <w:rsid w:val="00774BEB"/>
    <w:rsid w:val="00774F9B"/>
    <w:rsid w:val="007810A6"/>
    <w:rsid w:val="00781A45"/>
    <w:rsid w:val="00783AE0"/>
    <w:rsid w:val="007843F8"/>
    <w:rsid w:val="00787E65"/>
    <w:rsid w:val="00792EAA"/>
    <w:rsid w:val="00793B68"/>
    <w:rsid w:val="007A011C"/>
    <w:rsid w:val="007A04E1"/>
    <w:rsid w:val="007A2E33"/>
    <w:rsid w:val="007A487B"/>
    <w:rsid w:val="007A5B35"/>
    <w:rsid w:val="007A5E2B"/>
    <w:rsid w:val="007B0BF2"/>
    <w:rsid w:val="007B0C10"/>
    <w:rsid w:val="007B4140"/>
    <w:rsid w:val="007C03EC"/>
    <w:rsid w:val="007C1DC2"/>
    <w:rsid w:val="007C1EBC"/>
    <w:rsid w:val="007C2188"/>
    <w:rsid w:val="007C3D0B"/>
    <w:rsid w:val="007C57F5"/>
    <w:rsid w:val="007C6212"/>
    <w:rsid w:val="007C6917"/>
    <w:rsid w:val="007D0952"/>
    <w:rsid w:val="007D3F75"/>
    <w:rsid w:val="007D4233"/>
    <w:rsid w:val="007D6BF3"/>
    <w:rsid w:val="007D6F74"/>
    <w:rsid w:val="007D74CE"/>
    <w:rsid w:val="007E074A"/>
    <w:rsid w:val="007F1454"/>
    <w:rsid w:val="007F19B7"/>
    <w:rsid w:val="007F3EB3"/>
    <w:rsid w:val="007F59FF"/>
    <w:rsid w:val="007F5F39"/>
    <w:rsid w:val="008002A8"/>
    <w:rsid w:val="00803622"/>
    <w:rsid w:val="008049EB"/>
    <w:rsid w:val="00806208"/>
    <w:rsid w:val="00811D08"/>
    <w:rsid w:val="008165BE"/>
    <w:rsid w:val="0081715C"/>
    <w:rsid w:val="0082098B"/>
    <w:rsid w:val="00820F3B"/>
    <w:rsid w:val="008214D1"/>
    <w:rsid w:val="00821EA5"/>
    <w:rsid w:val="00823840"/>
    <w:rsid w:val="008248AE"/>
    <w:rsid w:val="008266F4"/>
    <w:rsid w:val="008317F8"/>
    <w:rsid w:val="00834D35"/>
    <w:rsid w:val="008356E5"/>
    <w:rsid w:val="00836473"/>
    <w:rsid w:val="00837A20"/>
    <w:rsid w:val="00837AB8"/>
    <w:rsid w:val="008416C2"/>
    <w:rsid w:val="0084285E"/>
    <w:rsid w:val="00842B46"/>
    <w:rsid w:val="00843840"/>
    <w:rsid w:val="00844755"/>
    <w:rsid w:val="008448F5"/>
    <w:rsid w:val="008459C0"/>
    <w:rsid w:val="00845CA0"/>
    <w:rsid w:val="00846B21"/>
    <w:rsid w:val="00847A2A"/>
    <w:rsid w:val="00847BB5"/>
    <w:rsid w:val="00847FC4"/>
    <w:rsid w:val="0085017D"/>
    <w:rsid w:val="00850231"/>
    <w:rsid w:val="00850F22"/>
    <w:rsid w:val="008518DC"/>
    <w:rsid w:val="00852F9A"/>
    <w:rsid w:val="00853A1C"/>
    <w:rsid w:val="00853B27"/>
    <w:rsid w:val="00854FF1"/>
    <w:rsid w:val="00856515"/>
    <w:rsid w:val="00857DE2"/>
    <w:rsid w:val="00857FE3"/>
    <w:rsid w:val="00860702"/>
    <w:rsid w:val="00861EAC"/>
    <w:rsid w:val="008632D6"/>
    <w:rsid w:val="0086466D"/>
    <w:rsid w:val="00865390"/>
    <w:rsid w:val="00866020"/>
    <w:rsid w:val="00870C2E"/>
    <w:rsid w:val="00871109"/>
    <w:rsid w:val="008713BE"/>
    <w:rsid w:val="00871BE2"/>
    <w:rsid w:val="00871BE5"/>
    <w:rsid w:val="00872308"/>
    <w:rsid w:val="00876E7E"/>
    <w:rsid w:val="0088037A"/>
    <w:rsid w:val="0088053A"/>
    <w:rsid w:val="008816FE"/>
    <w:rsid w:val="00881D38"/>
    <w:rsid w:val="00882FEA"/>
    <w:rsid w:val="008845B2"/>
    <w:rsid w:val="0088598B"/>
    <w:rsid w:val="00890FB7"/>
    <w:rsid w:val="00891984"/>
    <w:rsid w:val="0089240A"/>
    <w:rsid w:val="00892664"/>
    <w:rsid w:val="00892E84"/>
    <w:rsid w:val="00897E33"/>
    <w:rsid w:val="008A0F88"/>
    <w:rsid w:val="008A4413"/>
    <w:rsid w:val="008A46A1"/>
    <w:rsid w:val="008A6FC2"/>
    <w:rsid w:val="008B2144"/>
    <w:rsid w:val="008B267D"/>
    <w:rsid w:val="008B2EFC"/>
    <w:rsid w:val="008B36EF"/>
    <w:rsid w:val="008B4E52"/>
    <w:rsid w:val="008B59B4"/>
    <w:rsid w:val="008B6129"/>
    <w:rsid w:val="008B673B"/>
    <w:rsid w:val="008B675F"/>
    <w:rsid w:val="008B6CD0"/>
    <w:rsid w:val="008B7E18"/>
    <w:rsid w:val="008C37D4"/>
    <w:rsid w:val="008C3930"/>
    <w:rsid w:val="008C4428"/>
    <w:rsid w:val="008C63CA"/>
    <w:rsid w:val="008D204A"/>
    <w:rsid w:val="008D2518"/>
    <w:rsid w:val="008D2962"/>
    <w:rsid w:val="008D3052"/>
    <w:rsid w:val="008D3A47"/>
    <w:rsid w:val="008D3CCE"/>
    <w:rsid w:val="008D4171"/>
    <w:rsid w:val="008D4AD7"/>
    <w:rsid w:val="008D57C9"/>
    <w:rsid w:val="008D73AC"/>
    <w:rsid w:val="008D754F"/>
    <w:rsid w:val="008D75AB"/>
    <w:rsid w:val="008D7885"/>
    <w:rsid w:val="008D7EB8"/>
    <w:rsid w:val="008E1292"/>
    <w:rsid w:val="008E61E6"/>
    <w:rsid w:val="008E67B1"/>
    <w:rsid w:val="008F02C1"/>
    <w:rsid w:val="008F1527"/>
    <w:rsid w:val="008F1897"/>
    <w:rsid w:val="008F3332"/>
    <w:rsid w:val="008F448F"/>
    <w:rsid w:val="008F4C0C"/>
    <w:rsid w:val="008F7A4C"/>
    <w:rsid w:val="009016B0"/>
    <w:rsid w:val="00901C31"/>
    <w:rsid w:val="0090243E"/>
    <w:rsid w:val="00902866"/>
    <w:rsid w:val="009055A1"/>
    <w:rsid w:val="009079AC"/>
    <w:rsid w:val="00907FA2"/>
    <w:rsid w:val="009107AE"/>
    <w:rsid w:val="009107C1"/>
    <w:rsid w:val="0091273E"/>
    <w:rsid w:val="0091557D"/>
    <w:rsid w:val="009155A5"/>
    <w:rsid w:val="0091746B"/>
    <w:rsid w:val="00917B13"/>
    <w:rsid w:val="00920248"/>
    <w:rsid w:val="00921E1E"/>
    <w:rsid w:val="00922C9B"/>
    <w:rsid w:val="00924255"/>
    <w:rsid w:val="00924B2D"/>
    <w:rsid w:val="009250F5"/>
    <w:rsid w:val="00926265"/>
    <w:rsid w:val="00930303"/>
    <w:rsid w:val="00936316"/>
    <w:rsid w:val="00942C8F"/>
    <w:rsid w:val="00942FBE"/>
    <w:rsid w:val="00944FB8"/>
    <w:rsid w:val="00945272"/>
    <w:rsid w:val="00947B32"/>
    <w:rsid w:val="00950EA6"/>
    <w:rsid w:val="00951408"/>
    <w:rsid w:val="00951F2C"/>
    <w:rsid w:val="00952169"/>
    <w:rsid w:val="009533DB"/>
    <w:rsid w:val="009537D3"/>
    <w:rsid w:val="0095501B"/>
    <w:rsid w:val="00955CF2"/>
    <w:rsid w:val="00955F88"/>
    <w:rsid w:val="0095781B"/>
    <w:rsid w:val="009625BE"/>
    <w:rsid w:val="00964635"/>
    <w:rsid w:val="009647B5"/>
    <w:rsid w:val="00966B8C"/>
    <w:rsid w:val="00966CD8"/>
    <w:rsid w:val="009704FC"/>
    <w:rsid w:val="009711DD"/>
    <w:rsid w:val="00973E74"/>
    <w:rsid w:val="00977616"/>
    <w:rsid w:val="009800A7"/>
    <w:rsid w:val="00981FEB"/>
    <w:rsid w:val="009823BD"/>
    <w:rsid w:val="00984E2A"/>
    <w:rsid w:val="00990FE4"/>
    <w:rsid w:val="0099167F"/>
    <w:rsid w:val="009923F4"/>
    <w:rsid w:val="009929B7"/>
    <w:rsid w:val="00992CD7"/>
    <w:rsid w:val="0099302F"/>
    <w:rsid w:val="00996C02"/>
    <w:rsid w:val="0099716E"/>
    <w:rsid w:val="0099799E"/>
    <w:rsid w:val="009A0E0E"/>
    <w:rsid w:val="009A0FDA"/>
    <w:rsid w:val="009A1382"/>
    <w:rsid w:val="009A17CC"/>
    <w:rsid w:val="009A3B22"/>
    <w:rsid w:val="009A4D58"/>
    <w:rsid w:val="009A5AB3"/>
    <w:rsid w:val="009A707F"/>
    <w:rsid w:val="009A72B4"/>
    <w:rsid w:val="009A74CD"/>
    <w:rsid w:val="009A78E8"/>
    <w:rsid w:val="009B32CA"/>
    <w:rsid w:val="009B45C8"/>
    <w:rsid w:val="009B552F"/>
    <w:rsid w:val="009B75BB"/>
    <w:rsid w:val="009B78E3"/>
    <w:rsid w:val="009C2D51"/>
    <w:rsid w:val="009C4B0C"/>
    <w:rsid w:val="009C68A7"/>
    <w:rsid w:val="009C7121"/>
    <w:rsid w:val="009D1BA1"/>
    <w:rsid w:val="009D4078"/>
    <w:rsid w:val="009D5187"/>
    <w:rsid w:val="009D5198"/>
    <w:rsid w:val="009D7652"/>
    <w:rsid w:val="009E08BF"/>
    <w:rsid w:val="009E10DA"/>
    <w:rsid w:val="009E1CB1"/>
    <w:rsid w:val="009E2C1B"/>
    <w:rsid w:val="009E41B4"/>
    <w:rsid w:val="009E7100"/>
    <w:rsid w:val="009E71E8"/>
    <w:rsid w:val="009E7A1B"/>
    <w:rsid w:val="009F15B8"/>
    <w:rsid w:val="009F1855"/>
    <w:rsid w:val="009F1B19"/>
    <w:rsid w:val="009F367F"/>
    <w:rsid w:val="009F3F2A"/>
    <w:rsid w:val="009F4003"/>
    <w:rsid w:val="009F67C0"/>
    <w:rsid w:val="009F6AE3"/>
    <w:rsid w:val="009F72A2"/>
    <w:rsid w:val="00A02536"/>
    <w:rsid w:val="00A028DC"/>
    <w:rsid w:val="00A02C3F"/>
    <w:rsid w:val="00A052A3"/>
    <w:rsid w:val="00A10893"/>
    <w:rsid w:val="00A1115F"/>
    <w:rsid w:val="00A20CD4"/>
    <w:rsid w:val="00A21FDA"/>
    <w:rsid w:val="00A2240A"/>
    <w:rsid w:val="00A25AC6"/>
    <w:rsid w:val="00A25B08"/>
    <w:rsid w:val="00A27FF7"/>
    <w:rsid w:val="00A3335B"/>
    <w:rsid w:val="00A36B91"/>
    <w:rsid w:val="00A36CA0"/>
    <w:rsid w:val="00A40876"/>
    <w:rsid w:val="00A449B5"/>
    <w:rsid w:val="00A5003F"/>
    <w:rsid w:val="00A52104"/>
    <w:rsid w:val="00A60F8F"/>
    <w:rsid w:val="00A624AB"/>
    <w:rsid w:val="00A64383"/>
    <w:rsid w:val="00A65BE5"/>
    <w:rsid w:val="00A676E3"/>
    <w:rsid w:val="00A7187E"/>
    <w:rsid w:val="00A72539"/>
    <w:rsid w:val="00A72609"/>
    <w:rsid w:val="00A73232"/>
    <w:rsid w:val="00A74682"/>
    <w:rsid w:val="00A74745"/>
    <w:rsid w:val="00A74B61"/>
    <w:rsid w:val="00A76748"/>
    <w:rsid w:val="00A77C20"/>
    <w:rsid w:val="00A8089E"/>
    <w:rsid w:val="00A82528"/>
    <w:rsid w:val="00A83054"/>
    <w:rsid w:val="00A830F6"/>
    <w:rsid w:val="00A831D5"/>
    <w:rsid w:val="00A83300"/>
    <w:rsid w:val="00A85E50"/>
    <w:rsid w:val="00A902AA"/>
    <w:rsid w:val="00A92C33"/>
    <w:rsid w:val="00A9455B"/>
    <w:rsid w:val="00A94A54"/>
    <w:rsid w:val="00A9556E"/>
    <w:rsid w:val="00A963CB"/>
    <w:rsid w:val="00A97523"/>
    <w:rsid w:val="00A97DC2"/>
    <w:rsid w:val="00AA3CBC"/>
    <w:rsid w:val="00AA3DED"/>
    <w:rsid w:val="00AA5351"/>
    <w:rsid w:val="00AA718A"/>
    <w:rsid w:val="00AB07F1"/>
    <w:rsid w:val="00AB09AF"/>
    <w:rsid w:val="00AB10CB"/>
    <w:rsid w:val="00AB3D98"/>
    <w:rsid w:val="00AB64C0"/>
    <w:rsid w:val="00AC1549"/>
    <w:rsid w:val="00AC2307"/>
    <w:rsid w:val="00AC4D3F"/>
    <w:rsid w:val="00AC4D54"/>
    <w:rsid w:val="00AC552A"/>
    <w:rsid w:val="00AC6512"/>
    <w:rsid w:val="00AC66A9"/>
    <w:rsid w:val="00AD369F"/>
    <w:rsid w:val="00AD6332"/>
    <w:rsid w:val="00AD6387"/>
    <w:rsid w:val="00AD6E11"/>
    <w:rsid w:val="00AE120F"/>
    <w:rsid w:val="00AE2B2D"/>
    <w:rsid w:val="00AE3575"/>
    <w:rsid w:val="00AE35E2"/>
    <w:rsid w:val="00AE5320"/>
    <w:rsid w:val="00AE53FB"/>
    <w:rsid w:val="00AE5C6B"/>
    <w:rsid w:val="00AE6395"/>
    <w:rsid w:val="00AE6532"/>
    <w:rsid w:val="00AE654C"/>
    <w:rsid w:val="00AF07F9"/>
    <w:rsid w:val="00AF0812"/>
    <w:rsid w:val="00AF17A1"/>
    <w:rsid w:val="00AF2051"/>
    <w:rsid w:val="00AF2BAD"/>
    <w:rsid w:val="00AF4439"/>
    <w:rsid w:val="00AF4E87"/>
    <w:rsid w:val="00AF592D"/>
    <w:rsid w:val="00AF6888"/>
    <w:rsid w:val="00AF721E"/>
    <w:rsid w:val="00B02BB0"/>
    <w:rsid w:val="00B02DCA"/>
    <w:rsid w:val="00B05DA6"/>
    <w:rsid w:val="00B05E8B"/>
    <w:rsid w:val="00B05EB2"/>
    <w:rsid w:val="00B063FE"/>
    <w:rsid w:val="00B07DAC"/>
    <w:rsid w:val="00B114AA"/>
    <w:rsid w:val="00B13E9E"/>
    <w:rsid w:val="00B14F2F"/>
    <w:rsid w:val="00B15897"/>
    <w:rsid w:val="00B15C8F"/>
    <w:rsid w:val="00B16924"/>
    <w:rsid w:val="00B16B6D"/>
    <w:rsid w:val="00B17E24"/>
    <w:rsid w:val="00B17EA8"/>
    <w:rsid w:val="00B203FF"/>
    <w:rsid w:val="00B225D5"/>
    <w:rsid w:val="00B241C3"/>
    <w:rsid w:val="00B256C1"/>
    <w:rsid w:val="00B26A0F"/>
    <w:rsid w:val="00B32302"/>
    <w:rsid w:val="00B329B5"/>
    <w:rsid w:val="00B32B41"/>
    <w:rsid w:val="00B32F0F"/>
    <w:rsid w:val="00B3361D"/>
    <w:rsid w:val="00B33F64"/>
    <w:rsid w:val="00B41E69"/>
    <w:rsid w:val="00B424F1"/>
    <w:rsid w:val="00B45A97"/>
    <w:rsid w:val="00B53A86"/>
    <w:rsid w:val="00B546E1"/>
    <w:rsid w:val="00B552E8"/>
    <w:rsid w:val="00B5534F"/>
    <w:rsid w:val="00B5547F"/>
    <w:rsid w:val="00B62B90"/>
    <w:rsid w:val="00B6378B"/>
    <w:rsid w:val="00B66B3D"/>
    <w:rsid w:val="00B70984"/>
    <w:rsid w:val="00B75474"/>
    <w:rsid w:val="00B75DEB"/>
    <w:rsid w:val="00B82FDC"/>
    <w:rsid w:val="00B85652"/>
    <w:rsid w:val="00B8609B"/>
    <w:rsid w:val="00B90000"/>
    <w:rsid w:val="00B91C00"/>
    <w:rsid w:val="00B91CFA"/>
    <w:rsid w:val="00B94230"/>
    <w:rsid w:val="00B942B3"/>
    <w:rsid w:val="00B94630"/>
    <w:rsid w:val="00B95069"/>
    <w:rsid w:val="00B972A7"/>
    <w:rsid w:val="00BA2FE5"/>
    <w:rsid w:val="00BA319D"/>
    <w:rsid w:val="00BA4BF6"/>
    <w:rsid w:val="00BA5D4A"/>
    <w:rsid w:val="00BA5FC7"/>
    <w:rsid w:val="00BB0571"/>
    <w:rsid w:val="00BB1A9C"/>
    <w:rsid w:val="00BB1CD2"/>
    <w:rsid w:val="00BB28A4"/>
    <w:rsid w:val="00BB329E"/>
    <w:rsid w:val="00BB42E4"/>
    <w:rsid w:val="00BB4DD5"/>
    <w:rsid w:val="00BB6053"/>
    <w:rsid w:val="00BB7686"/>
    <w:rsid w:val="00BC1454"/>
    <w:rsid w:val="00BC3626"/>
    <w:rsid w:val="00BC464D"/>
    <w:rsid w:val="00BC5639"/>
    <w:rsid w:val="00BC5D94"/>
    <w:rsid w:val="00BD3129"/>
    <w:rsid w:val="00BD6FD8"/>
    <w:rsid w:val="00BD7A1F"/>
    <w:rsid w:val="00BE3AFD"/>
    <w:rsid w:val="00BE455D"/>
    <w:rsid w:val="00BE4877"/>
    <w:rsid w:val="00BE7C36"/>
    <w:rsid w:val="00BF0BB4"/>
    <w:rsid w:val="00BF5445"/>
    <w:rsid w:val="00BF7EA6"/>
    <w:rsid w:val="00C004BE"/>
    <w:rsid w:val="00C006AD"/>
    <w:rsid w:val="00C01C56"/>
    <w:rsid w:val="00C02938"/>
    <w:rsid w:val="00C040ED"/>
    <w:rsid w:val="00C052E1"/>
    <w:rsid w:val="00C053BB"/>
    <w:rsid w:val="00C0596F"/>
    <w:rsid w:val="00C05C5D"/>
    <w:rsid w:val="00C06D5D"/>
    <w:rsid w:val="00C07CBF"/>
    <w:rsid w:val="00C12306"/>
    <w:rsid w:val="00C13019"/>
    <w:rsid w:val="00C13C3A"/>
    <w:rsid w:val="00C13EF5"/>
    <w:rsid w:val="00C1436A"/>
    <w:rsid w:val="00C14B3E"/>
    <w:rsid w:val="00C150AA"/>
    <w:rsid w:val="00C15D32"/>
    <w:rsid w:val="00C169C6"/>
    <w:rsid w:val="00C16A0F"/>
    <w:rsid w:val="00C1776D"/>
    <w:rsid w:val="00C2268C"/>
    <w:rsid w:val="00C22D23"/>
    <w:rsid w:val="00C237C3"/>
    <w:rsid w:val="00C23E0E"/>
    <w:rsid w:val="00C249AE"/>
    <w:rsid w:val="00C26DF7"/>
    <w:rsid w:val="00C27743"/>
    <w:rsid w:val="00C277C9"/>
    <w:rsid w:val="00C31377"/>
    <w:rsid w:val="00C3200D"/>
    <w:rsid w:val="00C332A0"/>
    <w:rsid w:val="00C337CC"/>
    <w:rsid w:val="00C4059F"/>
    <w:rsid w:val="00C414E0"/>
    <w:rsid w:val="00C41FEC"/>
    <w:rsid w:val="00C433AC"/>
    <w:rsid w:val="00C4772B"/>
    <w:rsid w:val="00C51265"/>
    <w:rsid w:val="00C51A74"/>
    <w:rsid w:val="00C55D2C"/>
    <w:rsid w:val="00C56961"/>
    <w:rsid w:val="00C60494"/>
    <w:rsid w:val="00C60D22"/>
    <w:rsid w:val="00C62C80"/>
    <w:rsid w:val="00C63433"/>
    <w:rsid w:val="00C64366"/>
    <w:rsid w:val="00C6572A"/>
    <w:rsid w:val="00C6795B"/>
    <w:rsid w:val="00C67D02"/>
    <w:rsid w:val="00C701F4"/>
    <w:rsid w:val="00C715B3"/>
    <w:rsid w:val="00C7290F"/>
    <w:rsid w:val="00C72E36"/>
    <w:rsid w:val="00C73806"/>
    <w:rsid w:val="00C7789C"/>
    <w:rsid w:val="00C81336"/>
    <w:rsid w:val="00C825AA"/>
    <w:rsid w:val="00C939F0"/>
    <w:rsid w:val="00C93E87"/>
    <w:rsid w:val="00C95A4D"/>
    <w:rsid w:val="00CA0867"/>
    <w:rsid w:val="00CA0D9A"/>
    <w:rsid w:val="00CA3314"/>
    <w:rsid w:val="00CA6D18"/>
    <w:rsid w:val="00CA7044"/>
    <w:rsid w:val="00CA78E2"/>
    <w:rsid w:val="00CB00B8"/>
    <w:rsid w:val="00CB047D"/>
    <w:rsid w:val="00CB0F63"/>
    <w:rsid w:val="00CB2F3D"/>
    <w:rsid w:val="00CB318C"/>
    <w:rsid w:val="00CB570A"/>
    <w:rsid w:val="00CB5DBB"/>
    <w:rsid w:val="00CB6F1A"/>
    <w:rsid w:val="00CB7F06"/>
    <w:rsid w:val="00CC099C"/>
    <w:rsid w:val="00CC20E8"/>
    <w:rsid w:val="00CC315E"/>
    <w:rsid w:val="00CC3589"/>
    <w:rsid w:val="00CC3B8E"/>
    <w:rsid w:val="00CC4782"/>
    <w:rsid w:val="00CC6664"/>
    <w:rsid w:val="00CC6A24"/>
    <w:rsid w:val="00CC6EF3"/>
    <w:rsid w:val="00CC75FE"/>
    <w:rsid w:val="00CD04F5"/>
    <w:rsid w:val="00CD2381"/>
    <w:rsid w:val="00CD2836"/>
    <w:rsid w:val="00CD35EB"/>
    <w:rsid w:val="00CD52DD"/>
    <w:rsid w:val="00CD736E"/>
    <w:rsid w:val="00CD7D71"/>
    <w:rsid w:val="00CE01E0"/>
    <w:rsid w:val="00CE196A"/>
    <w:rsid w:val="00CE2D6C"/>
    <w:rsid w:val="00CE4290"/>
    <w:rsid w:val="00CE5365"/>
    <w:rsid w:val="00CE6615"/>
    <w:rsid w:val="00CF0BB0"/>
    <w:rsid w:val="00CF1342"/>
    <w:rsid w:val="00CF2D54"/>
    <w:rsid w:val="00CF31F7"/>
    <w:rsid w:val="00CF3403"/>
    <w:rsid w:val="00CF3EFC"/>
    <w:rsid w:val="00CF44D9"/>
    <w:rsid w:val="00CF5F9E"/>
    <w:rsid w:val="00CF6517"/>
    <w:rsid w:val="00D0191A"/>
    <w:rsid w:val="00D032A4"/>
    <w:rsid w:val="00D03311"/>
    <w:rsid w:val="00D043C5"/>
    <w:rsid w:val="00D04A14"/>
    <w:rsid w:val="00D06090"/>
    <w:rsid w:val="00D07FBC"/>
    <w:rsid w:val="00D12E31"/>
    <w:rsid w:val="00D13684"/>
    <w:rsid w:val="00D15822"/>
    <w:rsid w:val="00D158DE"/>
    <w:rsid w:val="00D20D48"/>
    <w:rsid w:val="00D21A82"/>
    <w:rsid w:val="00D22CCF"/>
    <w:rsid w:val="00D236C7"/>
    <w:rsid w:val="00D246E4"/>
    <w:rsid w:val="00D24FC5"/>
    <w:rsid w:val="00D25DEB"/>
    <w:rsid w:val="00D26461"/>
    <w:rsid w:val="00D3307F"/>
    <w:rsid w:val="00D33799"/>
    <w:rsid w:val="00D345B4"/>
    <w:rsid w:val="00D349B8"/>
    <w:rsid w:val="00D34C7D"/>
    <w:rsid w:val="00D35736"/>
    <w:rsid w:val="00D43F7A"/>
    <w:rsid w:val="00D43F95"/>
    <w:rsid w:val="00D4597B"/>
    <w:rsid w:val="00D45B58"/>
    <w:rsid w:val="00D468C6"/>
    <w:rsid w:val="00D50421"/>
    <w:rsid w:val="00D51724"/>
    <w:rsid w:val="00D54A87"/>
    <w:rsid w:val="00D55140"/>
    <w:rsid w:val="00D56F5D"/>
    <w:rsid w:val="00D56FB1"/>
    <w:rsid w:val="00D57B12"/>
    <w:rsid w:val="00D57BB4"/>
    <w:rsid w:val="00D60BF2"/>
    <w:rsid w:val="00D60C7E"/>
    <w:rsid w:val="00D62E19"/>
    <w:rsid w:val="00D63B2D"/>
    <w:rsid w:val="00D63FD0"/>
    <w:rsid w:val="00D6418E"/>
    <w:rsid w:val="00D664D7"/>
    <w:rsid w:val="00D66AA1"/>
    <w:rsid w:val="00D7077A"/>
    <w:rsid w:val="00D71E97"/>
    <w:rsid w:val="00D75F56"/>
    <w:rsid w:val="00D84764"/>
    <w:rsid w:val="00D86499"/>
    <w:rsid w:val="00D9301C"/>
    <w:rsid w:val="00D935BE"/>
    <w:rsid w:val="00D96222"/>
    <w:rsid w:val="00DA40D6"/>
    <w:rsid w:val="00DA4841"/>
    <w:rsid w:val="00DA65AE"/>
    <w:rsid w:val="00DA6868"/>
    <w:rsid w:val="00DA6AA1"/>
    <w:rsid w:val="00DA6C37"/>
    <w:rsid w:val="00DA71D0"/>
    <w:rsid w:val="00DA7433"/>
    <w:rsid w:val="00DB0F5F"/>
    <w:rsid w:val="00DB3420"/>
    <w:rsid w:val="00DB3B5C"/>
    <w:rsid w:val="00DB69AE"/>
    <w:rsid w:val="00DC2FC8"/>
    <w:rsid w:val="00DC3393"/>
    <w:rsid w:val="00DC33A1"/>
    <w:rsid w:val="00DC36A8"/>
    <w:rsid w:val="00DC3BB3"/>
    <w:rsid w:val="00DC3C86"/>
    <w:rsid w:val="00DC3E2C"/>
    <w:rsid w:val="00DC7A3C"/>
    <w:rsid w:val="00DD07FF"/>
    <w:rsid w:val="00DD3480"/>
    <w:rsid w:val="00DD58B3"/>
    <w:rsid w:val="00DD64E5"/>
    <w:rsid w:val="00DE0255"/>
    <w:rsid w:val="00DE0AB7"/>
    <w:rsid w:val="00DE2A94"/>
    <w:rsid w:val="00DE357E"/>
    <w:rsid w:val="00DE3741"/>
    <w:rsid w:val="00DE70A4"/>
    <w:rsid w:val="00DE7911"/>
    <w:rsid w:val="00DF10BE"/>
    <w:rsid w:val="00DF1EB5"/>
    <w:rsid w:val="00DF6C92"/>
    <w:rsid w:val="00DF7E8A"/>
    <w:rsid w:val="00E010F4"/>
    <w:rsid w:val="00E02B7A"/>
    <w:rsid w:val="00E02C53"/>
    <w:rsid w:val="00E02DC7"/>
    <w:rsid w:val="00E04155"/>
    <w:rsid w:val="00E05EF6"/>
    <w:rsid w:val="00E06966"/>
    <w:rsid w:val="00E100AD"/>
    <w:rsid w:val="00E1011B"/>
    <w:rsid w:val="00E103A0"/>
    <w:rsid w:val="00E10C51"/>
    <w:rsid w:val="00E1291D"/>
    <w:rsid w:val="00E12E82"/>
    <w:rsid w:val="00E149D6"/>
    <w:rsid w:val="00E15649"/>
    <w:rsid w:val="00E16F72"/>
    <w:rsid w:val="00E2079A"/>
    <w:rsid w:val="00E23B80"/>
    <w:rsid w:val="00E2475C"/>
    <w:rsid w:val="00E2594A"/>
    <w:rsid w:val="00E342BD"/>
    <w:rsid w:val="00E35D21"/>
    <w:rsid w:val="00E37833"/>
    <w:rsid w:val="00E379C8"/>
    <w:rsid w:val="00E379E2"/>
    <w:rsid w:val="00E41B51"/>
    <w:rsid w:val="00E51616"/>
    <w:rsid w:val="00E519E3"/>
    <w:rsid w:val="00E53545"/>
    <w:rsid w:val="00E536A9"/>
    <w:rsid w:val="00E555AF"/>
    <w:rsid w:val="00E611ED"/>
    <w:rsid w:val="00E6182C"/>
    <w:rsid w:val="00E639E7"/>
    <w:rsid w:val="00E66313"/>
    <w:rsid w:val="00E66E38"/>
    <w:rsid w:val="00E7123C"/>
    <w:rsid w:val="00E71D64"/>
    <w:rsid w:val="00E7279B"/>
    <w:rsid w:val="00E72EE5"/>
    <w:rsid w:val="00E73C5E"/>
    <w:rsid w:val="00E74756"/>
    <w:rsid w:val="00E8066F"/>
    <w:rsid w:val="00E85D86"/>
    <w:rsid w:val="00E86193"/>
    <w:rsid w:val="00E9139E"/>
    <w:rsid w:val="00E91B17"/>
    <w:rsid w:val="00E9208E"/>
    <w:rsid w:val="00E92C88"/>
    <w:rsid w:val="00E93081"/>
    <w:rsid w:val="00E93E64"/>
    <w:rsid w:val="00E95277"/>
    <w:rsid w:val="00EA0075"/>
    <w:rsid w:val="00EA2CA3"/>
    <w:rsid w:val="00EA2D4F"/>
    <w:rsid w:val="00EA3F38"/>
    <w:rsid w:val="00EA4DF9"/>
    <w:rsid w:val="00EA4EAE"/>
    <w:rsid w:val="00EA6777"/>
    <w:rsid w:val="00EA715F"/>
    <w:rsid w:val="00EB0DBF"/>
    <w:rsid w:val="00EB6553"/>
    <w:rsid w:val="00EC0D95"/>
    <w:rsid w:val="00EC519D"/>
    <w:rsid w:val="00ED1612"/>
    <w:rsid w:val="00ED29D5"/>
    <w:rsid w:val="00ED4CBA"/>
    <w:rsid w:val="00ED70F5"/>
    <w:rsid w:val="00ED7D59"/>
    <w:rsid w:val="00EE0AEA"/>
    <w:rsid w:val="00EE0B13"/>
    <w:rsid w:val="00EE172F"/>
    <w:rsid w:val="00EE33DB"/>
    <w:rsid w:val="00EE39D2"/>
    <w:rsid w:val="00EE3F8C"/>
    <w:rsid w:val="00EE5D0C"/>
    <w:rsid w:val="00EE6DDD"/>
    <w:rsid w:val="00EF01CA"/>
    <w:rsid w:val="00EF48A4"/>
    <w:rsid w:val="00EF5EBE"/>
    <w:rsid w:val="00EF6707"/>
    <w:rsid w:val="00EF7253"/>
    <w:rsid w:val="00EF75EC"/>
    <w:rsid w:val="00F03D06"/>
    <w:rsid w:val="00F04947"/>
    <w:rsid w:val="00F04BE0"/>
    <w:rsid w:val="00F050C0"/>
    <w:rsid w:val="00F051F8"/>
    <w:rsid w:val="00F05D16"/>
    <w:rsid w:val="00F10F61"/>
    <w:rsid w:val="00F12B95"/>
    <w:rsid w:val="00F1406F"/>
    <w:rsid w:val="00F14B70"/>
    <w:rsid w:val="00F14BA2"/>
    <w:rsid w:val="00F17961"/>
    <w:rsid w:val="00F202A1"/>
    <w:rsid w:val="00F20840"/>
    <w:rsid w:val="00F230CD"/>
    <w:rsid w:val="00F23F46"/>
    <w:rsid w:val="00F3095A"/>
    <w:rsid w:val="00F311A1"/>
    <w:rsid w:val="00F3120A"/>
    <w:rsid w:val="00F31AB9"/>
    <w:rsid w:val="00F3618E"/>
    <w:rsid w:val="00F361AA"/>
    <w:rsid w:val="00F36664"/>
    <w:rsid w:val="00F36D64"/>
    <w:rsid w:val="00F401C0"/>
    <w:rsid w:val="00F40220"/>
    <w:rsid w:val="00F41EAB"/>
    <w:rsid w:val="00F4277D"/>
    <w:rsid w:val="00F42C1E"/>
    <w:rsid w:val="00F45321"/>
    <w:rsid w:val="00F50D0D"/>
    <w:rsid w:val="00F515EC"/>
    <w:rsid w:val="00F51625"/>
    <w:rsid w:val="00F52D97"/>
    <w:rsid w:val="00F548D7"/>
    <w:rsid w:val="00F55835"/>
    <w:rsid w:val="00F55DFD"/>
    <w:rsid w:val="00F57207"/>
    <w:rsid w:val="00F6129B"/>
    <w:rsid w:val="00F617BA"/>
    <w:rsid w:val="00F63018"/>
    <w:rsid w:val="00F649CD"/>
    <w:rsid w:val="00F661F8"/>
    <w:rsid w:val="00F6640B"/>
    <w:rsid w:val="00F665E8"/>
    <w:rsid w:val="00F678C6"/>
    <w:rsid w:val="00F70EB8"/>
    <w:rsid w:val="00F70F17"/>
    <w:rsid w:val="00F71F8E"/>
    <w:rsid w:val="00F7357B"/>
    <w:rsid w:val="00F75082"/>
    <w:rsid w:val="00F76C02"/>
    <w:rsid w:val="00F8052A"/>
    <w:rsid w:val="00F80A70"/>
    <w:rsid w:val="00F810E8"/>
    <w:rsid w:val="00F81B73"/>
    <w:rsid w:val="00F822BB"/>
    <w:rsid w:val="00F82FB9"/>
    <w:rsid w:val="00F84E6F"/>
    <w:rsid w:val="00F876F8"/>
    <w:rsid w:val="00F9122F"/>
    <w:rsid w:val="00F94905"/>
    <w:rsid w:val="00F94D73"/>
    <w:rsid w:val="00F95B0B"/>
    <w:rsid w:val="00F97C4E"/>
    <w:rsid w:val="00F97E17"/>
    <w:rsid w:val="00FA1C37"/>
    <w:rsid w:val="00FA22FF"/>
    <w:rsid w:val="00FA234E"/>
    <w:rsid w:val="00FA2464"/>
    <w:rsid w:val="00FA2D0B"/>
    <w:rsid w:val="00FA5F4F"/>
    <w:rsid w:val="00FA6FDC"/>
    <w:rsid w:val="00FA78AD"/>
    <w:rsid w:val="00FB4BE0"/>
    <w:rsid w:val="00FB6BE6"/>
    <w:rsid w:val="00FB73B9"/>
    <w:rsid w:val="00FB73E2"/>
    <w:rsid w:val="00FC0859"/>
    <w:rsid w:val="00FC5246"/>
    <w:rsid w:val="00FC7097"/>
    <w:rsid w:val="00FD099B"/>
    <w:rsid w:val="00FD09E1"/>
    <w:rsid w:val="00FD5313"/>
    <w:rsid w:val="00FD6F3A"/>
    <w:rsid w:val="00FE2BA2"/>
    <w:rsid w:val="00FE421B"/>
    <w:rsid w:val="00FE4539"/>
    <w:rsid w:val="00FE4A8A"/>
    <w:rsid w:val="00FE4D32"/>
    <w:rsid w:val="00FE767B"/>
    <w:rsid w:val="00FE7EB4"/>
    <w:rsid w:val="00FF2544"/>
    <w:rsid w:val="00FF3111"/>
    <w:rsid w:val="00FF3150"/>
    <w:rsid w:val="00FF797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72A6EE"/>
  <w15:docId w15:val="{3C957E48-DE04-41A8-88CC-9CC213D2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02866"/>
    <w:pPr>
      <w:spacing w:after="200" w:line="276" w:lineRule="auto"/>
    </w:pPr>
    <w:rPr>
      <w:rFonts w:ascii="Calibri" w:eastAsia="Calibri" w:hAnsi="Calibri" w:cs="Times New Roman"/>
      <w:lang w:val="en-GB"/>
    </w:rPr>
  </w:style>
  <w:style w:type="paragraph" w:styleId="Heading1">
    <w:name w:val="heading 1"/>
    <w:basedOn w:val="Text"/>
    <w:next w:val="Text"/>
    <w:link w:val="Heading1Char"/>
    <w:uiPriority w:val="9"/>
    <w:rsid w:val="00882FEA"/>
    <w:pPr>
      <w:keepNext/>
      <w:keepLines/>
      <w:pageBreakBefore/>
      <w:numPr>
        <w:numId w:val="1"/>
      </w:numPr>
      <w:spacing w:before="240"/>
      <w:ind w:left="992" w:hanging="992"/>
      <w:outlineLvl w:val="0"/>
    </w:pPr>
    <w:rPr>
      <w:rFonts w:eastAsia="Times New Roman"/>
      <w:b/>
      <w:bCs/>
      <w:caps/>
      <w:sz w:val="24"/>
      <w:szCs w:val="24"/>
    </w:rPr>
  </w:style>
  <w:style w:type="paragraph" w:styleId="Heading2">
    <w:name w:val="heading 2"/>
    <w:basedOn w:val="Text"/>
    <w:next w:val="Text"/>
    <w:link w:val="Heading2Char"/>
    <w:uiPriority w:val="9"/>
    <w:rsid w:val="00882FEA"/>
    <w:pPr>
      <w:keepNext/>
      <w:keepLines/>
      <w:numPr>
        <w:ilvl w:val="1"/>
        <w:numId w:val="1"/>
      </w:numPr>
      <w:spacing w:before="200" w:line="240" w:lineRule="auto"/>
      <w:ind w:left="993" w:hanging="993"/>
      <w:outlineLvl w:val="1"/>
    </w:pPr>
    <w:rPr>
      <w:rFonts w:eastAsia="Times New Roman"/>
      <w:b/>
      <w:bCs/>
      <w:caps/>
      <w:sz w:val="22"/>
    </w:rPr>
  </w:style>
  <w:style w:type="paragraph" w:styleId="Heading3">
    <w:name w:val="heading 3"/>
    <w:basedOn w:val="Text"/>
    <w:next w:val="Text"/>
    <w:link w:val="Heading3Char"/>
    <w:uiPriority w:val="9"/>
    <w:rsid w:val="00882FEA"/>
    <w:pPr>
      <w:keepNext/>
      <w:keepLines/>
      <w:numPr>
        <w:ilvl w:val="2"/>
        <w:numId w:val="1"/>
      </w:numPr>
      <w:spacing w:before="200" w:after="0"/>
      <w:ind w:left="993" w:hanging="993"/>
      <w:outlineLvl w:val="2"/>
    </w:pPr>
    <w:rPr>
      <w:rFonts w:eastAsia="Times New Roman"/>
      <w:b/>
      <w:bCs/>
    </w:rPr>
  </w:style>
  <w:style w:type="paragraph" w:styleId="Heading4">
    <w:name w:val="heading 4"/>
    <w:basedOn w:val="Text"/>
    <w:next w:val="Text"/>
    <w:link w:val="Heading4Char"/>
    <w:uiPriority w:val="9"/>
    <w:rsid w:val="00882FEA"/>
    <w:pPr>
      <w:keepNext/>
      <w:keepLines/>
      <w:numPr>
        <w:ilvl w:val="3"/>
        <w:numId w:val="1"/>
      </w:numPr>
      <w:spacing w:before="200" w:after="0"/>
      <w:ind w:left="993" w:hanging="993"/>
      <w:outlineLvl w:val="3"/>
    </w:pPr>
    <w:rPr>
      <w:rFonts w:eastAsia="Times New Roman"/>
      <w:b/>
      <w:bCs/>
      <w:i/>
      <w:iCs/>
    </w:rPr>
  </w:style>
  <w:style w:type="paragraph" w:styleId="Heading5">
    <w:name w:val="heading 5"/>
    <w:basedOn w:val="Normal"/>
    <w:next w:val="Normal"/>
    <w:link w:val="Heading5Char"/>
    <w:uiPriority w:val="9"/>
    <w:rsid w:val="00882FEA"/>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rsid w:val="00882FEA"/>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rsid w:val="00882FEA"/>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rsid w:val="00882FEA"/>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rsid w:val="00882FEA"/>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FEA"/>
    <w:rPr>
      <w:rFonts w:ascii="Futura Bk" w:eastAsia="Times New Roman" w:hAnsi="Futura Bk" w:cs="Times New Roman"/>
      <w:b/>
      <w:bCs/>
      <w:caps/>
      <w:sz w:val="24"/>
      <w:szCs w:val="24"/>
    </w:rPr>
  </w:style>
  <w:style w:type="character" w:customStyle="1" w:styleId="Heading2Char">
    <w:name w:val="Heading 2 Char"/>
    <w:basedOn w:val="DefaultParagraphFont"/>
    <w:link w:val="Heading2"/>
    <w:uiPriority w:val="9"/>
    <w:rsid w:val="00882FEA"/>
    <w:rPr>
      <w:rFonts w:ascii="Futura Bk" w:eastAsia="Times New Roman" w:hAnsi="Futura Bk" w:cs="Times New Roman"/>
      <w:b/>
      <w:bCs/>
      <w:caps/>
      <w:szCs w:val="20"/>
    </w:rPr>
  </w:style>
  <w:style w:type="character" w:customStyle="1" w:styleId="Heading3Char">
    <w:name w:val="Heading 3 Char"/>
    <w:basedOn w:val="DefaultParagraphFont"/>
    <w:link w:val="Heading3"/>
    <w:uiPriority w:val="9"/>
    <w:rsid w:val="00882FEA"/>
    <w:rPr>
      <w:rFonts w:ascii="Futura Bk" w:eastAsia="Times New Roman" w:hAnsi="Futura Bk" w:cs="Times New Roman"/>
      <w:b/>
      <w:bCs/>
      <w:sz w:val="20"/>
      <w:szCs w:val="20"/>
    </w:rPr>
  </w:style>
  <w:style w:type="character" w:customStyle="1" w:styleId="Heading4Char">
    <w:name w:val="Heading 4 Char"/>
    <w:basedOn w:val="DefaultParagraphFont"/>
    <w:link w:val="Heading4"/>
    <w:uiPriority w:val="9"/>
    <w:rsid w:val="00882FEA"/>
    <w:rPr>
      <w:rFonts w:ascii="Futura Bk" w:eastAsia="Times New Roman" w:hAnsi="Futura Bk" w:cs="Times New Roman"/>
      <w:b/>
      <w:bCs/>
      <w:i/>
      <w:iCs/>
      <w:sz w:val="20"/>
      <w:szCs w:val="20"/>
    </w:rPr>
  </w:style>
  <w:style w:type="character" w:customStyle="1" w:styleId="Heading5Char">
    <w:name w:val="Heading 5 Char"/>
    <w:basedOn w:val="DefaultParagraphFont"/>
    <w:link w:val="Heading5"/>
    <w:uiPriority w:val="9"/>
    <w:rsid w:val="00882FEA"/>
    <w:rPr>
      <w:rFonts w:ascii="Cambria" w:eastAsia="Times New Roman" w:hAnsi="Cambria" w:cs="Times New Roman"/>
      <w:color w:val="243F60"/>
      <w:lang w:val="en-GB"/>
    </w:rPr>
  </w:style>
  <w:style w:type="character" w:customStyle="1" w:styleId="Heading6Char">
    <w:name w:val="Heading 6 Char"/>
    <w:basedOn w:val="DefaultParagraphFont"/>
    <w:link w:val="Heading6"/>
    <w:uiPriority w:val="9"/>
    <w:rsid w:val="00882FEA"/>
    <w:rPr>
      <w:rFonts w:ascii="Cambria" w:eastAsia="Times New Roman" w:hAnsi="Cambria" w:cs="Times New Roman"/>
      <w:i/>
      <w:iCs/>
      <w:color w:val="243F60"/>
      <w:lang w:val="en-GB"/>
    </w:rPr>
  </w:style>
  <w:style w:type="character" w:customStyle="1" w:styleId="Heading7Char">
    <w:name w:val="Heading 7 Char"/>
    <w:basedOn w:val="DefaultParagraphFont"/>
    <w:link w:val="Heading7"/>
    <w:uiPriority w:val="9"/>
    <w:rsid w:val="00882FEA"/>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rsid w:val="00882FEA"/>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rsid w:val="00882FEA"/>
    <w:rPr>
      <w:rFonts w:ascii="Cambria" w:eastAsia="Times New Roman" w:hAnsi="Cambria" w:cs="Times New Roman"/>
      <w:i/>
      <w:iCs/>
      <w:color w:val="404040"/>
      <w:sz w:val="20"/>
      <w:szCs w:val="20"/>
      <w:lang w:val="en-GB"/>
    </w:rPr>
  </w:style>
  <w:style w:type="paragraph" w:customStyle="1" w:styleId="Text">
    <w:name w:val="Text"/>
    <w:basedOn w:val="Normal"/>
    <w:link w:val="TextChar"/>
    <w:qFormat/>
    <w:rsid w:val="00882FEA"/>
    <w:pPr>
      <w:spacing w:after="120" w:line="480" w:lineRule="auto"/>
    </w:pPr>
    <w:rPr>
      <w:rFonts w:ascii="Futura Bk" w:hAnsi="Futura Bk"/>
      <w:sz w:val="20"/>
      <w:szCs w:val="20"/>
      <w:lang w:val="en-US"/>
    </w:rPr>
  </w:style>
  <w:style w:type="paragraph" w:styleId="DocumentMap">
    <w:name w:val="Document Map"/>
    <w:basedOn w:val="Normal"/>
    <w:link w:val="DocumentMapChar"/>
    <w:uiPriority w:val="99"/>
    <w:semiHidden/>
    <w:unhideWhenUsed/>
    <w:rsid w:val="00882FE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82FEA"/>
    <w:rPr>
      <w:rFonts w:ascii="Tahoma" w:eastAsia="Calibri" w:hAnsi="Tahoma" w:cs="Tahoma"/>
      <w:sz w:val="16"/>
      <w:szCs w:val="16"/>
      <w:lang w:val="en-GB"/>
    </w:rPr>
  </w:style>
  <w:style w:type="paragraph" w:styleId="NoSpacing">
    <w:name w:val="No Spacing"/>
    <w:uiPriority w:val="1"/>
    <w:rsid w:val="00882FEA"/>
    <w:pPr>
      <w:spacing w:after="0" w:line="240" w:lineRule="auto"/>
    </w:pPr>
    <w:rPr>
      <w:rFonts w:ascii="Calibri" w:eastAsia="Calibri" w:hAnsi="Calibri" w:cs="Times New Roman"/>
      <w:lang w:val="en-GB"/>
    </w:rPr>
  </w:style>
  <w:style w:type="paragraph" w:customStyle="1" w:styleId="ManuTitle">
    <w:name w:val="Manu Title"/>
    <w:basedOn w:val="Text"/>
    <w:next w:val="Text"/>
    <w:qFormat/>
    <w:rsid w:val="00882FEA"/>
    <w:pPr>
      <w:keepNext/>
      <w:keepLines/>
      <w:spacing w:after="0"/>
    </w:pPr>
    <w:rPr>
      <w:b/>
      <w:caps/>
      <w:sz w:val="24"/>
    </w:rPr>
  </w:style>
  <w:style w:type="paragraph" w:styleId="Header">
    <w:name w:val="header"/>
    <w:basedOn w:val="Normal"/>
    <w:link w:val="HeaderChar"/>
    <w:uiPriority w:val="99"/>
    <w:unhideWhenUsed/>
    <w:rsid w:val="00882F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FEA"/>
    <w:rPr>
      <w:rFonts w:ascii="Calibri" w:eastAsia="Calibri" w:hAnsi="Calibri" w:cs="Times New Roman"/>
      <w:lang w:val="en-GB"/>
    </w:rPr>
  </w:style>
  <w:style w:type="paragraph" w:styleId="Footer">
    <w:name w:val="footer"/>
    <w:basedOn w:val="Normal"/>
    <w:link w:val="FooterChar"/>
    <w:uiPriority w:val="99"/>
    <w:unhideWhenUsed/>
    <w:rsid w:val="00882F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FEA"/>
    <w:rPr>
      <w:rFonts w:ascii="Calibri" w:eastAsia="Calibri" w:hAnsi="Calibri" w:cs="Times New Roman"/>
      <w:lang w:val="en-GB"/>
    </w:rPr>
  </w:style>
  <w:style w:type="paragraph" w:styleId="BalloonText">
    <w:name w:val="Balloon Text"/>
    <w:basedOn w:val="Normal"/>
    <w:link w:val="BalloonTextChar"/>
    <w:uiPriority w:val="99"/>
    <w:semiHidden/>
    <w:unhideWhenUsed/>
    <w:rsid w:val="00882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FEA"/>
    <w:rPr>
      <w:rFonts w:ascii="Tahoma" w:eastAsia="Calibri" w:hAnsi="Tahoma" w:cs="Tahoma"/>
      <w:sz w:val="16"/>
      <w:szCs w:val="16"/>
      <w:lang w:val="en-GB"/>
    </w:rPr>
  </w:style>
  <w:style w:type="paragraph" w:styleId="Title">
    <w:name w:val="Title"/>
    <w:basedOn w:val="Normal"/>
    <w:next w:val="Normal"/>
    <w:link w:val="TitleChar"/>
    <w:uiPriority w:val="10"/>
    <w:rsid w:val="00882FEA"/>
    <w:pPr>
      <w:spacing w:after="0" w:line="240" w:lineRule="auto"/>
      <w:ind w:left="-113"/>
    </w:pPr>
    <w:rPr>
      <w:rFonts w:ascii="Futura Bk" w:hAnsi="Futura Bk"/>
      <w:b/>
      <w:color w:val="A5A3AA"/>
      <w:sz w:val="44"/>
      <w:szCs w:val="48"/>
      <w:lang w:val="en-US" w:eastAsia="ja-JP"/>
    </w:rPr>
  </w:style>
  <w:style w:type="character" w:customStyle="1" w:styleId="TitleChar">
    <w:name w:val="Title Char"/>
    <w:basedOn w:val="DefaultParagraphFont"/>
    <w:link w:val="Title"/>
    <w:uiPriority w:val="10"/>
    <w:rsid w:val="00882FEA"/>
    <w:rPr>
      <w:rFonts w:ascii="Futura Bk" w:eastAsia="Calibri" w:hAnsi="Futura Bk" w:cs="Times New Roman"/>
      <w:b/>
      <w:color w:val="A5A3AA"/>
      <w:sz w:val="44"/>
      <w:szCs w:val="48"/>
      <w:lang w:eastAsia="ja-JP"/>
    </w:rPr>
  </w:style>
  <w:style w:type="character" w:styleId="Hyperlink">
    <w:name w:val="Hyperlink"/>
    <w:uiPriority w:val="99"/>
    <w:unhideWhenUsed/>
    <w:rsid w:val="00882FEA"/>
    <w:rPr>
      <w:color w:val="0000FF"/>
      <w:u w:val="single"/>
    </w:rPr>
  </w:style>
  <w:style w:type="table" w:styleId="TableGrid">
    <w:name w:val="Table Grid"/>
    <w:basedOn w:val="TableNormal"/>
    <w:rsid w:val="00882FE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TableNormal"/>
    <w:uiPriority w:val="60"/>
    <w:rsid w:val="00882FEA"/>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semiHidden/>
    <w:unhideWhenUsed/>
    <w:qFormat/>
    <w:rsid w:val="00882FEA"/>
    <w:pPr>
      <w:numPr>
        <w:numId w:val="0"/>
      </w:numPr>
      <w:spacing w:before="480" w:after="0"/>
      <w:outlineLvl w:val="9"/>
    </w:pPr>
    <w:rPr>
      <w:rFonts w:ascii="Cambria" w:hAnsi="Cambria"/>
      <w:caps w:val="0"/>
      <w:color w:val="365F91"/>
      <w:sz w:val="28"/>
      <w:szCs w:val="28"/>
      <w:lang w:eastAsia="ja-JP"/>
    </w:rPr>
  </w:style>
  <w:style w:type="paragraph" w:styleId="TOC1">
    <w:name w:val="toc 1"/>
    <w:basedOn w:val="Text"/>
    <w:next w:val="Text"/>
    <w:autoRedefine/>
    <w:uiPriority w:val="39"/>
    <w:unhideWhenUsed/>
    <w:rsid w:val="00882FEA"/>
    <w:pPr>
      <w:tabs>
        <w:tab w:val="right" w:leader="dot" w:pos="9350"/>
      </w:tabs>
      <w:spacing w:after="100"/>
      <w:ind w:left="993" w:hanging="993"/>
    </w:pPr>
    <w:rPr>
      <w:noProof/>
    </w:rPr>
  </w:style>
  <w:style w:type="paragraph" w:styleId="TOC2">
    <w:name w:val="toc 2"/>
    <w:basedOn w:val="Text"/>
    <w:next w:val="Text"/>
    <w:autoRedefine/>
    <w:uiPriority w:val="39"/>
    <w:unhideWhenUsed/>
    <w:rsid w:val="00882FEA"/>
    <w:pPr>
      <w:tabs>
        <w:tab w:val="right" w:leader="dot" w:pos="9350"/>
      </w:tabs>
      <w:spacing w:after="100"/>
      <w:ind w:left="993" w:hanging="993"/>
    </w:pPr>
    <w:rPr>
      <w:noProof/>
    </w:rPr>
  </w:style>
  <w:style w:type="paragraph" w:styleId="Caption">
    <w:name w:val="caption"/>
    <w:aliases w:val="Char1,Char1 Char,Caption Char1,Caption Char Char1,Caption Char1 Char1 Char,Caption Char Char1 Char Char,Char1 Char Char1 Char Char,Caption Char Char Char Char Char,Char1 Char Char Char Char Char,Caption Char1 Char Char Char,Char"/>
    <w:basedOn w:val="Text"/>
    <w:next w:val="Text"/>
    <w:link w:val="CaptionChar"/>
    <w:uiPriority w:val="99"/>
    <w:qFormat/>
    <w:rsid w:val="00882FEA"/>
    <w:pPr>
      <w:keepNext/>
      <w:keepLines/>
      <w:ind w:left="1418" w:hanging="1418"/>
    </w:pPr>
    <w:rPr>
      <w:b/>
    </w:rPr>
  </w:style>
  <w:style w:type="paragraph" w:customStyle="1" w:styleId="Tabletext">
    <w:name w:val="Table text"/>
    <w:basedOn w:val="Text"/>
    <w:link w:val="TabletextChar"/>
    <w:qFormat/>
    <w:rsid w:val="00882FEA"/>
    <w:pPr>
      <w:spacing w:before="80" w:after="80" w:line="240" w:lineRule="auto"/>
    </w:pPr>
    <w:rPr>
      <w:rFonts w:eastAsia="Times New Roman"/>
      <w:szCs w:val="18"/>
    </w:rPr>
  </w:style>
  <w:style w:type="character" w:styleId="PlaceholderText">
    <w:name w:val="Placeholder Text"/>
    <w:uiPriority w:val="99"/>
    <w:semiHidden/>
    <w:rsid w:val="00882FEA"/>
    <w:rPr>
      <w:color w:val="808080"/>
    </w:rPr>
  </w:style>
  <w:style w:type="paragraph" w:styleId="ListParagraph">
    <w:name w:val="List Paragraph"/>
    <w:basedOn w:val="Normal"/>
    <w:uiPriority w:val="34"/>
    <w:rsid w:val="00882FEA"/>
    <w:pPr>
      <w:ind w:left="720"/>
      <w:contextualSpacing/>
    </w:pPr>
  </w:style>
  <w:style w:type="paragraph" w:customStyle="1" w:styleId="Titlepagetext">
    <w:name w:val="Title page text"/>
    <w:basedOn w:val="Text"/>
    <w:qFormat/>
    <w:rsid w:val="00882FEA"/>
    <w:pPr>
      <w:tabs>
        <w:tab w:val="left" w:pos="1112"/>
      </w:tabs>
      <w:spacing w:after="0"/>
    </w:pPr>
    <w:rPr>
      <w:lang w:eastAsia="ja-JP"/>
    </w:rPr>
  </w:style>
  <w:style w:type="paragraph" w:styleId="TOC3">
    <w:name w:val="toc 3"/>
    <w:basedOn w:val="Text"/>
    <w:next w:val="Text"/>
    <w:autoRedefine/>
    <w:uiPriority w:val="39"/>
    <w:unhideWhenUsed/>
    <w:rsid w:val="00882FEA"/>
    <w:pPr>
      <w:tabs>
        <w:tab w:val="right" w:leader="dot" w:pos="9350"/>
      </w:tabs>
      <w:spacing w:after="100"/>
      <w:ind w:left="993" w:hanging="993"/>
    </w:pPr>
    <w:rPr>
      <w:noProof/>
    </w:rPr>
  </w:style>
  <w:style w:type="paragraph" w:customStyle="1" w:styleId="Footnote">
    <w:name w:val="Footnote"/>
    <w:basedOn w:val="Text"/>
    <w:link w:val="FootnoteChar"/>
    <w:qFormat/>
    <w:rsid w:val="00882FEA"/>
    <w:pPr>
      <w:spacing w:before="60"/>
    </w:pPr>
    <w:rPr>
      <w:sz w:val="18"/>
    </w:rPr>
  </w:style>
  <w:style w:type="table" w:customStyle="1" w:styleId="OssianReportTable">
    <w:name w:val="Ossian Report Table"/>
    <w:basedOn w:val="TableNormal"/>
    <w:uiPriority w:val="99"/>
    <w:rsid w:val="00882FEA"/>
    <w:pPr>
      <w:keepNext/>
      <w:keepLines/>
      <w:spacing w:before="60" w:after="60" w:line="240" w:lineRule="auto"/>
      <w:jc w:val="center"/>
    </w:pPr>
    <w:rPr>
      <w:rFonts w:ascii="Futura Bk" w:eastAsia="Calibri" w:hAnsi="Futura Bk" w:cs="Times New Roman"/>
      <w:sz w:val="20"/>
      <w:szCs w:val="20"/>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paragraph" w:styleId="TableofFigures">
    <w:name w:val="table of figures"/>
    <w:basedOn w:val="Text"/>
    <w:next w:val="Text"/>
    <w:uiPriority w:val="99"/>
    <w:unhideWhenUsed/>
    <w:rsid w:val="00882FEA"/>
    <w:pPr>
      <w:spacing w:after="0"/>
    </w:pPr>
  </w:style>
  <w:style w:type="paragraph" w:customStyle="1" w:styleId="Manuheading">
    <w:name w:val="Manu heading"/>
    <w:basedOn w:val="Heading1"/>
    <w:next w:val="Text"/>
    <w:qFormat/>
    <w:rsid w:val="00882FEA"/>
    <w:pPr>
      <w:numPr>
        <w:numId w:val="0"/>
      </w:numPr>
    </w:pPr>
  </w:style>
  <w:style w:type="paragraph" w:customStyle="1" w:styleId="Manusub-heading">
    <w:name w:val="Manu sub-heading"/>
    <w:basedOn w:val="Text"/>
    <w:next w:val="Text"/>
    <w:qFormat/>
    <w:rsid w:val="00882FEA"/>
    <w:pPr>
      <w:keepNext/>
      <w:keepLines/>
    </w:pPr>
    <w:rPr>
      <w:b/>
    </w:rPr>
  </w:style>
  <w:style w:type="paragraph" w:styleId="EndnoteText">
    <w:name w:val="endnote text"/>
    <w:basedOn w:val="Normal"/>
    <w:link w:val="EndnoteTextChar"/>
    <w:uiPriority w:val="99"/>
    <w:unhideWhenUsed/>
    <w:rsid w:val="00882FEA"/>
    <w:pPr>
      <w:spacing w:after="0" w:line="240" w:lineRule="auto"/>
    </w:pPr>
    <w:rPr>
      <w:sz w:val="20"/>
      <w:szCs w:val="20"/>
    </w:rPr>
  </w:style>
  <w:style w:type="character" w:customStyle="1" w:styleId="EndnoteTextChar">
    <w:name w:val="Endnote Text Char"/>
    <w:basedOn w:val="DefaultParagraphFont"/>
    <w:link w:val="EndnoteText"/>
    <w:uiPriority w:val="99"/>
    <w:rsid w:val="00882FEA"/>
    <w:rPr>
      <w:rFonts w:ascii="Calibri" w:eastAsia="Calibri" w:hAnsi="Calibri" w:cs="Times New Roman"/>
      <w:sz w:val="20"/>
      <w:szCs w:val="20"/>
      <w:lang w:val="en-GB"/>
    </w:rPr>
  </w:style>
  <w:style w:type="character" w:styleId="EndnoteReference">
    <w:name w:val="endnote reference"/>
    <w:uiPriority w:val="99"/>
    <w:unhideWhenUsed/>
    <w:rsid w:val="00882FEA"/>
    <w:rPr>
      <w:vertAlign w:val="superscript"/>
    </w:rPr>
  </w:style>
  <w:style w:type="paragraph" w:customStyle="1" w:styleId="Proposaltext">
    <w:name w:val="Proposal text"/>
    <w:basedOn w:val="Normal"/>
    <w:link w:val="ProposaltextChar"/>
    <w:qFormat/>
    <w:rsid w:val="00882FEA"/>
    <w:pPr>
      <w:spacing w:before="120" w:after="120" w:line="240" w:lineRule="auto"/>
    </w:pPr>
    <w:rPr>
      <w:rFonts w:ascii="Futura Bk" w:eastAsiaTheme="minorEastAsia" w:hAnsi="Futura Bk" w:cstheme="minorBidi"/>
      <w:sz w:val="20"/>
      <w:lang w:val="en-US"/>
    </w:rPr>
  </w:style>
  <w:style w:type="character" w:customStyle="1" w:styleId="ProposaltextChar">
    <w:name w:val="Proposal text Char"/>
    <w:basedOn w:val="DefaultParagraphFont"/>
    <w:link w:val="Proposaltext"/>
    <w:rsid w:val="00882FEA"/>
    <w:rPr>
      <w:rFonts w:ascii="Futura Bk" w:eastAsiaTheme="minorEastAsia" w:hAnsi="Futura Bk"/>
      <w:sz w:val="20"/>
    </w:rPr>
  </w:style>
  <w:style w:type="character" w:styleId="CommentReference">
    <w:name w:val="annotation reference"/>
    <w:basedOn w:val="DefaultParagraphFont"/>
    <w:uiPriority w:val="99"/>
    <w:semiHidden/>
    <w:unhideWhenUsed/>
    <w:rsid w:val="00882FEA"/>
    <w:rPr>
      <w:sz w:val="16"/>
      <w:szCs w:val="16"/>
    </w:rPr>
  </w:style>
  <w:style w:type="paragraph" w:styleId="CommentText">
    <w:name w:val="annotation text"/>
    <w:basedOn w:val="Normal"/>
    <w:link w:val="CommentTextChar"/>
    <w:uiPriority w:val="99"/>
    <w:unhideWhenUsed/>
    <w:rsid w:val="00882FEA"/>
    <w:pPr>
      <w:spacing w:line="240" w:lineRule="auto"/>
    </w:pPr>
    <w:rPr>
      <w:sz w:val="20"/>
      <w:szCs w:val="20"/>
    </w:rPr>
  </w:style>
  <w:style w:type="character" w:customStyle="1" w:styleId="CommentTextChar">
    <w:name w:val="Comment Text Char"/>
    <w:basedOn w:val="DefaultParagraphFont"/>
    <w:link w:val="CommentText"/>
    <w:uiPriority w:val="99"/>
    <w:rsid w:val="00882FEA"/>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2FEA"/>
    <w:rPr>
      <w:b/>
      <w:bCs/>
    </w:rPr>
  </w:style>
  <w:style w:type="character" w:customStyle="1" w:styleId="CommentSubjectChar">
    <w:name w:val="Comment Subject Char"/>
    <w:basedOn w:val="CommentTextChar"/>
    <w:link w:val="CommentSubject"/>
    <w:uiPriority w:val="99"/>
    <w:semiHidden/>
    <w:rsid w:val="00882FEA"/>
    <w:rPr>
      <w:rFonts w:ascii="Calibri" w:eastAsia="Calibri" w:hAnsi="Calibri" w:cs="Times New Roman"/>
      <w:b/>
      <w:bCs/>
      <w:sz w:val="20"/>
      <w:szCs w:val="20"/>
      <w:lang w:val="en-GB"/>
    </w:rPr>
  </w:style>
  <w:style w:type="paragraph" w:styleId="Revision">
    <w:name w:val="Revision"/>
    <w:hidden/>
    <w:uiPriority w:val="99"/>
    <w:semiHidden/>
    <w:rsid w:val="00882FEA"/>
    <w:pPr>
      <w:spacing w:after="0" w:line="240" w:lineRule="auto"/>
    </w:pPr>
    <w:rPr>
      <w:rFonts w:ascii="Calibri" w:eastAsia="Calibri" w:hAnsi="Calibri" w:cs="Times New Roman"/>
      <w:lang w:val="en-GB"/>
    </w:rPr>
  </w:style>
  <w:style w:type="character" w:customStyle="1" w:styleId="UnresolvedMention1">
    <w:name w:val="Unresolved Mention1"/>
    <w:basedOn w:val="DefaultParagraphFont"/>
    <w:uiPriority w:val="99"/>
    <w:semiHidden/>
    <w:unhideWhenUsed/>
    <w:rsid w:val="009C2D51"/>
    <w:rPr>
      <w:color w:val="808080"/>
      <w:shd w:val="clear" w:color="auto" w:fill="E6E6E6"/>
    </w:rPr>
  </w:style>
  <w:style w:type="paragraph" w:styleId="NormalWeb">
    <w:name w:val="Normal (Web)"/>
    <w:basedOn w:val="Normal"/>
    <w:uiPriority w:val="99"/>
    <w:unhideWhenUsed/>
    <w:rsid w:val="00250B7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TextChar">
    <w:name w:val="Text Char"/>
    <w:basedOn w:val="DefaultParagraphFont"/>
    <w:link w:val="Text"/>
    <w:locked/>
    <w:rsid w:val="002D5087"/>
    <w:rPr>
      <w:rFonts w:ascii="Futura Bk" w:eastAsia="Calibri" w:hAnsi="Futura Bk" w:cs="Times New Roman"/>
      <w:sz w:val="20"/>
      <w:szCs w:val="20"/>
    </w:rPr>
  </w:style>
  <w:style w:type="character" w:customStyle="1" w:styleId="TabletextChar">
    <w:name w:val="Table text Char"/>
    <w:link w:val="Tabletext"/>
    <w:rsid w:val="00844755"/>
    <w:rPr>
      <w:rFonts w:ascii="Futura Bk" w:eastAsia="Times New Roman" w:hAnsi="Futura Bk" w:cs="Times New Roman"/>
      <w:sz w:val="20"/>
      <w:szCs w:val="18"/>
    </w:rPr>
  </w:style>
  <w:style w:type="table" w:customStyle="1" w:styleId="OssianReportTable1">
    <w:name w:val="Ossian Report Table1"/>
    <w:basedOn w:val="TableNormal"/>
    <w:uiPriority w:val="99"/>
    <w:rsid w:val="00844755"/>
    <w:pPr>
      <w:keepNext/>
      <w:keepLines/>
      <w:spacing w:before="60" w:after="60" w:line="240" w:lineRule="auto"/>
      <w:jc w:val="center"/>
    </w:pPr>
    <w:rPr>
      <w:rFonts w:ascii="Futura Bk" w:eastAsia="MS Mincho" w:hAnsi="Futura Bk" w:cs="Times New Roman"/>
      <w:sz w:val="20"/>
      <w:szCs w:val="20"/>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character" w:customStyle="1" w:styleId="current-selection">
    <w:name w:val="current-selection"/>
    <w:basedOn w:val="DefaultParagraphFont"/>
    <w:rsid w:val="00746627"/>
  </w:style>
  <w:style w:type="character" w:customStyle="1" w:styleId="a">
    <w:name w:val="_"/>
    <w:basedOn w:val="DefaultParagraphFont"/>
    <w:rsid w:val="00746627"/>
  </w:style>
  <w:style w:type="character" w:customStyle="1" w:styleId="UnresolvedMention2">
    <w:name w:val="Unresolved Mention2"/>
    <w:basedOn w:val="DefaultParagraphFont"/>
    <w:uiPriority w:val="99"/>
    <w:semiHidden/>
    <w:unhideWhenUsed/>
    <w:rsid w:val="00F97C4E"/>
    <w:rPr>
      <w:color w:val="605E5C"/>
      <w:shd w:val="clear" w:color="auto" w:fill="E1DFDD"/>
    </w:rPr>
  </w:style>
  <w:style w:type="character" w:customStyle="1" w:styleId="CaptionChar">
    <w:name w:val="Caption Char"/>
    <w:aliases w:val="Char1 Char1,Char1 Char Char,Caption Char1 Char,Caption Char Char1 Char,Caption Char1 Char1 Char Char,Caption Char Char1 Char Char Char,Char1 Char Char1 Char Char Char,Caption Char Char Char Char Char Char,Char1 Char Char Char Char Char Char"/>
    <w:link w:val="Caption"/>
    <w:uiPriority w:val="99"/>
    <w:rsid w:val="004042AA"/>
    <w:rPr>
      <w:rFonts w:ascii="Futura Bk" w:eastAsia="Calibri" w:hAnsi="Futura Bk" w:cs="Times New Roman"/>
      <w:b/>
      <w:sz w:val="20"/>
      <w:szCs w:val="20"/>
    </w:rPr>
  </w:style>
  <w:style w:type="character" w:customStyle="1" w:styleId="FootnoteChar">
    <w:name w:val="Footnote Char"/>
    <w:basedOn w:val="DefaultParagraphFont"/>
    <w:link w:val="Footnote"/>
    <w:rsid w:val="004042AA"/>
    <w:rPr>
      <w:rFonts w:ascii="Futura Bk" w:eastAsia="Calibri" w:hAnsi="Futura Bk" w:cs="Times New Roman"/>
      <w:sz w:val="18"/>
      <w:szCs w:val="20"/>
    </w:rPr>
  </w:style>
  <w:style w:type="character" w:styleId="FollowedHyperlink">
    <w:name w:val="FollowedHyperlink"/>
    <w:basedOn w:val="DefaultParagraphFont"/>
    <w:uiPriority w:val="99"/>
    <w:semiHidden/>
    <w:unhideWhenUsed/>
    <w:rsid w:val="009F15B8"/>
    <w:rPr>
      <w:color w:val="954F72" w:themeColor="followedHyperlink"/>
      <w:u w:val="single"/>
    </w:rPr>
  </w:style>
  <w:style w:type="character" w:customStyle="1" w:styleId="UnresolvedMention3">
    <w:name w:val="Unresolved Mention3"/>
    <w:basedOn w:val="DefaultParagraphFont"/>
    <w:uiPriority w:val="99"/>
    <w:semiHidden/>
    <w:unhideWhenUsed/>
    <w:rsid w:val="00697D23"/>
    <w:rPr>
      <w:color w:val="605E5C"/>
      <w:shd w:val="clear" w:color="auto" w:fill="E1DFDD"/>
    </w:rPr>
  </w:style>
  <w:style w:type="character" w:customStyle="1" w:styleId="UnresolvedMention4">
    <w:name w:val="Unresolved Mention4"/>
    <w:basedOn w:val="DefaultParagraphFont"/>
    <w:uiPriority w:val="99"/>
    <w:semiHidden/>
    <w:unhideWhenUsed/>
    <w:rsid w:val="00856515"/>
    <w:rPr>
      <w:color w:val="605E5C"/>
      <w:shd w:val="clear" w:color="auto" w:fill="E1DFDD"/>
    </w:rPr>
  </w:style>
  <w:style w:type="character" w:customStyle="1" w:styleId="UnresolvedMention5">
    <w:name w:val="Unresolved Mention5"/>
    <w:basedOn w:val="DefaultParagraphFont"/>
    <w:uiPriority w:val="99"/>
    <w:semiHidden/>
    <w:unhideWhenUsed/>
    <w:rsid w:val="009B32CA"/>
    <w:rPr>
      <w:color w:val="605E5C"/>
      <w:shd w:val="clear" w:color="auto" w:fill="E1DFDD"/>
    </w:rPr>
  </w:style>
  <w:style w:type="paragraph" w:styleId="FootnoteText">
    <w:name w:val="footnote text"/>
    <w:basedOn w:val="Normal"/>
    <w:link w:val="FootnoteTextChar"/>
    <w:uiPriority w:val="99"/>
    <w:semiHidden/>
    <w:unhideWhenUsed/>
    <w:rsid w:val="005E71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712E"/>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5E71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55247">
      <w:bodyDiv w:val="1"/>
      <w:marLeft w:val="0"/>
      <w:marRight w:val="0"/>
      <w:marTop w:val="0"/>
      <w:marBottom w:val="0"/>
      <w:divBdr>
        <w:top w:val="none" w:sz="0" w:space="0" w:color="auto"/>
        <w:left w:val="none" w:sz="0" w:space="0" w:color="auto"/>
        <w:bottom w:val="none" w:sz="0" w:space="0" w:color="auto"/>
        <w:right w:val="none" w:sz="0" w:space="0" w:color="auto"/>
      </w:divBdr>
    </w:div>
    <w:div w:id="104424046">
      <w:bodyDiv w:val="1"/>
      <w:marLeft w:val="0"/>
      <w:marRight w:val="0"/>
      <w:marTop w:val="0"/>
      <w:marBottom w:val="0"/>
      <w:divBdr>
        <w:top w:val="none" w:sz="0" w:space="0" w:color="auto"/>
        <w:left w:val="none" w:sz="0" w:space="0" w:color="auto"/>
        <w:bottom w:val="none" w:sz="0" w:space="0" w:color="auto"/>
        <w:right w:val="none" w:sz="0" w:space="0" w:color="auto"/>
      </w:divBdr>
    </w:div>
    <w:div w:id="329795559">
      <w:bodyDiv w:val="1"/>
      <w:marLeft w:val="0"/>
      <w:marRight w:val="0"/>
      <w:marTop w:val="0"/>
      <w:marBottom w:val="0"/>
      <w:divBdr>
        <w:top w:val="none" w:sz="0" w:space="0" w:color="auto"/>
        <w:left w:val="none" w:sz="0" w:space="0" w:color="auto"/>
        <w:bottom w:val="none" w:sz="0" w:space="0" w:color="auto"/>
        <w:right w:val="none" w:sz="0" w:space="0" w:color="auto"/>
      </w:divBdr>
    </w:div>
    <w:div w:id="419718318">
      <w:bodyDiv w:val="1"/>
      <w:marLeft w:val="0"/>
      <w:marRight w:val="0"/>
      <w:marTop w:val="0"/>
      <w:marBottom w:val="0"/>
      <w:divBdr>
        <w:top w:val="none" w:sz="0" w:space="0" w:color="auto"/>
        <w:left w:val="none" w:sz="0" w:space="0" w:color="auto"/>
        <w:bottom w:val="none" w:sz="0" w:space="0" w:color="auto"/>
        <w:right w:val="none" w:sz="0" w:space="0" w:color="auto"/>
      </w:divBdr>
    </w:div>
    <w:div w:id="476842211">
      <w:bodyDiv w:val="1"/>
      <w:marLeft w:val="0"/>
      <w:marRight w:val="0"/>
      <w:marTop w:val="0"/>
      <w:marBottom w:val="0"/>
      <w:divBdr>
        <w:top w:val="none" w:sz="0" w:space="0" w:color="auto"/>
        <w:left w:val="none" w:sz="0" w:space="0" w:color="auto"/>
        <w:bottom w:val="none" w:sz="0" w:space="0" w:color="auto"/>
        <w:right w:val="none" w:sz="0" w:space="0" w:color="auto"/>
      </w:divBdr>
    </w:div>
    <w:div w:id="505249060">
      <w:bodyDiv w:val="1"/>
      <w:marLeft w:val="0"/>
      <w:marRight w:val="0"/>
      <w:marTop w:val="0"/>
      <w:marBottom w:val="0"/>
      <w:divBdr>
        <w:top w:val="none" w:sz="0" w:space="0" w:color="auto"/>
        <w:left w:val="none" w:sz="0" w:space="0" w:color="auto"/>
        <w:bottom w:val="none" w:sz="0" w:space="0" w:color="auto"/>
        <w:right w:val="none" w:sz="0" w:space="0" w:color="auto"/>
      </w:divBdr>
    </w:div>
    <w:div w:id="536820718">
      <w:bodyDiv w:val="1"/>
      <w:marLeft w:val="0"/>
      <w:marRight w:val="0"/>
      <w:marTop w:val="0"/>
      <w:marBottom w:val="0"/>
      <w:divBdr>
        <w:top w:val="none" w:sz="0" w:space="0" w:color="auto"/>
        <w:left w:val="none" w:sz="0" w:space="0" w:color="auto"/>
        <w:bottom w:val="none" w:sz="0" w:space="0" w:color="auto"/>
        <w:right w:val="none" w:sz="0" w:space="0" w:color="auto"/>
      </w:divBdr>
    </w:div>
    <w:div w:id="758791305">
      <w:bodyDiv w:val="1"/>
      <w:marLeft w:val="0"/>
      <w:marRight w:val="0"/>
      <w:marTop w:val="0"/>
      <w:marBottom w:val="0"/>
      <w:divBdr>
        <w:top w:val="none" w:sz="0" w:space="0" w:color="auto"/>
        <w:left w:val="none" w:sz="0" w:space="0" w:color="auto"/>
        <w:bottom w:val="none" w:sz="0" w:space="0" w:color="auto"/>
        <w:right w:val="none" w:sz="0" w:space="0" w:color="auto"/>
      </w:divBdr>
    </w:div>
    <w:div w:id="830220990">
      <w:bodyDiv w:val="1"/>
      <w:marLeft w:val="0"/>
      <w:marRight w:val="0"/>
      <w:marTop w:val="0"/>
      <w:marBottom w:val="0"/>
      <w:divBdr>
        <w:top w:val="none" w:sz="0" w:space="0" w:color="auto"/>
        <w:left w:val="none" w:sz="0" w:space="0" w:color="auto"/>
        <w:bottom w:val="none" w:sz="0" w:space="0" w:color="auto"/>
        <w:right w:val="none" w:sz="0" w:space="0" w:color="auto"/>
      </w:divBdr>
    </w:div>
    <w:div w:id="872420023">
      <w:bodyDiv w:val="1"/>
      <w:marLeft w:val="0"/>
      <w:marRight w:val="0"/>
      <w:marTop w:val="0"/>
      <w:marBottom w:val="0"/>
      <w:divBdr>
        <w:top w:val="none" w:sz="0" w:space="0" w:color="auto"/>
        <w:left w:val="none" w:sz="0" w:space="0" w:color="auto"/>
        <w:bottom w:val="none" w:sz="0" w:space="0" w:color="auto"/>
        <w:right w:val="none" w:sz="0" w:space="0" w:color="auto"/>
      </w:divBdr>
      <w:divsChild>
        <w:div w:id="1392115807">
          <w:marLeft w:val="0"/>
          <w:marRight w:val="0"/>
          <w:marTop w:val="0"/>
          <w:marBottom w:val="0"/>
          <w:divBdr>
            <w:top w:val="none" w:sz="0" w:space="0" w:color="auto"/>
            <w:left w:val="none" w:sz="0" w:space="0" w:color="auto"/>
            <w:bottom w:val="none" w:sz="0" w:space="0" w:color="auto"/>
            <w:right w:val="none" w:sz="0" w:space="0" w:color="auto"/>
          </w:divBdr>
          <w:divsChild>
            <w:div w:id="81876823">
              <w:marLeft w:val="0"/>
              <w:marRight w:val="0"/>
              <w:marTop w:val="0"/>
              <w:marBottom w:val="0"/>
              <w:divBdr>
                <w:top w:val="none" w:sz="0" w:space="0" w:color="auto"/>
                <w:left w:val="none" w:sz="0" w:space="0" w:color="auto"/>
                <w:bottom w:val="none" w:sz="0" w:space="0" w:color="auto"/>
                <w:right w:val="none" w:sz="0" w:space="0" w:color="auto"/>
              </w:divBdr>
              <w:divsChild>
                <w:div w:id="1077481797">
                  <w:marLeft w:val="0"/>
                  <w:marRight w:val="0"/>
                  <w:marTop w:val="190"/>
                  <w:marBottom w:val="190"/>
                  <w:divBdr>
                    <w:top w:val="none" w:sz="0" w:space="0" w:color="auto"/>
                    <w:left w:val="none" w:sz="0" w:space="0" w:color="auto"/>
                    <w:bottom w:val="none" w:sz="0" w:space="0" w:color="auto"/>
                    <w:right w:val="none" w:sz="0" w:space="0" w:color="auto"/>
                  </w:divBdr>
                  <w:divsChild>
                    <w:div w:id="1823961271">
                      <w:marLeft w:val="0"/>
                      <w:marRight w:val="0"/>
                      <w:marTop w:val="0"/>
                      <w:marBottom w:val="0"/>
                      <w:divBdr>
                        <w:top w:val="none" w:sz="0" w:space="0" w:color="auto"/>
                        <w:left w:val="none" w:sz="0" w:space="0" w:color="auto"/>
                        <w:bottom w:val="none" w:sz="0" w:space="0" w:color="auto"/>
                        <w:right w:val="none" w:sz="0" w:space="0" w:color="auto"/>
                      </w:divBdr>
                      <w:divsChild>
                        <w:div w:id="17045958">
                          <w:marLeft w:val="0"/>
                          <w:marRight w:val="0"/>
                          <w:marTop w:val="0"/>
                          <w:marBottom w:val="0"/>
                          <w:divBdr>
                            <w:top w:val="none" w:sz="0" w:space="0" w:color="auto"/>
                            <w:left w:val="none" w:sz="0" w:space="0" w:color="auto"/>
                            <w:bottom w:val="none" w:sz="0" w:space="0" w:color="auto"/>
                            <w:right w:val="none" w:sz="0" w:space="0" w:color="auto"/>
                          </w:divBdr>
                        </w:div>
                        <w:div w:id="175076920">
                          <w:marLeft w:val="0"/>
                          <w:marRight w:val="0"/>
                          <w:marTop w:val="0"/>
                          <w:marBottom w:val="0"/>
                          <w:divBdr>
                            <w:top w:val="none" w:sz="0" w:space="0" w:color="auto"/>
                            <w:left w:val="none" w:sz="0" w:space="0" w:color="auto"/>
                            <w:bottom w:val="none" w:sz="0" w:space="0" w:color="auto"/>
                            <w:right w:val="none" w:sz="0" w:space="0" w:color="auto"/>
                          </w:divBdr>
                        </w:div>
                        <w:div w:id="1476021733">
                          <w:marLeft w:val="0"/>
                          <w:marRight w:val="0"/>
                          <w:marTop w:val="0"/>
                          <w:marBottom w:val="0"/>
                          <w:divBdr>
                            <w:top w:val="none" w:sz="0" w:space="0" w:color="auto"/>
                            <w:left w:val="none" w:sz="0" w:space="0" w:color="auto"/>
                            <w:bottom w:val="none" w:sz="0" w:space="0" w:color="auto"/>
                            <w:right w:val="none" w:sz="0" w:space="0" w:color="auto"/>
                          </w:divBdr>
                        </w:div>
                        <w:div w:id="1511529708">
                          <w:marLeft w:val="0"/>
                          <w:marRight w:val="0"/>
                          <w:marTop w:val="0"/>
                          <w:marBottom w:val="0"/>
                          <w:divBdr>
                            <w:top w:val="none" w:sz="0" w:space="0" w:color="auto"/>
                            <w:left w:val="none" w:sz="0" w:space="0" w:color="auto"/>
                            <w:bottom w:val="none" w:sz="0" w:space="0" w:color="auto"/>
                            <w:right w:val="none" w:sz="0" w:space="0" w:color="auto"/>
                          </w:divBdr>
                        </w:div>
                        <w:div w:id="1661347502">
                          <w:marLeft w:val="0"/>
                          <w:marRight w:val="0"/>
                          <w:marTop w:val="0"/>
                          <w:marBottom w:val="0"/>
                          <w:divBdr>
                            <w:top w:val="none" w:sz="0" w:space="0" w:color="auto"/>
                            <w:left w:val="none" w:sz="0" w:space="0" w:color="auto"/>
                            <w:bottom w:val="none" w:sz="0" w:space="0" w:color="auto"/>
                            <w:right w:val="none" w:sz="0" w:space="0" w:color="auto"/>
                          </w:divBdr>
                        </w:div>
                        <w:div w:id="1758595388">
                          <w:marLeft w:val="0"/>
                          <w:marRight w:val="0"/>
                          <w:marTop w:val="0"/>
                          <w:marBottom w:val="0"/>
                          <w:divBdr>
                            <w:top w:val="none" w:sz="0" w:space="0" w:color="auto"/>
                            <w:left w:val="none" w:sz="0" w:space="0" w:color="auto"/>
                            <w:bottom w:val="none" w:sz="0" w:space="0" w:color="auto"/>
                            <w:right w:val="none" w:sz="0" w:space="0" w:color="auto"/>
                          </w:divBdr>
                        </w:div>
                        <w:div w:id="1824851521">
                          <w:marLeft w:val="0"/>
                          <w:marRight w:val="0"/>
                          <w:marTop w:val="0"/>
                          <w:marBottom w:val="0"/>
                          <w:divBdr>
                            <w:top w:val="none" w:sz="0" w:space="0" w:color="auto"/>
                            <w:left w:val="none" w:sz="0" w:space="0" w:color="auto"/>
                            <w:bottom w:val="none" w:sz="0" w:space="0" w:color="auto"/>
                            <w:right w:val="none" w:sz="0" w:space="0" w:color="auto"/>
                          </w:divBdr>
                        </w:div>
                        <w:div w:id="1932467092">
                          <w:marLeft w:val="0"/>
                          <w:marRight w:val="0"/>
                          <w:marTop w:val="0"/>
                          <w:marBottom w:val="0"/>
                          <w:divBdr>
                            <w:top w:val="none" w:sz="0" w:space="0" w:color="auto"/>
                            <w:left w:val="none" w:sz="0" w:space="0" w:color="auto"/>
                            <w:bottom w:val="none" w:sz="0" w:space="0" w:color="auto"/>
                            <w:right w:val="none" w:sz="0" w:space="0" w:color="auto"/>
                          </w:divBdr>
                        </w:div>
                        <w:div w:id="21357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343354">
      <w:bodyDiv w:val="1"/>
      <w:marLeft w:val="0"/>
      <w:marRight w:val="0"/>
      <w:marTop w:val="0"/>
      <w:marBottom w:val="0"/>
      <w:divBdr>
        <w:top w:val="none" w:sz="0" w:space="0" w:color="auto"/>
        <w:left w:val="none" w:sz="0" w:space="0" w:color="auto"/>
        <w:bottom w:val="none" w:sz="0" w:space="0" w:color="auto"/>
        <w:right w:val="none" w:sz="0" w:space="0" w:color="auto"/>
      </w:divBdr>
    </w:div>
    <w:div w:id="1466191539">
      <w:bodyDiv w:val="1"/>
      <w:marLeft w:val="0"/>
      <w:marRight w:val="0"/>
      <w:marTop w:val="0"/>
      <w:marBottom w:val="0"/>
      <w:divBdr>
        <w:top w:val="none" w:sz="0" w:space="0" w:color="auto"/>
        <w:left w:val="none" w:sz="0" w:space="0" w:color="auto"/>
        <w:bottom w:val="none" w:sz="0" w:space="0" w:color="auto"/>
        <w:right w:val="none" w:sz="0" w:space="0" w:color="auto"/>
      </w:divBdr>
    </w:div>
    <w:div w:id="1471169542">
      <w:bodyDiv w:val="1"/>
      <w:marLeft w:val="0"/>
      <w:marRight w:val="0"/>
      <w:marTop w:val="0"/>
      <w:marBottom w:val="0"/>
      <w:divBdr>
        <w:top w:val="none" w:sz="0" w:space="0" w:color="auto"/>
        <w:left w:val="none" w:sz="0" w:space="0" w:color="auto"/>
        <w:bottom w:val="none" w:sz="0" w:space="0" w:color="auto"/>
        <w:right w:val="none" w:sz="0" w:space="0" w:color="auto"/>
      </w:divBdr>
    </w:div>
    <w:div w:id="1484081803">
      <w:bodyDiv w:val="1"/>
      <w:marLeft w:val="0"/>
      <w:marRight w:val="0"/>
      <w:marTop w:val="0"/>
      <w:marBottom w:val="0"/>
      <w:divBdr>
        <w:top w:val="none" w:sz="0" w:space="0" w:color="auto"/>
        <w:left w:val="none" w:sz="0" w:space="0" w:color="auto"/>
        <w:bottom w:val="none" w:sz="0" w:space="0" w:color="auto"/>
        <w:right w:val="none" w:sz="0" w:space="0" w:color="auto"/>
      </w:divBdr>
    </w:div>
    <w:div w:id="1560090310">
      <w:bodyDiv w:val="1"/>
      <w:marLeft w:val="0"/>
      <w:marRight w:val="0"/>
      <w:marTop w:val="0"/>
      <w:marBottom w:val="0"/>
      <w:divBdr>
        <w:top w:val="none" w:sz="0" w:space="0" w:color="auto"/>
        <w:left w:val="none" w:sz="0" w:space="0" w:color="auto"/>
        <w:bottom w:val="none" w:sz="0" w:space="0" w:color="auto"/>
        <w:right w:val="none" w:sz="0" w:space="0" w:color="auto"/>
      </w:divBdr>
    </w:div>
    <w:div w:id="1570338271">
      <w:bodyDiv w:val="1"/>
      <w:marLeft w:val="0"/>
      <w:marRight w:val="0"/>
      <w:marTop w:val="0"/>
      <w:marBottom w:val="0"/>
      <w:divBdr>
        <w:top w:val="none" w:sz="0" w:space="0" w:color="auto"/>
        <w:left w:val="none" w:sz="0" w:space="0" w:color="auto"/>
        <w:bottom w:val="none" w:sz="0" w:space="0" w:color="auto"/>
        <w:right w:val="none" w:sz="0" w:space="0" w:color="auto"/>
      </w:divBdr>
    </w:div>
    <w:div w:id="1646198948">
      <w:bodyDiv w:val="1"/>
      <w:marLeft w:val="0"/>
      <w:marRight w:val="0"/>
      <w:marTop w:val="0"/>
      <w:marBottom w:val="0"/>
      <w:divBdr>
        <w:top w:val="none" w:sz="0" w:space="0" w:color="auto"/>
        <w:left w:val="none" w:sz="0" w:space="0" w:color="auto"/>
        <w:bottom w:val="none" w:sz="0" w:space="0" w:color="auto"/>
        <w:right w:val="none" w:sz="0" w:space="0" w:color="auto"/>
      </w:divBdr>
    </w:div>
    <w:div w:id="1772161957">
      <w:bodyDiv w:val="1"/>
      <w:marLeft w:val="0"/>
      <w:marRight w:val="0"/>
      <w:marTop w:val="0"/>
      <w:marBottom w:val="0"/>
      <w:divBdr>
        <w:top w:val="none" w:sz="0" w:space="0" w:color="auto"/>
        <w:left w:val="none" w:sz="0" w:space="0" w:color="auto"/>
        <w:bottom w:val="none" w:sz="0" w:space="0" w:color="auto"/>
        <w:right w:val="none" w:sz="0" w:space="0" w:color="auto"/>
      </w:divBdr>
    </w:div>
    <w:div w:id="1802184844">
      <w:bodyDiv w:val="1"/>
      <w:marLeft w:val="0"/>
      <w:marRight w:val="0"/>
      <w:marTop w:val="0"/>
      <w:marBottom w:val="0"/>
      <w:divBdr>
        <w:top w:val="none" w:sz="0" w:space="0" w:color="auto"/>
        <w:left w:val="none" w:sz="0" w:space="0" w:color="auto"/>
        <w:bottom w:val="none" w:sz="0" w:space="0" w:color="auto"/>
        <w:right w:val="none" w:sz="0" w:space="0" w:color="auto"/>
      </w:divBdr>
    </w:div>
    <w:div w:id="181116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medicinpriser.dk/?lng=2" TargetMode="External"/><Relationship Id="rId2" Type="http://schemas.openxmlformats.org/officeDocument/2006/relationships/hyperlink" Target="http://www.who.int/substance_abuse/publications/global_alcohol_report/profiles/dnk.pdf?ua=1" TargetMode="External"/><Relationship Id="rId1" Type="http://schemas.openxmlformats.org/officeDocument/2006/relationships/hyperlink" Target="https://ec.europa.eu/commfrontoffice/publicopinion/index.cfm/ResultDoc/download/DocumentKy/79002" TargetMode="External"/><Relationship Id="rId6" Type="http://schemas.openxmlformats.org/officeDocument/2006/relationships/hyperlink" Target="http://sundhedsstyrelsen.dk/~/media/F42943CEAEC743DDAD8CB57FF55C9581.ashx" TargetMode="External"/><Relationship Id="rId5" Type="http://schemas.openxmlformats.org/officeDocument/2006/relationships/hyperlink" Target="https://www.laeger.dk" TargetMode="External"/><Relationship Id="rId4" Type="http://schemas.openxmlformats.org/officeDocument/2006/relationships/hyperlink" Target="https://sundhedsdatastyrelsen.dk/da/afregning-og-finansiering/takster-drg/takster-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5D3FE-67C8-46E5-91E2-CD66A078C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Novo Nordisk A/S</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Sam Malkin</cp:lastModifiedBy>
  <cp:revision>3</cp:revision>
  <cp:lastPrinted>2018-11-06T11:09:00Z</cp:lastPrinted>
  <dcterms:created xsi:type="dcterms:W3CDTF">2019-02-12T09:54:00Z</dcterms:created>
  <dcterms:modified xsi:type="dcterms:W3CDTF">2019-02-12T10:05:00Z</dcterms:modified>
</cp:coreProperties>
</file>