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6D3" w:rsidRPr="000236D3" w:rsidRDefault="000236D3">
      <w:pPr>
        <w:rPr>
          <w:rFonts w:ascii="Arial" w:hAnsi="Arial" w:cs="Arial"/>
          <w:b/>
        </w:rPr>
      </w:pPr>
      <w:r w:rsidRPr="000236D3">
        <w:rPr>
          <w:rFonts w:ascii="Arial" w:hAnsi="Arial" w:cs="Arial"/>
          <w:b/>
        </w:rPr>
        <w:t>SUPPLEMENTARY MATERIAL</w:t>
      </w:r>
    </w:p>
    <w:p w:rsidR="000236D3" w:rsidRPr="000236D3" w:rsidRDefault="000236D3">
      <w:pPr>
        <w:rPr>
          <w:rFonts w:ascii="Arial" w:hAnsi="Arial" w:cs="Arial"/>
          <w:b/>
        </w:rPr>
      </w:pPr>
    </w:p>
    <w:p w:rsidR="000236D3" w:rsidRPr="000236D3" w:rsidRDefault="000236D3" w:rsidP="000236D3">
      <w:pPr>
        <w:outlineLvl w:val="1"/>
        <w:rPr>
          <w:rFonts w:ascii="Arial" w:hAnsi="Arial" w:cs="Arial"/>
          <w:b/>
        </w:rPr>
      </w:pPr>
      <w:proofErr w:type="gramStart"/>
      <w:r w:rsidRPr="000236D3">
        <w:rPr>
          <w:rFonts w:ascii="Arial" w:hAnsi="Arial" w:cs="Arial"/>
          <w:b/>
        </w:rPr>
        <w:t>Supplementary</w:t>
      </w:r>
      <w:r w:rsidRPr="000236D3">
        <w:rPr>
          <w:rFonts w:ascii="Arial" w:hAnsi="Arial" w:cs="Arial"/>
          <w:b/>
        </w:rPr>
        <w:t xml:space="preserve"> Table 1.</w:t>
      </w:r>
      <w:proofErr w:type="gramEnd"/>
      <w:r w:rsidRPr="000236D3">
        <w:rPr>
          <w:rFonts w:ascii="Arial" w:hAnsi="Arial" w:cs="Arial"/>
          <w:b/>
        </w:rPr>
        <w:t xml:space="preserve"> Insulin glargine dosing algorithm</w:t>
      </w:r>
    </w:p>
    <w:p w:rsidR="000236D3" w:rsidRPr="000236D3" w:rsidRDefault="000236D3" w:rsidP="000236D3">
      <w:pPr>
        <w:spacing w:after="0" w:line="240" w:lineRule="auto"/>
        <w:ind w:right="1230"/>
        <w:rPr>
          <w:rFonts w:ascii="Arial" w:eastAsia="Times New Roman" w:hAnsi="Arial" w:cs="Arial"/>
          <w:b/>
          <w:sz w:val="20"/>
          <w:szCs w:val="20"/>
          <w:lang w:eastAsia="en-AU"/>
        </w:rPr>
      </w:pPr>
    </w:p>
    <w:tbl>
      <w:tblPr>
        <w:tblW w:w="10320" w:type="dxa"/>
        <w:tblInd w:w="93" w:type="dxa"/>
        <w:tblLook w:val="04A0" w:firstRow="1" w:lastRow="0" w:firstColumn="1" w:lastColumn="0" w:noHBand="0" w:noVBand="1"/>
      </w:tblPr>
      <w:tblGrid>
        <w:gridCol w:w="5160"/>
        <w:gridCol w:w="5160"/>
      </w:tblGrid>
      <w:tr w:rsidR="000236D3" w:rsidRPr="000236D3" w:rsidTr="004D4A3D">
        <w:trPr>
          <w:trHeight w:val="300"/>
        </w:trPr>
        <w:tc>
          <w:tcPr>
            <w:tcW w:w="51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236D3" w:rsidRPr="000236D3" w:rsidRDefault="000236D3" w:rsidP="004D4A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23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Average of Self-Monitored Plasma-Equivalent FBG Measurements from the Previous 2-4 Days</w:t>
            </w:r>
          </w:p>
        </w:tc>
        <w:tc>
          <w:tcPr>
            <w:tcW w:w="51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36D3" w:rsidRPr="000236D3" w:rsidRDefault="000236D3" w:rsidP="004D4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23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Change in Insulin Glargine Dose, IU/Day</w:t>
            </w:r>
          </w:p>
        </w:tc>
      </w:tr>
      <w:tr w:rsidR="000236D3" w:rsidRPr="000236D3" w:rsidTr="004D4A3D">
        <w:trPr>
          <w:trHeight w:val="509"/>
        </w:trPr>
        <w:tc>
          <w:tcPr>
            <w:tcW w:w="51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236D3" w:rsidRPr="000236D3" w:rsidTr="004D4A3D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≥6.1 </w:t>
            </w:r>
            <w:proofErr w:type="spellStart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mmol</w:t>
            </w:r>
            <w:proofErr w:type="spellEnd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/L (≥110 mg/</w:t>
            </w:r>
            <w:proofErr w:type="spellStart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</w:t>
            </w:r>
            <w:proofErr w:type="spellEnd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+2</w:t>
            </w:r>
          </w:p>
        </w:tc>
      </w:tr>
      <w:tr w:rsidR="000236D3" w:rsidRPr="000236D3" w:rsidTr="004D4A3D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5.6-6.1 </w:t>
            </w:r>
            <w:proofErr w:type="spellStart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mmol</w:t>
            </w:r>
            <w:proofErr w:type="spellEnd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/L (101-109 mg/</w:t>
            </w:r>
            <w:proofErr w:type="spellStart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</w:t>
            </w:r>
            <w:proofErr w:type="spellEnd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+1 or +2 (at the investigator’s discretion)</w:t>
            </w:r>
          </w:p>
        </w:tc>
      </w:tr>
      <w:tr w:rsidR="000236D3" w:rsidRPr="000236D3" w:rsidTr="004D4A3D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4.0-5.6 </w:t>
            </w:r>
            <w:proofErr w:type="spellStart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mmol</w:t>
            </w:r>
            <w:proofErr w:type="spellEnd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/L (72-100 mg/</w:t>
            </w:r>
            <w:proofErr w:type="spellStart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</w:t>
            </w:r>
            <w:proofErr w:type="spellEnd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 change in dosage</w:t>
            </w:r>
          </w:p>
        </w:tc>
      </w:tr>
      <w:tr w:rsidR="000236D3" w:rsidRPr="000236D3" w:rsidTr="004D4A3D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3.3-3.9 </w:t>
            </w:r>
            <w:proofErr w:type="spellStart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mmol</w:t>
            </w:r>
            <w:proofErr w:type="spellEnd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/L (60-71 mg/</w:t>
            </w:r>
            <w:proofErr w:type="spellStart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</w:t>
            </w:r>
            <w:proofErr w:type="spellEnd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</w:p>
        </w:tc>
      </w:tr>
      <w:tr w:rsidR="000236D3" w:rsidRPr="000236D3" w:rsidTr="004D4A3D">
        <w:trPr>
          <w:trHeight w:val="315"/>
        </w:trPr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&lt;3.3 </w:t>
            </w:r>
            <w:proofErr w:type="spellStart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mmol</w:t>
            </w:r>
            <w:proofErr w:type="spellEnd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/L (&lt;60 mg/</w:t>
            </w:r>
            <w:proofErr w:type="spellStart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</w:t>
            </w:r>
            <w:proofErr w:type="spellEnd"/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36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</w:t>
            </w:r>
          </w:p>
        </w:tc>
      </w:tr>
    </w:tbl>
    <w:p w:rsidR="000236D3" w:rsidRPr="000236D3" w:rsidRDefault="000236D3" w:rsidP="000236D3">
      <w:pPr>
        <w:pStyle w:val="TblFootnote"/>
        <w:keepNext w:val="0"/>
        <w:keepLines w:val="0"/>
        <w:widowControl w:val="0"/>
        <w:ind w:left="0" w:firstLine="0"/>
        <w:rPr>
          <w:rFonts w:ascii="Arial" w:hAnsi="Arial" w:cs="Arial"/>
          <w:sz w:val="18"/>
          <w:szCs w:val="18"/>
          <w:lang w:val="en-GB"/>
        </w:rPr>
      </w:pPr>
      <w:r w:rsidRPr="000236D3">
        <w:rPr>
          <w:rFonts w:ascii="Arial" w:hAnsi="Arial" w:cs="Arial"/>
          <w:sz w:val="18"/>
          <w:szCs w:val="18"/>
          <w:lang w:val="en-GB"/>
        </w:rPr>
        <w:t xml:space="preserve">The fasting </w:t>
      </w:r>
      <w:r w:rsidRPr="000236D3" w:rsidDel="005B60AB">
        <w:rPr>
          <w:rFonts w:ascii="Arial" w:hAnsi="Arial" w:cs="Arial"/>
          <w:sz w:val="18"/>
          <w:szCs w:val="18"/>
          <w:lang w:val="en-GB"/>
        </w:rPr>
        <w:t xml:space="preserve">blood </w:t>
      </w:r>
      <w:r w:rsidRPr="000236D3">
        <w:rPr>
          <w:rFonts w:ascii="Arial" w:hAnsi="Arial" w:cs="Arial"/>
          <w:sz w:val="18"/>
          <w:szCs w:val="18"/>
          <w:lang w:val="en-GB"/>
        </w:rPr>
        <w:t>glucose (FBG) concentrations listed above refer to fasting plasma glucose concentrations obtained from a laboratory or using an International Federation of Clinical Chemistry plasma-equivalent blood glucose meter.</w:t>
      </w:r>
    </w:p>
    <w:p w:rsidR="000236D3" w:rsidRPr="000236D3" w:rsidRDefault="000236D3" w:rsidP="000236D3">
      <w:pPr>
        <w:rPr>
          <w:rFonts w:ascii="Arial" w:hAnsi="Arial" w:cs="Arial"/>
          <w:b/>
        </w:rPr>
      </w:pPr>
    </w:p>
    <w:p w:rsidR="000236D3" w:rsidRPr="000236D3" w:rsidRDefault="000236D3" w:rsidP="000236D3">
      <w:pPr>
        <w:outlineLvl w:val="1"/>
        <w:rPr>
          <w:rFonts w:ascii="Arial" w:hAnsi="Arial" w:cs="Arial"/>
          <w:b/>
        </w:rPr>
        <w:sectPr w:rsidR="000236D3" w:rsidRPr="000236D3" w:rsidSect="000236D3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0236D3" w:rsidRPr="000236D3" w:rsidRDefault="000236D3" w:rsidP="000236D3">
      <w:pPr>
        <w:outlineLvl w:val="1"/>
        <w:rPr>
          <w:rFonts w:ascii="Arial" w:hAnsi="Arial" w:cs="Arial"/>
          <w:b/>
        </w:rPr>
      </w:pPr>
      <w:proofErr w:type="gramStart"/>
      <w:r w:rsidRPr="000236D3">
        <w:rPr>
          <w:rFonts w:ascii="Arial" w:hAnsi="Arial" w:cs="Arial"/>
          <w:b/>
        </w:rPr>
        <w:lastRenderedPageBreak/>
        <w:t>Supplementary</w:t>
      </w:r>
      <w:r w:rsidRPr="000236D3">
        <w:rPr>
          <w:rFonts w:ascii="Arial" w:hAnsi="Arial" w:cs="Arial"/>
          <w:b/>
        </w:rPr>
        <w:t xml:space="preserve"> Table 2.</w:t>
      </w:r>
      <w:proofErr w:type="gramEnd"/>
      <w:r w:rsidRPr="000236D3">
        <w:rPr>
          <w:rFonts w:ascii="Arial" w:hAnsi="Arial" w:cs="Arial"/>
          <w:b/>
        </w:rPr>
        <w:t xml:space="preserve"> Ethics Review Board information</w:t>
      </w:r>
    </w:p>
    <w:tbl>
      <w:tblPr>
        <w:tblW w:w="67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5"/>
      </w:tblGrid>
      <w:tr w:rsidR="000236D3" w:rsidRPr="000236D3" w:rsidTr="004D4A3D">
        <w:trPr>
          <w:cantSplit/>
          <w:tblHeader/>
        </w:trPr>
        <w:tc>
          <w:tcPr>
            <w:tcW w:w="67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36D3">
              <w:rPr>
                <w:rFonts w:ascii="Arial" w:hAnsi="Arial" w:cs="Arial"/>
                <w:b/>
                <w:sz w:val="18"/>
                <w:szCs w:val="18"/>
                <w:lang w:eastAsia="zh-CN"/>
              </w:rPr>
              <w:t>ERB</w:t>
            </w:r>
            <w:r w:rsidRPr="000236D3">
              <w:rPr>
                <w:rFonts w:ascii="Arial" w:hAnsi="Arial" w:cs="Arial"/>
                <w:b/>
                <w:sz w:val="18"/>
                <w:szCs w:val="18"/>
              </w:rPr>
              <w:t xml:space="preserve"> Address</w:t>
            </w:r>
          </w:p>
        </w:tc>
      </w:tr>
      <w:tr w:rsidR="000236D3" w:rsidRPr="000236D3" w:rsidTr="004D4A3D">
        <w:trPr>
          <w:cantSplit/>
          <w:trHeight w:val="443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proofErr w:type="spellStart"/>
            <w:r w:rsidRPr="000236D3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Ruijin</w:t>
            </w:r>
            <w:proofErr w:type="spellEnd"/>
            <w:r w:rsidRPr="000236D3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 xml:space="preserve"> Hospital Affiliate to Shanghai Jiao Tong University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0236D3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 xml:space="preserve">197, </w:t>
            </w:r>
            <w:proofErr w:type="spellStart"/>
            <w:r w:rsidRPr="000236D3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Ruijin</w:t>
            </w:r>
            <w:proofErr w:type="spellEnd"/>
            <w:r w:rsidRPr="000236D3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 xml:space="preserve"> 2</w:t>
            </w:r>
            <w:proofErr w:type="spellStart"/>
            <w:r w:rsidRPr="000236D3">
              <w:rPr>
                <w:rFonts w:ascii="Arial" w:hAnsi="Arial" w:cs="Arial"/>
                <w:bCs/>
                <w:position w:val="4"/>
                <w:sz w:val="18"/>
                <w:szCs w:val="18"/>
                <w:lang w:eastAsia="zh-CN"/>
              </w:rPr>
              <w:t>nd</w:t>
            </w:r>
            <w:proofErr w:type="spellEnd"/>
            <w:r w:rsidRPr="000236D3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 xml:space="preserve"> Road, Shanghai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0236D3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200025, China</w:t>
            </w:r>
          </w:p>
        </w:tc>
      </w:tr>
      <w:tr w:rsidR="000236D3" w:rsidRPr="000236D3" w:rsidTr="004D4A3D">
        <w:trPr>
          <w:cantSplit/>
          <w:trHeight w:val="406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Zhongshan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Fudan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180,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Fenlin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Road,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Shanghai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200032, China</w:t>
            </w:r>
          </w:p>
        </w:tc>
      </w:tr>
      <w:tr w:rsidR="000236D3" w:rsidRPr="000236D3" w:rsidTr="004D4A3D">
        <w:trPr>
          <w:cantSplit/>
          <w:trHeight w:val="412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Shanghai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Changzheng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Hospital,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415 Feng Yang Road,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Shanghai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200003,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Shanghai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First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People’s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Hospital,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100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Haining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Road,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Shanghai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200080,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lastRenderedPageBreak/>
              <w:t xml:space="preserve">PLA.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The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Military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General Hospital of Beijing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5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Nan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Men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Cang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, Dong Si Shi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Tiao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, East City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District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, Beijing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100700,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Xi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Jing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, 1</w:t>
            </w:r>
            <w:proofErr w:type="spellStart"/>
            <w:r w:rsidRPr="000236D3">
              <w:rPr>
                <w:rFonts w:ascii="Arial" w:hAnsi="Arial" w:cs="Arial"/>
                <w:position w:val="4"/>
                <w:sz w:val="18"/>
                <w:szCs w:val="18"/>
                <w:lang w:val="es-ES" w:eastAsia="zh-CN"/>
              </w:rPr>
              <w:t>st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Affiliate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4th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Military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Medical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No 15 West Changle Road, Xi’an, Shanxi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710032,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First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Affiliate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of Medical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College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, Xi’an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Jiaotong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No 277, West Yanta Road, Xi’an 710061,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First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Affiliate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of Dalian Medical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 222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Zhongshan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Road, Dalian, Liaoning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116011,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West China Hospital of Sichuan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37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Goxue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Lane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, Chengdu, Sichuan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610041,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The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First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Affiliate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Chongqing Medical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1,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Youyi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Road,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Yuanjiagang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Yuzhong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Distriction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, Chongqing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400030,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Second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Affiliate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of Zhejiang Medical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No.88,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Jie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Fang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Road, Hangzhou, Zhejiang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310009,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Sun Yat-Sen Memorial Hospital, Sun Yat-Sen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107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Yanjiang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West Road,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Guangzhou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Guangdong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Province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510120,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Guangdong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Province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People’s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106,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Zhong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Shan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Er Road,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Guangzhou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Guangdong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510080,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The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Second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of Hebei Medical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215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Heping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Road, Shijiazhuang, Hebei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050000,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Hebei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Province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People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348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Heping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West Road, Shijiazhuang, Hebei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050051,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lastRenderedPageBreak/>
              <w:t xml:space="preserve">Wuhan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Union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(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Xiehe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) Hospital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1277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Jiefeng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Road, Wuhan, Hubei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430022, China</w:t>
            </w:r>
          </w:p>
        </w:tc>
      </w:tr>
      <w:tr w:rsidR="000236D3" w:rsidRPr="000236D3" w:rsidTr="004D4A3D">
        <w:trPr>
          <w:cantSplit/>
          <w:trHeight w:val="390"/>
        </w:trPr>
        <w:tc>
          <w:tcPr>
            <w:tcW w:w="6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Wu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Han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Tongji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 1095,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Jie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Fang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Da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Dao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Wu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Han,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Hu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Bei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430030, China</w:t>
            </w:r>
          </w:p>
        </w:tc>
      </w:tr>
      <w:tr w:rsidR="000236D3" w:rsidRPr="000236D3" w:rsidTr="004D4A3D">
        <w:trPr>
          <w:cantSplit/>
          <w:trHeight w:val="390"/>
        </w:trPr>
        <w:tc>
          <w:tcPr>
            <w:tcW w:w="6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First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Affiliate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of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the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Harbin Medical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23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You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Zheng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Road,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Nangang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District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, Harbin, Heilongjiang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150001, China</w:t>
            </w:r>
          </w:p>
        </w:tc>
      </w:tr>
      <w:tr w:rsidR="000236D3" w:rsidRPr="000236D3" w:rsidTr="004D4A3D">
        <w:trPr>
          <w:cantSplit/>
          <w:trHeight w:val="518"/>
        </w:trPr>
        <w:tc>
          <w:tcPr>
            <w:tcW w:w="6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Shengjing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of China Medical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36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Sanhao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Street,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Heping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District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, Shenyang, Liaoning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110004, China</w:t>
            </w:r>
          </w:p>
        </w:tc>
      </w:tr>
      <w:tr w:rsidR="000236D3" w:rsidRPr="000236D3" w:rsidTr="004D4A3D">
        <w:trPr>
          <w:cantSplit/>
          <w:trHeight w:val="291"/>
        </w:trPr>
        <w:tc>
          <w:tcPr>
            <w:tcW w:w="6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36D3" w:rsidRPr="000236D3" w:rsidRDefault="000236D3" w:rsidP="004D4A3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The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Second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Xiangya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of Central South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86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Renmin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Zhong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Road, Changsha, Hunan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410011,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The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Second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Affiliate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To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Nanchang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1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Minde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Road,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Nanchang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, Jiangxi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330006,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Affiliate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of Jiangsu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438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Jiefang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Road,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Zhenjiang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, Jiangsu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212000,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Beijing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Tiantan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Affiliate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to Capital Medical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6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Tiantan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Xili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, Beijing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100050,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The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First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Affiliate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of Anhui Medical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No. 218, Ji Xi Road, Hefei, Anhui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230022,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Anhui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Province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17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Lujiang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Road, Hefei, Anhui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230001,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Nanjing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First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68 Changle Road, Nanjing, Jiangsu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210006,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lastRenderedPageBreak/>
              <w:t>Peking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Union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Medical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College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 1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Shuaifyuan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, Beijing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100730,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Beijing 262 Hospital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16,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Xinwai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Street,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Xicheng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District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, Beijing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100088,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Shanghai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Huashan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Fudan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University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430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Huashan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Road,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Shanghai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200040,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Subei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People’s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98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Nantong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Xi Road,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Yangzhou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, Jiangsu</w:t>
            </w:r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225001, China</w:t>
            </w:r>
          </w:p>
        </w:tc>
      </w:tr>
      <w:tr w:rsidR="000236D3" w:rsidRPr="000236D3" w:rsidTr="004D4A3D">
        <w:trPr>
          <w:cantSplit/>
          <w:trHeight w:val="417"/>
        </w:trPr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The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Affiliate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Hospital of Guiyang Medical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College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No. 28,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Guiyi</w:t>
            </w:r>
            <w:proofErr w:type="spellEnd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 xml:space="preserve"> Street, Guiyang, Guiyang, Guizhou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Province</w:t>
            </w:r>
            <w:proofErr w:type="spellEnd"/>
          </w:p>
          <w:p w:rsidR="000236D3" w:rsidRPr="000236D3" w:rsidRDefault="000236D3" w:rsidP="004D4A3D">
            <w:pPr>
              <w:pStyle w:val="mdTblEntry"/>
              <w:rPr>
                <w:rFonts w:ascii="Arial" w:hAnsi="Arial" w:cs="Arial"/>
                <w:sz w:val="18"/>
                <w:szCs w:val="18"/>
                <w:lang w:val="es-ES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s-ES" w:eastAsia="zh-CN"/>
              </w:rPr>
              <w:t>550004, China</w:t>
            </w:r>
          </w:p>
        </w:tc>
      </w:tr>
    </w:tbl>
    <w:p w:rsidR="000236D3" w:rsidRPr="000236D3" w:rsidRDefault="000236D3" w:rsidP="000236D3">
      <w:pPr>
        <w:rPr>
          <w:rFonts w:ascii="Arial" w:hAnsi="Arial" w:cs="Arial"/>
          <w:b/>
        </w:rPr>
        <w:sectPr w:rsidR="000236D3" w:rsidRPr="000236D3" w:rsidSect="000236D3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0236D3">
        <w:rPr>
          <w:rFonts w:ascii="Arial" w:hAnsi="Arial" w:cs="Arial"/>
          <w:sz w:val="18"/>
          <w:szCs w:val="18"/>
          <w:lang w:eastAsia="ja-JP"/>
        </w:rPr>
        <w:t>Abbreviations: ERB, ethics review board</w:t>
      </w:r>
    </w:p>
    <w:p w:rsidR="000236D3" w:rsidRPr="000236D3" w:rsidRDefault="000236D3" w:rsidP="000236D3">
      <w:pPr>
        <w:rPr>
          <w:rFonts w:ascii="Arial" w:hAnsi="Arial" w:cs="Arial"/>
          <w:b/>
        </w:rPr>
      </w:pPr>
    </w:p>
    <w:p w:rsidR="000236D3" w:rsidRPr="000236D3" w:rsidRDefault="000236D3" w:rsidP="000236D3">
      <w:pPr>
        <w:outlineLvl w:val="1"/>
        <w:rPr>
          <w:rFonts w:ascii="Arial" w:hAnsi="Arial" w:cs="Arial"/>
          <w:b/>
        </w:rPr>
      </w:pPr>
      <w:proofErr w:type="gramStart"/>
      <w:r w:rsidRPr="000236D3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upplementary</w:t>
      </w:r>
      <w:r w:rsidRPr="000236D3">
        <w:rPr>
          <w:rFonts w:ascii="Arial" w:hAnsi="Arial" w:cs="Arial"/>
          <w:b/>
        </w:rPr>
        <w:t xml:space="preserve"> Table 3.</w:t>
      </w:r>
      <w:proofErr w:type="gramEnd"/>
      <w:r w:rsidRPr="000236D3">
        <w:rPr>
          <w:rFonts w:ascii="Arial" w:hAnsi="Arial" w:cs="Arial"/>
          <w:b/>
        </w:rPr>
        <w:t xml:space="preserve"> Summary of self-monitored blood glucose (</w:t>
      </w:r>
      <w:proofErr w:type="spellStart"/>
      <w:r w:rsidRPr="000236D3">
        <w:rPr>
          <w:rFonts w:ascii="Arial" w:hAnsi="Arial" w:cs="Arial"/>
          <w:b/>
        </w:rPr>
        <w:t>mmol</w:t>
      </w:r>
      <w:proofErr w:type="spellEnd"/>
      <w:r w:rsidRPr="000236D3">
        <w:rPr>
          <w:rFonts w:ascii="Arial" w:hAnsi="Arial" w:cs="Arial"/>
          <w:b/>
        </w:rPr>
        <w:t>/L) change from baseline up to Week 52</w:t>
      </w:r>
    </w:p>
    <w:tbl>
      <w:tblPr>
        <w:tblStyle w:val="TableGrid"/>
        <w:tblW w:w="13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1584"/>
        <w:gridCol w:w="1584"/>
        <w:gridCol w:w="1584"/>
        <w:gridCol w:w="1584"/>
        <w:gridCol w:w="1584"/>
        <w:gridCol w:w="1656"/>
      </w:tblGrid>
      <w:tr w:rsidR="000236D3" w:rsidRPr="000236D3" w:rsidTr="004D4A3D">
        <w:tc>
          <w:tcPr>
            <w:tcW w:w="3456" w:type="dxa"/>
            <w:tcBorders>
              <w:top w:val="single" w:sz="18" w:space="0" w:color="auto"/>
            </w:tcBorders>
          </w:tcPr>
          <w:p w:rsidR="000236D3" w:rsidRPr="000236D3" w:rsidRDefault="000236D3" w:rsidP="004D4A3D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3168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proofErr w:type="spellStart"/>
            <w:r w:rsidRPr="000236D3">
              <w:rPr>
                <w:rFonts w:ascii="Arial" w:hAnsi="Arial" w:cs="Arial"/>
                <w:b/>
                <w:sz w:val="18"/>
                <w:szCs w:val="18"/>
                <w:lang w:val="en-GB"/>
              </w:rPr>
              <w:t>Dulaglutide</w:t>
            </w:r>
            <w:proofErr w:type="spellEnd"/>
            <w:r w:rsidRPr="000236D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1.5 mg</w:t>
            </w:r>
          </w:p>
        </w:tc>
        <w:tc>
          <w:tcPr>
            <w:tcW w:w="3168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proofErr w:type="spellStart"/>
            <w:r w:rsidRPr="000236D3">
              <w:rPr>
                <w:rFonts w:ascii="Arial" w:hAnsi="Arial" w:cs="Arial"/>
                <w:b/>
                <w:sz w:val="18"/>
                <w:szCs w:val="18"/>
                <w:lang w:val="en-GB"/>
              </w:rPr>
              <w:t>Dulaglutide</w:t>
            </w:r>
            <w:proofErr w:type="spellEnd"/>
            <w:r w:rsidRPr="000236D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0.75 mg</w:t>
            </w:r>
          </w:p>
        </w:tc>
        <w:tc>
          <w:tcPr>
            <w:tcW w:w="3240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b/>
                <w:sz w:val="18"/>
                <w:szCs w:val="18"/>
                <w:lang w:val="en-GB"/>
              </w:rPr>
              <w:t>Glargine</w:t>
            </w:r>
          </w:p>
        </w:tc>
      </w:tr>
      <w:tr w:rsidR="000236D3" w:rsidRPr="000236D3" w:rsidTr="004D4A3D">
        <w:tc>
          <w:tcPr>
            <w:tcW w:w="3456" w:type="dxa"/>
            <w:tcBorders>
              <w:bottom w:val="single" w:sz="8" w:space="0" w:color="auto"/>
            </w:tcBorders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b/>
                <w:sz w:val="18"/>
                <w:szCs w:val="18"/>
                <w:lang w:val="en-GB"/>
              </w:rPr>
              <w:t>LSM</w:t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  <w:t xml:space="preserve"> Change from Baseline</w:t>
            </w:r>
          </w:p>
        </w:tc>
        <w:tc>
          <w:tcPr>
            <w:tcW w:w="15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Week </w:t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  <w:t>26</w:t>
            </w:r>
          </w:p>
        </w:tc>
        <w:tc>
          <w:tcPr>
            <w:tcW w:w="15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Week </w:t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  <w:t>52</w:t>
            </w:r>
          </w:p>
        </w:tc>
        <w:tc>
          <w:tcPr>
            <w:tcW w:w="15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Week </w:t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  <w:t>26</w:t>
            </w:r>
          </w:p>
        </w:tc>
        <w:tc>
          <w:tcPr>
            <w:tcW w:w="15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Week </w:t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  <w:t>52</w:t>
            </w:r>
          </w:p>
        </w:tc>
        <w:tc>
          <w:tcPr>
            <w:tcW w:w="15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Week </w:t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  <w:t>26</w:t>
            </w:r>
          </w:p>
        </w:tc>
        <w:tc>
          <w:tcPr>
            <w:tcW w:w="16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Week </w:t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  <w:t>52</w:t>
            </w:r>
          </w:p>
        </w:tc>
      </w:tr>
      <w:tr w:rsidR="000236D3" w:rsidRPr="000236D3" w:rsidTr="004D4A3D">
        <w:tc>
          <w:tcPr>
            <w:tcW w:w="3456" w:type="dxa"/>
            <w:tcBorders>
              <w:top w:val="single" w:sz="8" w:space="0" w:color="auto"/>
            </w:tcBorders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 xml:space="preserve">Morning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>premeal</w:t>
            </w:r>
            <w:proofErr w:type="spellEnd"/>
          </w:p>
        </w:tc>
        <w:tc>
          <w:tcPr>
            <w:tcW w:w="1584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-2.16</w:t>
            </w:r>
          </w:p>
        </w:tc>
        <w:tc>
          <w:tcPr>
            <w:tcW w:w="1584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-2.06</w:t>
            </w:r>
          </w:p>
        </w:tc>
        <w:tc>
          <w:tcPr>
            <w:tcW w:w="1584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-1.86</w:t>
            </w:r>
          </w:p>
        </w:tc>
        <w:tc>
          <w:tcPr>
            <w:tcW w:w="1584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eastAsiaTheme="minorEastAsia" w:hAnsi="Arial" w:cs="Arial"/>
                <w:vanish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-1.74</w:t>
            </w:r>
          </w:p>
        </w:tc>
        <w:tc>
          <w:tcPr>
            <w:tcW w:w="1584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-2.71**</w:t>
            </w:r>
          </w:p>
        </w:tc>
        <w:tc>
          <w:tcPr>
            <w:tcW w:w="1656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-2.65**</w:t>
            </w:r>
          </w:p>
        </w:tc>
      </w:tr>
      <w:tr w:rsidR="000236D3" w:rsidRPr="000236D3" w:rsidTr="004D4A3D">
        <w:tc>
          <w:tcPr>
            <w:tcW w:w="3456" w:type="dxa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>Morning 2-hr PP meal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-3.41*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-3.18*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-3.12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-2.86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-2.74</w:t>
            </w:r>
          </w:p>
        </w:tc>
        <w:tc>
          <w:tcPr>
            <w:tcW w:w="1656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-2.43</w:t>
            </w:r>
          </w:p>
        </w:tc>
      </w:tr>
      <w:tr w:rsidR="000236D3" w:rsidRPr="000236D3" w:rsidTr="004D4A3D">
        <w:tc>
          <w:tcPr>
            <w:tcW w:w="3456" w:type="dxa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 xml:space="preserve">Midday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>premeal</w:t>
            </w:r>
            <w:proofErr w:type="spellEnd"/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-2.55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-2.49*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-2.12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-1.97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-2.19</w:t>
            </w:r>
          </w:p>
        </w:tc>
        <w:tc>
          <w:tcPr>
            <w:tcW w:w="1656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-1.88</w:t>
            </w:r>
          </w:p>
        </w:tc>
      </w:tr>
      <w:tr w:rsidR="000236D3" w:rsidRPr="000236D3" w:rsidTr="004D4A3D">
        <w:tc>
          <w:tcPr>
            <w:tcW w:w="3456" w:type="dxa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>Midday 2-hr PP meal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-2.98*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-2.44*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-2.62*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-2.33*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-1.83</w:t>
            </w:r>
          </w:p>
        </w:tc>
        <w:tc>
          <w:tcPr>
            <w:tcW w:w="1656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-1.59</w:t>
            </w:r>
          </w:p>
        </w:tc>
      </w:tr>
      <w:tr w:rsidR="000236D3" w:rsidRPr="000236D3" w:rsidTr="004D4A3D">
        <w:tc>
          <w:tcPr>
            <w:tcW w:w="3456" w:type="dxa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 xml:space="preserve">Evening </w:t>
            </w:r>
            <w:proofErr w:type="spellStart"/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>premeal</w:t>
            </w:r>
            <w:proofErr w:type="spellEnd"/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-2.29*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-2.01*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-1.87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-1.74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-1.72</w:t>
            </w:r>
          </w:p>
        </w:tc>
        <w:tc>
          <w:tcPr>
            <w:tcW w:w="1656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-1.43</w:t>
            </w:r>
          </w:p>
        </w:tc>
      </w:tr>
      <w:tr w:rsidR="000236D3" w:rsidRPr="000236D3" w:rsidTr="004D4A3D">
        <w:tc>
          <w:tcPr>
            <w:tcW w:w="3456" w:type="dxa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>Evening 2-hr PP meal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-2.62*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-2.57*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-2.35*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-2.15*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-1.75</w:t>
            </w:r>
          </w:p>
        </w:tc>
        <w:tc>
          <w:tcPr>
            <w:tcW w:w="1656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-1.58</w:t>
            </w:r>
          </w:p>
        </w:tc>
      </w:tr>
      <w:tr w:rsidR="000236D3" w:rsidRPr="000236D3" w:rsidTr="004D4A3D">
        <w:tc>
          <w:tcPr>
            <w:tcW w:w="3456" w:type="dxa"/>
            <w:tcBorders>
              <w:bottom w:val="single" w:sz="8" w:space="0" w:color="auto"/>
            </w:tcBorders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>Bedtime</w:t>
            </w:r>
          </w:p>
        </w:tc>
        <w:tc>
          <w:tcPr>
            <w:tcW w:w="1584" w:type="dxa"/>
            <w:tcBorders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-2.79*</w:t>
            </w:r>
          </w:p>
        </w:tc>
        <w:tc>
          <w:tcPr>
            <w:tcW w:w="1584" w:type="dxa"/>
            <w:tcBorders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-2.74*</w:t>
            </w:r>
          </w:p>
        </w:tc>
        <w:tc>
          <w:tcPr>
            <w:tcW w:w="1584" w:type="dxa"/>
            <w:tcBorders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-2.48*</w:t>
            </w:r>
          </w:p>
        </w:tc>
        <w:tc>
          <w:tcPr>
            <w:tcW w:w="1584" w:type="dxa"/>
            <w:tcBorders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-2.28*</w:t>
            </w:r>
          </w:p>
        </w:tc>
        <w:tc>
          <w:tcPr>
            <w:tcW w:w="1584" w:type="dxa"/>
            <w:tcBorders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-1.98</w:t>
            </w:r>
          </w:p>
        </w:tc>
        <w:tc>
          <w:tcPr>
            <w:tcW w:w="1656" w:type="dxa"/>
            <w:tcBorders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-1.58</w:t>
            </w:r>
          </w:p>
        </w:tc>
      </w:tr>
      <w:tr w:rsidR="000236D3" w:rsidRPr="000236D3" w:rsidTr="004D4A3D">
        <w:tc>
          <w:tcPr>
            <w:tcW w:w="3456" w:type="dxa"/>
            <w:tcBorders>
              <w:top w:val="single" w:sz="8" w:space="0" w:color="auto"/>
              <w:bottom w:val="single" w:sz="8" w:space="0" w:color="auto"/>
            </w:tcBorders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 xml:space="preserve">Daily mean </w:t>
            </w:r>
          </w:p>
        </w:tc>
        <w:tc>
          <w:tcPr>
            <w:tcW w:w="15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</w:t>
            </w:r>
            <w:r w:rsidRPr="000236D3">
              <w:rPr>
                <w:rFonts w:ascii="Arial" w:eastAsiaTheme="minorEastAsia" w:hAnsi="Arial" w:cs="Arial"/>
                <w:sz w:val="18"/>
                <w:szCs w:val="18"/>
                <w:lang w:val="en-GB" w:eastAsia="zh-CN"/>
              </w:rPr>
              <w:t>68</w:t>
            </w: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*</w:t>
            </w:r>
          </w:p>
        </w:tc>
        <w:tc>
          <w:tcPr>
            <w:tcW w:w="15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-2.48*</w:t>
            </w:r>
          </w:p>
        </w:tc>
        <w:tc>
          <w:tcPr>
            <w:tcW w:w="15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eastAsiaTheme="minorEastAsia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</w:t>
            </w:r>
            <w:r w:rsidRPr="000236D3">
              <w:rPr>
                <w:rFonts w:ascii="Arial" w:eastAsiaTheme="minorEastAsia" w:hAnsi="Arial" w:cs="Arial"/>
                <w:sz w:val="18"/>
                <w:szCs w:val="18"/>
                <w:lang w:val="en-GB" w:eastAsia="zh-CN"/>
              </w:rPr>
              <w:t>34</w:t>
            </w:r>
          </w:p>
        </w:tc>
        <w:tc>
          <w:tcPr>
            <w:tcW w:w="15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-2.18</w:t>
            </w:r>
          </w:p>
        </w:tc>
        <w:tc>
          <w:tcPr>
            <w:tcW w:w="15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-2.16</w:t>
            </w:r>
          </w:p>
        </w:tc>
        <w:tc>
          <w:tcPr>
            <w:tcW w:w="16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-1.89</w:t>
            </w:r>
          </w:p>
        </w:tc>
      </w:tr>
      <w:tr w:rsidR="000236D3" w:rsidRPr="000236D3" w:rsidTr="004D4A3D">
        <w:tc>
          <w:tcPr>
            <w:tcW w:w="3456" w:type="dxa"/>
            <w:tcBorders>
              <w:top w:val="single" w:sz="8" w:space="0" w:color="auto"/>
            </w:tcBorders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>Morning 2-hr excursion</w:t>
            </w:r>
          </w:p>
        </w:tc>
        <w:tc>
          <w:tcPr>
            <w:tcW w:w="1584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-1.24*</w:t>
            </w:r>
          </w:p>
        </w:tc>
        <w:tc>
          <w:tcPr>
            <w:tcW w:w="1584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-1.09*</w:t>
            </w:r>
          </w:p>
        </w:tc>
        <w:tc>
          <w:tcPr>
            <w:tcW w:w="1584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-1.25*</w:t>
            </w:r>
          </w:p>
        </w:tc>
        <w:tc>
          <w:tcPr>
            <w:tcW w:w="1584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-1.12*</w:t>
            </w:r>
          </w:p>
        </w:tc>
        <w:tc>
          <w:tcPr>
            <w:tcW w:w="1584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0.01</w:t>
            </w:r>
          </w:p>
        </w:tc>
        <w:tc>
          <w:tcPr>
            <w:tcW w:w="1656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0.24</w:t>
            </w:r>
          </w:p>
        </w:tc>
      </w:tr>
      <w:tr w:rsidR="000236D3" w:rsidRPr="000236D3" w:rsidTr="004D4A3D">
        <w:tc>
          <w:tcPr>
            <w:tcW w:w="3456" w:type="dxa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>Midday 2-hr excursion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-0.40*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0.06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-0.47*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-0.35*</w:t>
            </w:r>
          </w:p>
        </w:tc>
        <w:tc>
          <w:tcPr>
            <w:tcW w:w="1584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0.38</w:t>
            </w:r>
          </w:p>
        </w:tc>
        <w:tc>
          <w:tcPr>
            <w:tcW w:w="1656" w:type="dxa"/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0.29</w:t>
            </w:r>
          </w:p>
        </w:tc>
      </w:tr>
      <w:tr w:rsidR="000236D3" w:rsidRPr="000236D3" w:rsidTr="004D4A3D">
        <w:tc>
          <w:tcPr>
            <w:tcW w:w="3456" w:type="dxa"/>
            <w:tcBorders>
              <w:bottom w:val="single" w:sz="18" w:space="0" w:color="auto"/>
            </w:tcBorders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/>
              </w:rPr>
              <w:t>Evening 2-hr excursion</w:t>
            </w:r>
          </w:p>
        </w:tc>
        <w:tc>
          <w:tcPr>
            <w:tcW w:w="1584" w:type="dxa"/>
            <w:tcBorders>
              <w:bottom w:val="single" w:sz="1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-0.27</w:t>
            </w:r>
          </w:p>
        </w:tc>
        <w:tc>
          <w:tcPr>
            <w:tcW w:w="1584" w:type="dxa"/>
            <w:tcBorders>
              <w:bottom w:val="single" w:sz="1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-0.54</w:t>
            </w:r>
          </w:p>
        </w:tc>
        <w:tc>
          <w:tcPr>
            <w:tcW w:w="1584" w:type="dxa"/>
            <w:tcBorders>
              <w:bottom w:val="single" w:sz="1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-0.46</w:t>
            </w:r>
          </w:p>
        </w:tc>
        <w:tc>
          <w:tcPr>
            <w:tcW w:w="1584" w:type="dxa"/>
            <w:tcBorders>
              <w:bottom w:val="single" w:sz="1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-0.44</w:t>
            </w:r>
          </w:p>
        </w:tc>
        <w:tc>
          <w:tcPr>
            <w:tcW w:w="1584" w:type="dxa"/>
            <w:tcBorders>
              <w:bottom w:val="single" w:sz="1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-0.03</w:t>
            </w:r>
          </w:p>
        </w:tc>
        <w:tc>
          <w:tcPr>
            <w:tcW w:w="1656" w:type="dxa"/>
            <w:tcBorders>
              <w:bottom w:val="single" w:sz="18" w:space="0" w:color="auto"/>
            </w:tcBorders>
            <w:vAlign w:val="center"/>
          </w:tcPr>
          <w:p w:rsidR="000236D3" w:rsidRPr="000236D3" w:rsidRDefault="000236D3" w:rsidP="004D4A3D">
            <w:pPr>
              <w:pStyle w:val="mdTblEntry"/>
              <w:keepLines w:val="0"/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GB" w:eastAsia="zh-CN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zh-CN"/>
              </w:rPr>
              <w:t>-0.10</w:t>
            </w:r>
          </w:p>
        </w:tc>
      </w:tr>
    </w:tbl>
    <w:p w:rsidR="000236D3" w:rsidRPr="000236D3" w:rsidRDefault="000236D3" w:rsidP="000236D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236D3">
        <w:rPr>
          <w:rFonts w:ascii="Arial" w:hAnsi="Arial" w:cs="Arial"/>
          <w:sz w:val="18"/>
          <w:szCs w:val="18"/>
        </w:rPr>
        <w:lastRenderedPageBreak/>
        <w:t>*</w:t>
      </w:r>
      <w:proofErr w:type="spellStart"/>
      <w:r w:rsidRPr="000236D3">
        <w:rPr>
          <w:rFonts w:ascii="Arial" w:hAnsi="Arial" w:cs="Arial"/>
          <w:sz w:val="18"/>
          <w:szCs w:val="18"/>
        </w:rPr>
        <w:t>Dulaglutide</w:t>
      </w:r>
      <w:proofErr w:type="spellEnd"/>
      <w:r w:rsidRPr="000236D3">
        <w:rPr>
          <w:rFonts w:ascii="Arial" w:hAnsi="Arial" w:cs="Arial"/>
          <w:sz w:val="18"/>
          <w:szCs w:val="18"/>
        </w:rPr>
        <w:t>, when compared with glargine, has a statistically greater reduction from baseline at the same time point (</w:t>
      </w:r>
      <w:r w:rsidRPr="000236D3">
        <w:rPr>
          <w:rFonts w:ascii="Arial" w:hAnsi="Arial" w:cs="Arial"/>
          <w:i/>
          <w:sz w:val="18"/>
          <w:szCs w:val="18"/>
        </w:rPr>
        <w:t xml:space="preserve">P </w:t>
      </w:r>
      <w:r w:rsidRPr="000236D3">
        <w:rPr>
          <w:rFonts w:ascii="Arial" w:hAnsi="Arial" w:cs="Arial"/>
          <w:sz w:val="18"/>
          <w:szCs w:val="18"/>
        </w:rPr>
        <w:t>&lt;.05).</w:t>
      </w:r>
    </w:p>
    <w:p w:rsidR="000236D3" w:rsidRPr="000236D3" w:rsidRDefault="000236D3" w:rsidP="000236D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236D3">
        <w:rPr>
          <w:rFonts w:ascii="Arial" w:hAnsi="Arial" w:cs="Arial"/>
          <w:sz w:val="18"/>
          <w:szCs w:val="18"/>
        </w:rPr>
        <w:t xml:space="preserve">**Glargine, when compared with </w:t>
      </w:r>
      <w:proofErr w:type="spellStart"/>
      <w:r w:rsidRPr="000236D3">
        <w:rPr>
          <w:rFonts w:ascii="Arial" w:hAnsi="Arial" w:cs="Arial"/>
          <w:sz w:val="18"/>
          <w:szCs w:val="18"/>
        </w:rPr>
        <w:t>dulaglutide</w:t>
      </w:r>
      <w:proofErr w:type="spellEnd"/>
      <w:r w:rsidRPr="000236D3">
        <w:rPr>
          <w:rFonts w:ascii="Arial" w:hAnsi="Arial" w:cs="Arial"/>
          <w:sz w:val="18"/>
          <w:szCs w:val="18"/>
        </w:rPr>
        <w:t>, has a statistically greater reduction from baseline at the same time point (</w:t>
      </w:r>
      <w:r w:rsidRPr="000236D3">
        <w:rPr>
          <w:rFonts w:ascii="Arial" w:hAnsi="Arial" w:cs="Arial"/>
          <w:i/>
          <w:sz w:val="18"/>
          <w:szCs w:val="18"/>
        </w:rPr>
        <w:t>P</w:t>
      </w:r>
      <w:r w:rsidRPr="000236D3">
        <w:rPr>
          <w:rFonts w:ascii="Arial" w:hAnsi="Arial" w:cs="Arial"/>
          <w:sz w:val="18"/>
          <w:szCs w:val="18"/>
        </w:rPr>
        <w:t xml:space="preserve"> &lt;.05).</w:t>
      </w:r>
    </w:p>
    <w:p w:rsidR="000236D3" w:rsidRPr="000236D3" w:rsidRDefault="000236D3" w:rsidP="000236D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236D3">
        <w:rPr>
          <w:rFonts w:ascii="Arial" w:hAnsi="Arial" w:cs="Arial"/>
          <w:sz w:val="18"/>
          <w:szCs w:val="18"/>
        </w:rPr>
        <w:t>Abbreviations: hr, hour; LSM, least squares mean; PP, postprandial.</w:t>
      </w:r>
    </w:p>
    <w:p w:rsidR="000236D3" w:rsidRPr="000236D3" w:rsidRDefault="000236D3" w:rsidP="000236D3">
      <w:pPr>
        <w:rPr>
          <w:rFonts w:ascii="Arial" w:hAnsi="Arial" w:cs="Arial"/>
          <w:b/>
        </w:rPr>
      </w:pPr>
    </w:p>
    <w:p w:rsidR="000236D3" w:rsidRPr="000236D3" w:rsidRDefault="000236D3" w:rsidP="000236D3">
      <w:pPr>
        <w:outlineLvl w:val="0"/>
        <w:rPr>
          <w:rFonts w:ascii="Arial" w:hAnsi="Arial" w:cs="Arial"/>
          <w:b/>
        </w:rPr>
        <w:sectPr w:rsidR="000236D3" w:rsidRPr="000236D3" w:rsidSect="000236D3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0236D3" w:rsidRPr="000236D3" w:rsidRDefault="000236D3" w:rsidP="000236D3">
      <w:pPr>
        <w:outlineLvl w:val="1"/>
        <w:rPr>
          <w:rFonts w:ascii="Arial" w:hAnsi="Arial" w:cs="Arial"/>
          <w:b/>
        </w:rPr>
      </w:pPr>
      <w:proofErr w:type="gramStart"/>
      <w:r w:rsidRPr="000236D3">
        <w:rPr>
          <w:rFonts w:ascii="Arial" w:hAnsi="Arial" w:cs="Arial"/>
          <w:b/>
        </w:rPr>
        <w:lastRenderedPageBreak/>
        <w:t>Supplem</w:t>
      </w:r>
      <w:r w:rsidRPr="000236D3">
        <w:rPr>
          <w:rFonts w:ascii="Arial" w:hAnsi="Arial" w:cs="Arial"/>
          <w:b/>
        </w:rPr>
        <w:t>entary</w:t>
      </w:r>
      <w:r w:rsidRPr="000236D3">
        <w:rPr>
          <w:rFonts w:ascii="Arial" w:hAnsi="Arial" w:cs="Arial"/>
          <w:b/>
        </w:rPr>
        <w:t xml:space="preserve"> Table 4.</w:t>
      </w:r>
      <w:proofErr w:type="gramEnd"/>
      <w:r w:rsidRPr="000236D3">
        <w:rPr>
          <w:rFonts w:ascii="Arial" w:hAnsi="Arial" w:cs="Arial"/>
          <w:b/>
        </w:rPr>
        <w:t xml:space="preserve"> Summary of HOMA2 beta cell function and insulin sensitivity</w:t>
      </w:r>
    </w:p>
    <w:tbl>
      <w:tblPr>
        <w:tblStyle w:val="TableGrid"/>
        <w:tblW w:w="13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1882"/>
        <w:gridCol w:w="1628"/>
        <w:gridCol w:w="1800"/>
        <w:gridCol w:w="1350"/>
        <w:gridCol w:w="1883"/>
        <w:gridCol w:w="1357"/>
      </w:tblGrid>
      <w:tr w:rsidR="000236D3" w:rsidRPr="000236D3" w:rsidTr="004D4A3D">
        <w:tc>
          <w:tcPr>
            <w:tcW w:w="3168" w:type="dxa"/>
            <w:tcBorders>
              <w:top w:val="single" w:sz="18" w:space="0" w:color="auto"/>
            </w:tcBorders>
          </w:tcPr>
          <w:p w:rsidR="000236D3" w:rsidRPr="000236D3" w:rsidRDefault="000236D3" w:rsidP="004D4A3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bookmarkStart w:id="0" w:name="_GoBack" w:colFirst="0" w:colLast="0"/>
          </w:p>
        </w:tc>
        <w:tc>
          <w:tcPr>
            <w:tcW w:w="1882" w:type="dxa"/>
            <w:tcBorders>
              <w:top w:val="single" w:sz="18" w:space="0" w:color="auto"/>
            </w:tcBorders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018" w:type="dxa"/>
            <w:gridSpan w:val="5"/>
            <w:tcBorders>
              <w:top w:val="single" w:sz="18" w:space="0" w:color="auto"/>
              <w:bottom w:val="single" w:sz="8" w:space="0" w:color="auto"/>
            </w:tcBorders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b/>
                <w:sz w:val="18"/>
                <w:szCs w:val="18"/>
                <w:lang w:val="en-GB"/>
              </w:rPr>
              <w:t>Change from Baseline</w:t>
            </w:r>
          </w:p>
        </w:tc>
      </w:tr>
      <w:tr w:rsidR="000236D3" w:rsidRPr="000236D3" w:rsidTr="004D4A3D">
        <w:tc>
          <w:tcPr>
            <w:tcW w:w="3168" w:type="dxa"/>
            <w:tcBorders>
              <w:bottom w:val="single" w:sz="8" w:space="0" w:color="auto"/>
            </w:tcBorders>
          </w:tcPr>
          <w:p w:rsidR="000236D3" w:rsidRPr="000236D3" w:rsidRDefault="000236D3" w:rsidP="004D4A3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bottom w:val="single" w:sz="8" w:space="0" w:color="auto"/>
            </w:tcBorders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2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  <w:t>Baseline, Mean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  <w:t xml:space="preserve">Week </w:t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  <w:t>26,</w:t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  <w:br/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  <w:t>LSM (SE)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b/>
                <w:i/>
                <w:sz w:val="18"/>
                <w:szCs w:val="18"/>
                <w:lang w:val="en-GB" w:eastAsia="ja-JP"/>
              </w:rPr>
              <w:t>P</w:t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  <w:t>-value</w:t>
            </w:r>
          </w:p>
        </w:tc>
        <w:tc>
          <w:tcPr>
            <w:tcW w:w="188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  <w:t xml:space="preserve">Week </w:t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  <w:t>52,</w:t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zh-CN"/>
              </w:rPr>
              <w:br/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  <w:t>LSM (SE)</w:t>
            </w:r>
          </w:p>
        </w:tc>
        <w:tc>
          <w:tcPr>
            <w:tcW w:w="135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b/>
                <w:i/>
                <w:sz w:val="18"/>
                <w:szCs w:val="18"/>
                <w:lang w:val="en-GB" w:eastAsia="ja-JP"/>
              </w:rPr>
              <w:t>P</w:t>
            </w:r>
            <w:r w:rsidRPr="000236D3"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  <w:t>-value</w:t>
            </w:r>
          </w:p>
        </w:tc>
      </w:tr>
      <w:tr w:rsidR="000236D3" w:rsidRPr="000236D3" w:rsidTr="004D4A3D">
        <w:tc>
          <w:tcPr>
            <w:tcW w:w="3168" w:type="dxa"/>
            <w:vMerge w:val="restart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Insulin-based HOMA2-%B</w:t>
            </w:r>
          </w:p>
        </w:tc>
        <w:tc>
          <w:tcPr>
            <w:tcW w:w="1882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DU 1.5 mg</w:t>
            </w:r>
          </w:p>
        </w:tc>
        <w:tc>
          <w:tcPr>
            <w:tcW w:w="1628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42.34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26.16 (2.813)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.956</w:t>
            </w:r>
          </w:p>
        </w:tc>
        <w:tc>
          <w:tcPr>
            <w:tcW w:w="1883" w:type="dxa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27.49 (2.504)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</w:tcBorders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.049</w:t>
            </w:r>
          </w:p>
        </w:tc>
      </w:tr>
      <w:tr w:rsidR="000236D3" w:rsidRPr="000236D3" w:rsidTr="004D4A3D">
        <w:tc>
          <w:tcPr>
            <w:tcW w:w="3168" w:type="dxa"/>
            <w:vMerge/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DU 0.75 mg</w:t>
            </w:r>
          </w:p>
        </w:tc>
        <w:tc>
          <w:tcPr>
            <w:tcW w:w="1628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41.21</w:t>
            </w:r>
          </w:p>
        </w:tc>
        <w:tc>
          <w:tcPr>
            <w:tcW w:w="1800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25.96 (2.831)</w:t>
            </w:r>
          </w:p>
        </w:tc>
        <w:tc>
          <w:tcPr>
            <w:tcW w:w="1350" w:type="dxa"/>
            <w:vMerge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83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21.03 (2.520)</w:t>
            </w:r>
          </w:p>
        </w:tc>
        <w:tc>
          <w:tcPr>
            <w:tcW w:w="1357" w:type="dxa"/>
            <w:vMerge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0236D3" w:rsidRPr="000236D3" w:rsidTr="004D4A3D">
        <w:tc>
          <w:tcPr>
            <w:tcW w:w="3168" w:type="dxa"/>
            <w:vMerge w:val="restart"/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C-peptide–based HOMA2-%B</w:t>
            </w:r>
          </w:p>
        </w:tc>
        <w:tc>
          <w:tcPr>
            <w:tcW w:w="1882" w:type="dxa"/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DU 1.5 mg</w:t>
            </w:r>
          </w:p>
        </w:tc>
        <w:tc>
          <w:tcPr>
            <w:tcW w:w="1628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36.85</w:t>
            </w:r>
          </w:p>
        </w:tc>
        <w:tc>
          <w:tcPr>
            <w:tcW w:w="1800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31.69 (2.206)</w:t>
            </w:r>
          </w:p>
        </w:tc>
        <w:tc>
          <w:tcPr>
            <w:tcW w:w="1350" w:type="dxa"/>
            <w:vMerge w:val="restart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.231</w:t>
            </w:r>
          </w:p>
        </w:tc>
        <w:tc>
          <w:tcPr>
            <w:tcW w:w="1883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27.31 (1.993)</w:t>
            </w:r>
          </w:p>
        </w:tc>
        <w:tc>
          <w:tcPr>
            <w:tcW w:w="1357" w:type="dxa"/>
            <w:vMerge w:val="restart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.059</w:t>
            </w:r>
          </w:p>
        </w:tc>
      </w:tr>
      <w:tr w:rsidR="000236D3" w:rsidRPr="000236D3" w:rsidTr="004D4A3D">
        <w:tc>
          <w:tcPr>
            <w:tcW w:w="3168" w:type="dxa"/>
            <w:vMerge/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DU 0.75 mg</w:t>
            </w:r>
          </w:p>
        </w:tc>
        <w:tc>
          <w:tcPr>
            <w:tcW w:w="1628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36.76</w:t>
            </w:r>
          </w:p>
        </w:tc>
        <w:tc>
          <w:tcPr>
            <w:tcW w:w="1800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28.23 (2.220)</w:t>
            </w:r>
          </w:p>
        </w:tc>
        <w:tc>
          <w:tcPr>
            <w:tcW w:w="1350" w:type="dxa"/>
            <w:vMerge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83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22.36 (2.006)</w:t>
            </w:r>
          </w:p>
        </w:tc>
        <w:tc>
          <w:tcPr>
            <w:tcW w:w="1357" w:type="dxa"/>
            <w:vMerge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0236D3" w:rsidRPr="000236D3" w:rsidTr="004D4A3D">
        <w:tc>
          <w:tcPr>
            <w:tcW w:w="3168" w:type="dxa"/>
            <w:vMerge w:val="restart"/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Insulin-based HOMA2-%S</w:t>
            </w:r>
          </w:p>
        </w:tc>
        <w:tc>
          <w:tcPr>
            <w:tcW w:w="1882" w:type="dxa"/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DU 1.5 mg</w:t>
            </w:r>
          </w:p>
        </w:tc>
        <w:tc>
          <w:tcPr>
            <w:tcW w:w="1628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79.77</w:t>
            </w:r>
          </w:p>
        </w:tc>
        <w:tc>
          <w:tcPr>
            <w:tcW w:w="1800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-0.67 (2.919)</w:t>
            </w:r>
          </w:p>
        </w:tc>
        <w:tc>
          <w:tcPr>
            <w:tcW w:w="1350" w:type="dxa"/>
            <w:vMerge w:val="restart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.201</w:t>
            </w:r>
          </w:p>
        </w:tc>
        <w:tc>
          <w:tcPr>
            <w:tcW w:w="1883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-4.40 (2.829)</w:t>
            </w:r>
          </w:p>
        </w:tc>
        <w:tc>
          <w:tcPr>
            <w:tcW w:w="1357" w:type="dxa"/>
            <w:vMerge w:val="restart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.350</w:t>
            </w:r>
          </w:p>
        </w:tc>
      </w:tr>
      <w:tr w:rsidR="000236D3" w:rsidRPr="000236D3" w:rsidTr="004D4A3D">
        <w:tc>
          <w:tcPr>
            <w:tcW w:w="3168" w:type="dxa"/>
            <w:vMerge/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DU 0.75 mg</w:t>
            </w:r>
          </w:p>
        </w:tc>
        <w:tc>
          <w:tcPr>
            <w:tcW w:w="1628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76.94</w:t>
            </w:r>
          </w:p>
        </w:tc>
        <w:tc>
          <w:tcPr>
            <w:tcW w:w="1800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-5.56 (2.935)</w:t>
            </w:r>
          </w:p>
        </w:tc>
        <w:tc>
          <w:tcPr>
            <w:tcW w:w="1350" w:type="dxa"/>
            <w:vMerge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83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-7.87 (2.844)</w:t>
            </w:r>
          </w:p>
        </w:tc>
        <w:tc>
          <w:tcPr>
            <w:tcW w:w="1357" w:type="dxa"/>
            <w:vMerge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0236D3" w:rsidRPr="000236D3" w:rsidTr="004D4A3D">
        <w:tc>
          <w:tcPr>
            <w:tcW w:w="3168" w:type="dxa"/>
            <w:vMerge w:val="restart"/>
            <w:tcBorders>
              <w:bottom w:val="single" w:sz="18" w:space="0" w:color="auto"/>
            </w:tcBorders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C-peptide–based HOMA2-%S</w:t>
            </w:r>
          </w:p>
        </w:tc>
        <w:tc>
          <w:tcPr>
            <w:tcW w:w="1882" w:type="dxa"/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DU 1.5 mg</w:t>
            </w:r>
          </w:p>
        </w:tc>
        <w:tc>
          <w:tcPr>
            <w:tcW w:w="1628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86.77</w:t>
            </w:r>
          </w:p>
        </w:tc>
        <w:tc>
          <w:tcPr>
            <w:tcW w:w="1800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-14.36 (1.995)</w:t>
            </w:r>
          </w:p>
        </w:tc>
        <w:tc>
          <w:tcPr>
            <w:tcW w:w="1350" w:type="dxa"/>
            <w:vMerge w:val="restart"/>
            <w:tcBorders>
              <w:bottom w:val="single" w:sz="18" w:space="0" w:color="auto"/>
            </w:tcBorders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.651</w:t>
            </w:r>
          </w:p>
        </w:tc>
        <w:tc>
          <w:tcPr>
            <w:tcW w:w="1883" w:type="dxa"/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-11.50 (2.298)</w:t>
            </w:r>
          </w:p>
        </w:tc>
        <w:tc>
          <w:tcPr>
            <w:tcW w:w="1357" w:type="dxa"/>
            <w:vMerge w:val="restart"/>
            <w:tcBorders>
              <w:bottom w:val="single" w:sz="4" w:space="0" w:color="auto"/>
            </w:tcBorders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.405</w:t>
            </w:r>
          </w:p>
        </w:tc>
      </w:tr>
      <w:tr w:rsidR="000236D3" w:rsidRPr="000236D3" w:rsidTr="004D4A3D">
        <w:tc>
          <w:tcPr>
            <w:tcW w:w="3168" w:type="dxa"/>
            <w:vMerge/>
            <w:tcBorders>
              <w:top w:val="single" w:sz="4" w:space="0" w:color="auto"/>
              <w:bottom w:val="single" w:sz="18" w:space="0" w:color="auto"/>
            </w:tcBorders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bottom w:val="single" w:sz="18" w:space="0" w:color="auto"/>
            </w:tcBorders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DU 0.75 mg</w:t>
            </w:r>
          </w:p>
        </w:tc>
        <w:tc>
          <w:tcPr>
            <w:tcW w:w="1628" w:type="dxa"/>
            <w:tcBorders>
              <w:bottom w:val="single" w:sz="18" w:space="0" w:color="auto"/>
            </w:tcBorders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80.42</w:t>
            </w:r>
          </w:p>
        </w:tc>
        <w:tc>
          <w:tcPr>
            <w:tcW w:w="1800" w:type="dxa"/>
            <w:tcBorders>
              <w:bottom w:val="single" w:sz="18" w:space="0" w:color="auto"/>
            </w:tcBorders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-15.54 (2.008)</w:t>
            </w: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236D3" w:rsidRPr="000236D3" w:rsidRDefault="000236D3" w:rsidP="004D4A3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83" w:type="dxa"/>
            <w:tcBorders>
              <w:bottom w:val="single" w:sz="18" w:space="0" w:color="auto"/>
            </w:tcBorders>
            <w:vAlign w:val="center"/>
          </w:tcPr>
          <w:p w:rsidR="000236D3" w:rsidRPr="000236D3" w:rsidRDefault="000236D3" w:rsidP="004D4A3D">
            <w:pPr>
              <w:jc w:val="center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0236D3">
              <w:rPr>
                <w:rFonts w:ascii="Arial" w:hAnsi="Arial" w:cs="Arial"/>
                <w:sz w:val="18"/>
                <w:szCs w:val="18"/>
                <w:lang w:val="en-GB" w:eastAsia="ja-JP"/>
              </w:rPr>
              <w:t>-14.01 (2.314)</w:t>
            </w:r>
          </w:p>
        </w:tc>
        <w:tc>
          <w:tcPr>
            <w:tcW w:w="1357" w:type="dxa"/>
            <w:vMerge/>
            <w:tcBorders>
              <w:top w:val="single" w:sz="4" w:space="0" w:color="auto"/>
              <w:bottom w:val="single" w:sz="18" w:space="0" w:color="auto"/>
            </w:tcBorders>
          </w:tcPr>
          <w:p w:rsidR="000236D3" w:rsidRPr="000236D3" w:rsidRDefault="000236D3" w:rsidP="004D4A3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</w:tbl>
    <w:bookmarkEnd w:id="0"/>
    <w:p w:rsidR="000236D3" w:rsidRPr="000236D3" w:rsidRDefault="000236D3" w:rsidP="000236D3">
      <w:pPr>
        <w:pStyle w:val="TblFootnote"/>
        <w:keepNext w:val="0"/>
        <w:keepLines w:val="0"/>
        <w:widowControl w:val="0"/>
        <w:tabs>
          <w:tab w:val="clear" w:pos="259"/>
          <w:tab w:val="left" w:pos="0"/>
        </w:tabs>
        <w:ind w:left="0" w:firstLine="0"/>
        <w:rPr>
          <w:rFonts w:ascii="Arial" w:hAnsi="Arial" w:cs="Arial"/>
          <w:b/>
          <w:sz w:val="18"/>
          <w:szCs w:val="18"/>
          <w:lang w:val="en-GB"/>
        </w:rPr>
      </w:pPr>
      <w:r w:rsidRPr="000236D3">
        <w:rPr>
          <w:rFonts w:ascii="Arial" w:hAnsi="Arial" w:cs="Arial"/>
          <w:sz w:val="18"/>
          <w:szCs w:val="18"/>
          <w:lang w:val="en-GB" w:eastAsia="ja-JP"/>
        </w:rPr>
        <w:t xml:space="preserve">Abbreviations: DU, </w:t>
      </w:r>
      <w:proofErr w:type="spellStart"/>
      <w:r w:rsidRPr="000236D3">
        <w:rPr>
          <w:rFonts w:ascii="Arial" w:hAnsi="Arial" w:cs="Arial"/>
          <w:sz w:val="18"/>
          <w:szCs w:val="18"/>
          <w:lang w:val="en-GB" w:eastAsia="ja-JP"/>
        </w:rPr>
        <w:t>dulaglutide</w:t>
      </w:r>
      <w:proofErr w:type="spellEnd"/>
      <w:r w:rsidRPr="000236D3">
        <w:rPr>
          <w:rFonts w:ascii="Arial" w:hAnsi="Arial" w:cs="Arial"/>
          <w:sz w:val="18"/>
          <w:szCs w:val="18"/>
          <w:lang w:val="en-GB" w:eastAsia="ja-JP"/>
        </w:rPr>
        <w:t>; HOMA2-%B, updated Homeostasis Model Assessment of beta cell function; HOMA2-%S, updated Homeostasis Model Assessment of insulin sensitivity; LSM, least squares mean; SE, standard error.</w:t>
      </w:r>
    </w:p>
    <w:p w:rsidR="000236D3" w:rsidRPr="000236D3" w:rsidRDefault="000236D3" w:rsidP="000236D3">
      <w:pPr>
        <w:rPr>
          <w:rFonts w:ascii="Arial" w:hAnsi="Arial" w:cs="Arial"/>
          <w:b/>
        </w:rPr>
        <w:sectPr w:rsidR="000236D3" w:rsidRPr="000236D3" w:rsidSect="000236D3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0236D3" w:rsidRPr="000236D3" w:rsidRDefault="000236D3" w:rsidP="000236D3">
      <w:pPr>
        <w:rPr>
          <w:rFonts w:ascii="Arial" w:hAnsi="Arial" w:cs="Arial"/>
          <w:b/>
        </w:rPr>
      </w:pPr>
    </w:p>
    <w:p w:rsidR="000236D3" w:rsidRPr="000236D3" w:rsidRDefault="000236D3" w:rsidP="000236D3">
      <w:pPr>
        <w:rPr>
          <w:rFonts w:ascii="Arial" w:hAnsi="Arial" w:cs="Arial"/>
          <w:b/>
        </w:rPr>
      </w:pPr>
      <w:r w:rsidRPr="000236D3">
        <w:rPr>
          <w:rFonts w:ascii="Arial" w:hAnsi="Arial" w:cs="Arial"/>
          <w:b/>
        </w:rPr>
        <w:fldChar w:fldCharType="begin"/>
      </w:r>
      <w:r w:rsidRPr="000236D3">
        <w:rPr>
          <w:rFonts w:ascii="Arial" w:hAnsi="Arial" w:cs="Arial"/>
          <w:b/>
        </w:rPr>
        <w:instrText xml:space="preserve"> ADDIN REFMGR.REFLIST </w:instrText>
      </w:r>
      <w:r w:rsidRPr="000236D3">
        <w:rPr>
          <w:rFonts w:ascii="Arial" w:hAnsi="Arial" w:cs="Arial"/>
          <w:b/>
        </w:rPr>
        <w:fldChar w:fldCharType="end"/>
      </w:r>
    </w:p>
    <w:p w:rsidR="000236D3" w:rsidRPr="000236D3" w:rsidRDefault="000236D3">
      <w:pPr>
        <w:rPr>
          <w:rFonts w:ascii="Arial" w:hAnsi="Arial" w:cs="Arial"/>
          <w:b/>
        </w:rPr>
      </w:pPr>
    </w:p>
    <w:p w:rsidR="000236D3" w:rsidRPr="000236D3" w:rsidRDefault="000236D3">
      <w:pPr>
        <w:rPr>
          <w:rFonts w:ascii="Arial" w:hAnsi="Arial" w:cs="Arial"/>
          <w:b/>
        </w:rPr>
      </w:pPr>
    </w:p>
    <w:p w:rsidR="000236D3" w:rsidRPr="000236D3" w:rsidRDefault="000236D3">
      <w:pPr>
        <w:rPr>
          <w:rFonts w:ascii="Arial" w:hAnsi="Arial" w:cs="Arial"/>
          <w:b/>
        </w:rPr>
      </w:pPr>
    </w:p>
    <w:p w:rsidR="000236D3" w:rsidRPr="000236D3" w:rsidRDefault="000236D3">
      <w:pPr>
        <w:rPr>
          <w:rFonts w:ascii="Arial" w:hAnsi="Arial" w:cs="Arial"/>
          <w:b/>
        </w:rPr>
      </w:pPr>
    </w:p>
    <w:p w:rsidR="000236D3" w:rsidRPr="000236D3" w:rsidRDefault="000236D3">
      <w:pPr>
        <w:rPr>
          <w:rFonts w:ascii="Arial" w:hAnsi="Arial" w:cs="Arial"/>
          <w:b/>
        </w:rPr>
      </w:pPr>
    </w:p>
    <w:p w:rsidR="000236D3" w:rsidRPr="000236D3" w:rsidRDefault="000236D3">
      <w:r w:rsidRPr="000236D3">
        <w:rPr>
          <w:noProof/>
          <w:lang w:eastAsia="en-GB"/>
        </w:rPr>
        <w:drawing>
          <wp:inline distT="0" distB="0" distL="0" distR="0" wp14:anchorId="19709C44" wp14:editId="1027A47D">
            <wp:extent cx="5947410" cy="3657600"/>
            <wp:effectExtent l="0" t="0" r="0" b="0"/>
            <wp:docPr id="1" name="Picture 1" descr="S:\Shares_05\Operations\Springer Healthcare Rapid Publication Journals\Diabetes Therapy\Tech Edit\DIAT-19-110 Hou\Revised Submission\Supplementary Figure_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Shares_05\Operations\Springer Healthcare Rapid Publication Journals\Diabetes Therapy\Tech Edit\DIAT-19-110 Hou\Revised Submission\Supplementary Figure_1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6D3" w:rsidRDefault="000236D3" w:rsidP="000236D3">
      <w:pPr>
        <w:spacing w:after="0" w:line="480" w:lineRule="auto"/>
        <w:outlineLvl w:val="1"/>
        <w:rPr>
          <w:rFonts w:ascii="Arial" w:hAnsi="Arial" w:cs="Arial"/>
        </w:rPr>
      </w:pPr>
      <w:proofErr w:type="gramStart"/>
      <w:r w:rsidRPr="000236D3">
        <w:rPr>
          <w:rFonts w:ascii="Arial" w:hAnsi="Arial" w:cs="Arial"/>
          <w:b/>
        </w:rPr>
        <w:t>Supplementary Figure 1.</w:t>
      </w:r>
      <w:proofErr w:type="gramEnd"/>
      <w:r w:rsidRPr="000236D3">
        <w:rPr>
          <w:rFonts w:ascii="Arial" w:hAnsi="Arial" w:cs="Arial"/>
          <w:b/>
        </w:rPr>
        <w:t xml:space="preserve"> </w:t>
      </w:r>
      <w:r w:rsidRPr="000236D3">
        <w:rPr>
          <w:rFonts w:ascii="Arial" w:hAnsi="Arial" w:cs="Arial"/>
        </w:rPr>
        <w:t>Mean insulin glargine dose.</w:t>
      </w:r>
    </w:p>
    <w:p w:rsidR="000236D3" w:rsidRDefault="000236D3" w:rsidP="000236D3">
      <w:pPr>
        <w:spacing w:after="0" w:line="480" w:lineRule="auto"/>
        <w:outlineLvl w:val="1"/>
        <w:rPr>
          <w:rFonts w:ascii="Arial" w:hAnsi="Arial" w:cs="Arial"/>
        </w:rPr>
      </w:pPr>
    </w:p>
    <w:p w:rsidR="000236D3" w:rsidRDefault="000236D3" w:rsidP="000236D3">
      <w:pPr>
        <w:spacing w:after="0" w:line="480" w:lineRule="auto"/>
        <w:outlineLvl w:val="1"/>
        <w:rPr>
          <w:rFonts w:ascii="Arial" w:hAnsi="Arial" w:cs="Arial"/>
        </w:rPr>
      </w:pPr>
    </w:p>
    <w:p w:rsidR="000236D3" w:rsidRPr="00125FF5" w:rsidRDefault="000236D3" w:rsidP="000236D3">
      <w:pPr>
        <w:spacing w:after="0" w:line="480" w:lineRule="auto"/>
        <w:outlineLvl w:val="1"/>
        <w:rPr>
          <w:rFonts w:ascii="Arial" w:hAnsi="Arial" w:cs="Arial"/>
          <w:b/>
        </w:rPr>
        <w:sectPr w:rsidR="000236D3" w:rsidRPr="00125FF5" w:rsidSect="000236D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236D3" w:rsidRPr="000236D3" w:rsidRDefault="000236D3" w:rsidP="000236D3"/>
    <w:sectPr w:rsidR="000236D3" w:rsidRPr="000236D3" w:rsidSect="000236D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D3"/>
    <w:rsid w:val="000236D3"/>
    <w:rsid w:val="004A36F1"/>
    <w:rsid w:val="0066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6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6D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TblEntry">
    <w:name w:val="md_Tbl Entry"/>
    <w:basedOn w:val="Normal"/>
    <w:link w:val="mdTblEntryChar"/>
    <w:rsid w:val="000236D3"/>
    <w:pPr>
      <w:keepLines/>
      <w:spacing w:after="0" w:line="259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mdTblEntryChar">
    <w:name w:val="md_Tbl Entry Char"/>
    <w:basedOn w:val="DefaultParagraphFont"/>
    <w:link w:val="mdTblEntry"/>
    <w:locked/>
    <w:rsid w:val="000236D3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blFootnote">
    <w:name w:val="Tbl Footnote"/>
    <w:basedOn w:val="Normal"/>
    <w:next w:val="Normal"/>
    <w:link w:val="TblFootnoteChar"/>
    <w:qFormat/>
    <w:rsid w:val="000236D3"/>
    <w:pPr>
      <w:keepNext/>
      <w:keepLines/>
      <w:tabs>
        <w:tab w:val="left" w:pos="259"/>
      </w:tabs>
      <w:spacing w:after="0" w:line="259" w:lineRule="atLeast"/>
      <w:ind w:left="259" w:hanging="259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customStyle="1" w:styleId="TblFootnoteChar">
    <w:name w:val="Tbl Footnote Char"/>
    <w:basedOn w:val="DefaultParagraphFont"/>
    <w:link w:val="TblFootnote"/>
    <w:locked/>
    <w:rsid w:val="000236D3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0236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6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6D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TblEntry">
    <w:name w:val="md_Tbl Entry"/>
    <w:basedOn w:val="Normal"/>
    <w:link w:val="mdTblEntryChar"/>
    <w:rsid w:val="000236D3"/>
    <w:pPr>
      <w:keepLines/>
      <w:spacing w:after="0" w:line="259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mdTblEntryChar">
    <w:name w:val="md_Tbl Entry Char"/>
    <w:basedOn w:val="DefaultParagraphFont"/>
    <w:link w:val="mdTblEntry"/>
    <w:locked/>
    <w:rsid w:val="000236D3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blFootnote">
    <w:name w:val="Tbl Footnote"/>
    <w:basedOn w:val="Normal"/>
    <w:next w:val="Normal"/>
    <w:link w:val="TblFootnoteChar"/>
    <w:qFormat/>
    <w:rsid w:val="000236D3"/>
    <w:pPr>
      <w:keepNext/>
      <w:keepLines/>
      <w:tabs>
        <w:tab w:val="left" w:pos="259"/>
      </w:tabs>
      <w:spacing w:after="0" w:line="259" w:lineRule="atLeast"/>
      <w:ind w:left="259" w:hanging="259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customStyle="1" w:styleId="TblFootnoteChar">
    <w:name w:val="Tbl Footnote Char"/>
    <w:basedOn w:val="DefaultParagraphFont"/>
    <w:link w:val="TblFootnote"/>
    <w:locked/>
    <w:rsid w:val="000236D3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023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CED6E-AC9A-484B-A3D1-26927941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Gyedu</dc:creator>
  <cp:lastModifiedBy> Michael Gyedu</cp:lastModifiedBy>
  <cp:revision>1</cp:revision>
  <dcterms:created xsi:type="dcterms:W3CDTF">2019-06-03T11:50:00Z</dcterms:created>
  <dcterms:modified xsi:type="dcterms:W3CDTF">2019-06-03T13:20:00Z</dcterms:modified>
</cp:coreProperties>
</file>