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yle2"/>
        <w:tblpPr w:leftFromText="180" w:rightFromText="180" w:vertAnchor="page" w:horzAnchor="margin" w:tblpY="2921"/>
        <w:tblW w:w="4481" w:type="pct"/>
        <w:tblLook w:val="0420" w:firstRow="1" w:lastRow="0" w:firstColumn="0" w:lastColumn="0" w:noHBand="0" w:noVBand="1"/>
      </w:tblPr>
      <w:tblGrid>
        <w:gridCol w:w="3195"/>
        <w:gridCol w:w="2326"/>
        <w:gridCol w:w="2762"/>
      </w:tblGrid>
      <w:tr w:rsidR="006932D2" w:rsidRPr="00156B4B" w:rsidTr="008167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8"/>
          <w:tblHeader/>
        </w:trPr>
        <w:tc>
          <w:tcPr>
            <w:tcW w:w="1929" w:type="pct"/>
            <w:tcBorders>
              <w:top w:val="nil"/>
            </w:tcBorders>
            <w:hideMark/>
          </w:tcPr>
          <w:p w:rsidR="006932D2" w:rsidRPr="00156B4B" w:rsidRDefault="006932D2" w:rsidP="008167D6">
            <w:pPr>
              <w:pStyle w:val="TableContent"/>
              <w:rPr>
                <w:sz w:val="16"/>
              </w:rPr>
            </w:pPr>
            <w:r w:rsidRPr="00156B4B">
              <w:rPr>
                <w:sz w:val="16"/>
              </w:rPr>
              <w:t>Variable</w:t>
            </w:r>
          </w:p>
        </w:tc>
        <w:tc>
          <w:tcPr>
            <w:tcW w:w="1404" w:type="pct"/>
            <w:shd w:val="clear" w:color="auto" w:fill="EAF1DD" w:themeFill="accent3" w:themeFillTint="33"/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b w:val="0"/>
                <w:sz w:val="16"/>
              </w:rPr>
            </w:pPr>
            <w:r>
              <w:rPr>
                <w:sz w:val="16"/>
              </w:rPr>
              <w:t>Primary analysis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Patients included in HbA1c trajectory analysis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/>
                <w:i/>
                <w:sz w:val="16"/>
              </w:rPr>
            </w:pPr>
            <w:r w:rsidRPr="00156B4B">
              <w:rPr>
                <w:rFonts w:eastAsiaTheme="minorEastAsia"/>
                <w:i/>
                <w:sz w:val="16"/>
              </w:rPr>
              <w:t>N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i/>
                <w:sz w:val="16"/>
              </w:rPr>
            </w:pPr>
            <w:r w:rsidRPr="00156B4B">
              <w:rPr>
                <w:i/>
                <w:sz w:val="16"/>
              </w:rPr>
              <w:t>865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i/>
                <w:sz w:val="16"/>
              </w:rPr>
            </w:pPr>
            <w:r w:rsidRPr="00156B4B">
              <w:rPr>
                <w:i/>
                <w:sz w:val="16"/>
              </w:rPr>
              <w:t>319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i/>
                <w:sz w:val="16"/>
              </w:rPr>
            </w:pPr>
            <w:r w:rsidRPr="00156B4B">
              <w:rPr>
                <w:rFonts w:eastAsiaTheme="minorEastAsia"/>
                <w:i/>
                <w:sz w:val="16"/>
              </w:rPr>
              <w:t>Change in HbA1c (percentage points)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i/>
                <w:sz w:val="16"/>
              </w:rPr>
            </w:pPr>
            <w:r w:rsidRPr="00156B4B">
              <w:rPr>
                <w:i/>
                <w:sz w:val="16"/>
              </w:rPr>
              <w:t>-0.02 (1.38)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i/>
                <w:sz w:val="16"/>
              </w:rPr>
            </w:pPr>
            <w:r w:rsidRPr="00156B4B">
              <w:rPr>
                <w:i/>
                <w:sz w:val="16"/>
              </w:rPr>
              <w:t>-0.23 (1.27)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HbA1c pre-switch (%)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8.44 (1.52)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8.56 (1.49)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sz w:val="16"/>
              </w:rPr>
              <w:t>Weight (kg)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90.13 (19.53)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89.15 (18.43)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Height (cm)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169.57 (9.59)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169.66</w:t>
            </w:r>
            <w:r w:rsidRPr="00156B4B">
              <w:rPr>
                <w:sz w:val="16"/>
              </w:rPr>
              <w:tab/>
              <w:t>(9.64)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 xml:space="preserve">Systolic blood pressure </w:t>
            </w:r>
            <w:r w:rsidRPr="00156B4B">
              <w:rPr>
                <w:sz w:val="16"/>
              </w:rPr>
              <w:t>(mmHg)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132.91 (14.22)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133.55 (14.04)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 xml:space="preserve">Diastolic blood pressure </w:t>
            </w:r>
            <w:r w:rsidRPr="00156B4B">
              <w:rPr>
                <w:sz w:val="16"/>
              </w:rPr>
              <w:t>(mmHg)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74.19 (9.00)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75.38 (8.63)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proofErr w:type="spellStart"/>
            <w:r w:rsidRPr="00156B4B">
              <w:rPr>
                <w:rFonts w:eastAsiaTheme="minorEastAsia"/>
                <w:sz w:val="16"/>
              </w:rPr>
              <w:t>eGFR</w:t>
            </w:r>
            <w:proofErr w:type="spellEnd"/>
            <w:r w:rsidRPr="00156B4B">
              <w:rPr>
                <w:rFonts w:eastAsiaTheme="minorEastAsia"/>
                <w:sz w:val="16"/>
              </w:rPr>
              <w:t xml:space="preserve"> (ml/min/1.73m</w:t>
            </w:r>
            <w:r w:rsidRPr="00156B4B">
              <w:rPr>
                <w:rFonts w:eastAsiaTheme="minorEastAsia"/>
                <w:sz w:val="16"/>
                <w:vertAlign w:val="superscript"/>
              </w:rPr>
              <w:t>2</w:t>
            </w:r>
            <w:r w:rsidRPr="00156B4B">
              <w:rPr>
                <w:rFonts w:eastAsiaTheme="minorEastAsia"/>
                <w:sz w:val="16"/>
              </w:rPr>
              <w:t>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64.64 (15.74)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65.03 (15.72)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Cholesterol: total (</w:t>
            </w:r>
            <w:proofErr w:type="spellStart"/>
            <w:r w:rsidRPr="00156B4B">
              <w:rPr>
                <w:rFonts w:eastAsiaTheme="minorEastAsia"/>
                <w:sz w:val="16"/>
              </w:rPr>
              <w:t>mmol</w:t>
            </w:r>
            <w:proofErr w:type="spellEnd"/>
            <w:r w:rsidRPr="00156B4B">
              <w:rPr>
                <w:rFonts w:eastAsiaTheme="minorEastAsia"/>
                <w:sz w:val="16"/>
              </w:rPr>
              <w:t>/L)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4.13 (0.99)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4.17 (1.01)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Cholesterol: HDL (</w:t>
            </w:r>
            <w:proofErr w:type="spellStart"/>
            <w:r w:rsidRPr="00156B4B">
              <w:rPr>
                <w:rFonts w:eastAsiaTheme="minorEastAsia"/>
                <w:sz w:val="16"/>
              </w:rPr>
              <w:t>mmol</w:t>
            </w:r>
            <w:proofErr w:type="spellEnd"/>
            <w:r w:rsidRPr="00156B4B">
              <w:rPr>
                <w:rFonts w:eastAsiaTheme="minorEastAsia"/>
                <w:sz w:val="16"/>
              </w:rPr>
              <w:t>/L)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1.15 (0.30)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1.18 (0.32)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Cholesterol: LDL (</w:t>
            </w:r>
            <w:proofErr w:type="spellStart"/>
            <w:r w:rsidRPr="00156B4B">
              <w:rPr>
                <w:rFonts w:eastAsiaTheme="minorEastAsia"/>
                <w:sz w:val="16"/>
              </w:rPr>
              <w:t>mmol</w:t>
            </w:r>
            <w:proofErr w:type="spellEnd"/>
            <w:r w:rsidRPr="00156B4B">
              <w:rPr>
                <w:rFonts w:eastAsiaTheme="minorEastAsia"/>
                <w:sz w:val="16"/>
              </w:rPr>
              <w:t>/L)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2.27 (2.14)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2.33 (2.78)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  <w:hideMark/>
          </w:tcPr>
          <w:p w:rsidR="006932D2" w:rsidRPr="00156B4B" w:rsidRDefault="006932D2" w:rsidP="008167D6">
            <w:pPr>
              <w:pStyle w:val="TableContent"/>
              <w:jc w:val="left"/>
              <w:rPr>
                <w:sz w:val="16"/>
              </w:rPr>
            </w:pPr>
            <w:r w:rsidRPr="00156B4B">
              <w:rPr>
                <w:rFonts w:eastAsiaTheme="minorEastAsia"/>
                <w:sz w:val="16"/>
              </w:rPr>
              <w:t>Age at switch (years)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  <w:hideMark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64.35 (11.19)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sz w:val="16"/>
              </w:rPr>
            </w:pPr>
            <w:r w:rsidRPr="00156B4B">
              <w:rPr>
                <w:sz w:val="16"/>
              </w:rPr>
              <w:t>63.75 (11.69)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History of CVD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2 (0.23%)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1 (0.31%)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History of PVD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27 (3.12%)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8 (2.51%)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History of stroke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52 (6.01%)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16 (5.02%)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History of CKD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138 (15.95%)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50 (15.67%)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History of diabetic retinopathy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47 (5.43%)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20 (6.27%)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 xml:space="preserve">History of diabetic </w:t>
            </w:r>
            <w:proofErr w:type="spellStart"/>
            <w:r w:rsidRPr="00156B4B">
              <w:rPr>
                <w:rFonts w:eastAsiaTheme="minorEastAsia" w:cs="Tahoma"/>
                <w:sz w:val="16"/>
                <w:szCs w:val="18"/>
              </w:rPr>
              <w:t>mononeuropathy</w:t>
            </w:r>
            <w:proofErr w:type="spellEnd"/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1 (0.12%)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sz w:val="16"/>
              </w:rPr>
              <w:t>0 (0.00%)</w:t>
            </w:r>
          </w:p>
        </w:tc>
      </w:tr>
      <w:tr w:rsidR="006932D2" w:rsidRPr="00156B4B" w:rsidTr="008167D6">
        <w:trPr>
          <w:trHeight w:val="503"/>
        </w:trPr>
        <w:tc>
          <w:tcPr>
            <w:tcW w:w="1929" w:type="pct"/>
          </w:tcPr>
          <w:p w:rsidR="006932D2" w:rsidRPr="00156B4B" w:rsidRDefault="006932D2" w:rsidP="008167D6">
            <w:pPr>
              <w:pStyle w:val="TableContent"/>
              <w:jc w:val="left"/>
              <w:rPr>
                <w:rFonts w:eastAsiaTheme="minorEastAsia" w:cs="Tahoma"/>
                <w:sz w:val="16"/>
                <w:szCs w:val="18"/>
              </w:rPr>
            </w:pPr>
            <w:r w:rsidRPr="00156B4B">
              <w:rPr>
                <w:rFonts w:eastAsiaTheme="minorEastAsia" w:cs="Tahoma"/>
                <w:sz w:val="16"/>
                <w:szCs w:val="18"/>
              </w:rPr>
              <w:t>Male gender</w:t>
            </w:r>
          </w:p>
        </w:tc>
        <w:tc>
          <w:tcPr>
            <w:tcW w:w="1404" w:type="pct"/>
            <w:tcMar>
              <w:left w:w="57" w:type="dxa"/>
              <w:right w:w="57" w:type="dxa"/>
            </w:tcMar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551 (63.70%)</w:t>
            </w:r>
          </w:p>
        </w:tc>
        <w:tc>
          <w:tcPr>
            <w:tcW w:w="1667" w:type="pct"/>
            <w:shd w:val="clear" w:color="auto" w:fill="EAF1DD" w:themeFill="accent3" w:themeFillTint="33"/>
          </w:tcPr>
          <w:p w:rsidR="006932D2" w:rsidRPr="00156B4B" w:rsidRDefault="006932D2" w:rsidP="008167D6">
            <w:pPr>
              <w:pStyle w:val="TableContent"/>
              <w:jc w:val="center"/>
              <w:rPr>
                <w:rFonts w:cs="Tahoma"/>
                <w:sz w:val="16"/>
                <w:szCs w:val="18"/>
              </w:rPr>
            </w:pPr>
            <w:r w:rsidRPr="00156B4B">
              <w:rPr>
                <w:rFonts w:cs="Tahoma"/>
                <w:sz w:val="16"/>
                <w:szCs w:val="18"/>
              </w:rPr>
              <w:t>204 (63.95%)</w:t>
            </w:r>
          </w:p>
        </w:tc>
      </w:tr>
    </w:tbl>
    <w:p w:rsidR="006932D2" w:rsidRPr="00156B4B" w:rsidRDefault="006932D2" w:rsidP="006932D2">
      <w:pPr>
        <w:rPr>
          <w:noProof/>
          <w:lang w:eastAsia="en-GB"/>
        </w:rPr>
      </w:pPr>
      <w:r w:rsidRPr="00156B4B">
        <w:rPr>
          <w:b/>
          <w:noProof/>
          <w:lang w:eastAsia="en-GB"/>
        </w:rPr>
        <w:t>Supplementary Table 1.</w:t>
      </w:r>
      <w:r w:rsidRPr="00156B4B">
        <w:rPr>
          <w:noProof/>
          <w:lang w:eastAsia="en-GB"/>
        </w:rPr>
        <w:t xml:space="preserve"> Comparison of the baseline characteristics (Mean (SD) or n (%)) for those included in the primary analysis vs those with sufficient data for the trajectory analysis</w:t>
      </w:r>
    </w:p>
    <w:p w:rsidR="00FA0755" w:rsidRDefault="006932D2">
      <w:bookmarkStart w:id="0" w:name="_GoBack"/>
      <w:bookmarkEnd w:id="0"/>
    </w:p>
    <w:sectPr w:rsidR="00FA0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wMTMxMDezMLQ0NTBV0lEKTi0uzszPAykwrAUAyMC18CwAAAA="/>
  </w:docVars>
  <w:rsids>
    <w:rsidRoot w:val="006932D2"/>
    <w:rsid w:val="002154F2"/>
    <w:rsid w:val="00416B1A"/>
    <w:rsid w:val="006932D2"/>
    <w:rsid w:val="00D0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2D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">
    <w:name w:val="Table Content"/>
    <w:basedOn w:val="Normal"/>
    <w:uiPriority w:val="99"/>
    <w:qFormat/>
    <w:rsid w:val="006932D2"/>
    <w:pPr>
      <w:spacing w:after="120"/>
      <w:ind w:right="130"/>
      <w:jc w:val="both"/>
    </w:pPr>
    <w:rPr>
      <w:rFonts w:ascii="Tahoma" w:eastAsia="Times New Roman" w:hAnsi="Tahoma" w:cs="Times New Roman"/>
      <w:color w:val="404040" w:themeColor="text1" w:themeTint="BF"/>
      <w:sz w:val="18"/>
      <w:lang w:eastAsia="en-GB"/>
    </w:rPr>
  </w:style>
  <w:style w:type="table" w:customStyle="1" w:styleId="Style2">
    <w:name w:val="Style2"/>
    <w:basedOn w:val="TableNormal"/>
    <w:uiPriority w:val="99"/>
    <w:rsid w:val="006932D2"/>
    <w:pPr>
      <w:spacing w:after="0" w:line="240" w:lineRule="auto"/>
    </w:pPr>
    <w:rPr>
      <w:rFonts w:ascii="Tahoma" w:hAnsi="Tahoma"/>
      <w:sz w:val="20"/>
    </w:rPr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rFonts w:ascii="Segoe UI" w:hAnsi="Segoe UI"/>
        <w:b/>
        <w:sz w:val="20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  <w:tl2br w:val="nil"/>
          <w:tr2bl w:val="nil"/>
        </w:tcBorders>
        <w:shd w:val="clear" w:color="auto" w:fill="C2D69B" w:themeFill="accent3" w:themeFillTint="99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2D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">
    <w:name w:val="Table Content"/>
    <w:basedOn w:val="Normal"/>
    <w:uiPriority w:val="99"/>
    <w:qFormat/>
    <w:rsid w:val="006932D2"/>
    <w:pPr>
      <w:spacing w:after="120"/>
      <w:ind w:right="130"/>
      <w:jc w:val="both"/>
    </w:pPr>
    <w:rPr>
      <w:rFonts w:ascii="Tahoma" w:eastAsia="Times New Roman" w:hAnsi="Tahoma" w:cs="Times New Roman"/>
      <w:color w:val="404040" w:themeColor="text1" w:themeTint="BF"/>
      <w:sz w:val="18"/>
      <w:lang w:eastAsia="en-GB"/>
    </w:rPr>
  </w:style>
  <w:style w:type="table" w:customStyle="1" w:styleId="Style2">
    <w:name w:val="Style2"/>
    <w:basedOn w:val="TableNormal"/>
    <w:uiPriority w:val="99"/>
    <w:rsid w:val="006932D2"/>
    <w:pPr>
      <w:spacing w:after="0" w:line="240" w:lineRule="auto"/>
    </w:pPr>
    <w:rPr>
      <w:rFonts w:ascii="Tahoma" w:hAnsi="Tahoma"/>
      <w:sz w:val="20"/>
    </w:rPr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rFonts w:ascii="Segoe UI" w:hAnsi="Segoe UI"/>
        <w:b/>
        <w:sz w:val="20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  <w:tl2br w:val="nil"/>
          <w:tr2bl w:val="nil"/>
        </w:tcBorders>
        <w:shd w:val="clear" w:color="auto" w:fill="C2D69B" w:themeFill="accent3" w:themeFillTint="9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Alborn , Lydia , Springer Healthcare UK</dc:creator>
  <cp:lastModifiedBy>Alborn , Lydia , Springer Healthcare UK</cp:lastModifiedBy>
  <cp:revision>1</cp:revision>
  <dcterms:created xsi:type="dcterms:W3CDTF">2019-06-24T10:40:00Z</dcterms:created>
  <dcterms:modified xsi:type="dcterms:W3CDTF">2019-06-24T10:41:00Z</dcterms:modified>
</cp:coreProperties>
</file>