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77084" w14:textId="77777777" w:rsidR="007B6692" w:rsidRDefault="007B6692" w:rsidP="007B6692">
      <w:pPr>
        <w:spacing w:after="200" w:line="480" w:lineRule="auto"/>
        <w:rPr>
          <w:rFonts w:ascii="Verdana" w:hAnsi="Verdana" w:cs="Arial"/>
          <w:b/>
          <w:sz w:val="20"/>
          <w:szCs w:val="20"/>
          <w:lang w:val="en-GB"/>
        </w:rPr>
      </w:pPr>
      <w:r w:rsidRPr="00E12358">
        <w:rPr>
          <w:rFonts w:ascii="Verdana" w:hAnsi="Verdana" w:cs="Arial"/>
          <w:b/>
          <w:sz w:val="20"/>
          <w:szCs w:val="20"/>
          <w:lang w:val="en-GB"/>
        </w:rPr>
        <w:t>Supplementary Appendix</w:t>
      </w:r>
    </w:p>
    <w:p w14:paraId="12A45C5C" w14:textId="44E0107B" w:rsidR="007B6692" w:rsidRPr="00EC5F4B" w:rsidRDefault="007B6692" w:rsidP="007B6692">
      <w:pPr>
        <w:spacing w:after="200" w:line="480" w:lineRule="auto"/>
        <w:rPr>
          <w:rFonts w:ascii="Verdana" w:hAnsi="Verdana" w:cs="Arial"/>
          <w:sz w:val="20"/>
          <w:szCs w:val="20"/>
          <w:lang w:val="en-GB"/>
        </w:rPr>
      </w:pPr>
      <w:r w:rsidRPr="00EC5F4B">
        <w:rPr>
          <w:rFonts w:ascii="Verdana" w:hAnsi="Verdana" w:cs="Arial"/>
          <w:b/>
          <w:sz w:val="20"/>
          <w:szCs w:val="20"/>
          <w:lang w:val="en-GB"/>
        </w:rPr>
        <w:t>Title:</w:t>
      </w:r>
      <w:r w:rsidRPr="00EC5F4B">
        <w:rPr>
          <w:rFonts w:ascii="Verdana" w:hAnsi="Verdana" w:cs="Arial"/>
          <w:sz w:val="20"/>
          <w:szCs w:val="20"/>
          <w:lang w:val="en-GB"/>
        </w:rPr>
        <w:t xml:space="preserve"> Once-weekly Semaglutide Reduces HbA</w:t>
      </w:r>
      <w:r w:rsidRPr="00EC5F4B">
        <w:rPr>
          <w:rFonts w:ascii="Verdana" w:hAnsi="Verdana" w:cs="Arial"/>
          <w:sz w:val="20"/>
          <w:szCs w:val="20"/>
          <w:vertAlign w:val="subscript"/>
          <w:lang w:val="en-GB"/>
        </w:rPr>
        <w:t>1c</w:t>
      </w:r>
      <w:r w:rsidRPr="00EC5F4B">
        <w:rPr>
          <w:rFonts w:ascii="Verdana" w:hAnsi="Verdana" w:cs="Arial"/>
          <w:sz w:val="20"/>
          <w:szCs w:val="20"/>
          <w:lang w:val="en-GB"/>
        </w:rPr>
        <w:t xml:space="preserve"> and Body Weight in </w:t>
      </w:r>
      <w:r w:rsidR="00C30966">
        <w:rPr>
          <w:rFonts w:ascii="Verdana" w:hAnsi="Verdana" w:cs="Arial"/>
          <w:sz w:val="20"/>
          <w:szCs w:val="20"/>
          <w:lang w:val="en-GB"/>
        </w:rPr>
        <w:t xml:space="preserve">Patients with </w:t>
      </w:r>
      <w:r w:rsidRPr="00EC5F4B">
        <w:rPr>
          <w:rFonts w:ascii="Verdana" w:hAnsi="Verdana" w:cs="Arial"/>
          <w:sz w:val="20"/>
          <w:szCs w:val="20"/>
          <w:lang w:val="en-GB"/>
        </w:rPr>
        <w:t xml:space="preserve">Type 2 Diabetes </w:t>
      </w:r>
      <w:bookmarkStart w:id="0" w:name="_GoBack"/>
      <w:bookmarkEnd w:id="0"/>
      <w:r w:rsidRPr="00EC5F4B">
        <w:rPr>
          <w:rFonts w:ascii="Verdana" w:hAnsi="Verdana" w:cs="Arial"/>
          <w:sz w:val="20"/>
          <w:szCs w:val="20"/>
          <w:lang w:val="en-GB"/>
        </w:rPr>
        <w:t>Regardless of Background OAD: A Subgroup Analysis from SUSTAIN 2–4 and 10</w:t>
      </w:r>
    </w:p>
    <w:p w14:paraId="4677F82F" w14:textId="3EE9ACAD" w:rsidR="007B6692" w:rsidRDefault="007B6692" w:rsidP="007B6692">
      <w:pPr>
        <w:shd w:val="clear" w:color="auto" w:fill="FFFFFF"/>
        <w:spacing w:after="200" w:line="480" w:lineRule="auto"/>
        <w:rPr>
          <w:rFonts w:ascii="Verdana" w:hAnsi="Verdana"/>
          <w:sz w:val="20"/>
          <w:szCs w:val="20"/>
          <w:lang w:val="en-GB"/>
        </w:rPr>
      </w:pPr>
      <w:r w:rsidRPr="00EC5F4B">
        <w:rPr>
          <w:rFonts w:ascii="Verdana" w:hAnsi="Verdana" w:cs="Arial"/>
          <w:b/>
          <w:sz w:val="20"/>
          <w:szCs w:val="20"/>
          <w:lang w:val="en-GB"/>
        </w:rPr>
        <w:t>Authors:</w:t>
      </w:r>
      <w:r w:rsidRPr="00EC5F4B">
        <w:rPr>
          <w:rFonts w:ascii="Verdana" w:hAnsi="Verdana" w:cs="Arial"/>
          <w:sz w:val="20"/>
          <w:szCs w:val="20"/>
          <w:lang w:val="en-GB"/>
        </w:rPr>
        <w:t xml:space="preserve"> </w:t>
      </w:r>
      <w:r w:rsidRPr="00EC5F4B">
        <w:rPr>
          <w:rFonts w:ascii="Verdana" w:hAnsi="Verdana"/>
          <w:sz w:val="20"/>
          <w:szCs w:val="20"/>
          <w:lang w:val="en-GB"/>
        </w:rPr>
        <w:t xml:space="preserve">Matthew Capehorn, Yasmin Ghani, Charlotte Hindsberger, Pierre Johansen, Esteban </w:t>
      </w:r>
      <w:proofErr w:type="spellStart"/>
      <w:r w:rsidRPr="00EC5F4B">
        <w:rPr>
          <w:rFonts w:ascii="Verdana" w:hAnsi="Verdana"/>
          <w:sz w:val="20"/>
          <w:szCs w:val="20"/>
          <w:lang w:val="en-GB"/>
        </w:rPr>
        <w:t>Jódar</w:t>
      </w:r>
      <w:proofErr w:type="spellEnd"/>
    </w:p>
    <w:p w14:paraId="259233C7" w14:textId="7CDFB0D5" w:rsidR="008B6BEA" w:rsidRDefault="008B6BEA" w:rsidP="007B6692">
      <w:pPr>
        <w:shd w:val="clear" w:color="auto" w:fill="FFFFFF"/>
        <w:spacing w:after="200" w:line="480" w:lineRule="auto"/>
        <w:rPr>
          <w:rFonts w:ascii="Verdana" w:hAnsi="Verdana"/>
          <w:sz w:val="20"/>
          <w:szCs w:val="20"/>
          <w:lang w:val="en-GB"/>
        </w:rPr>
      </w:pPr>
    </w:p>
    <w:p w14:paraId="2C8FE5B3" w14:textId="6C150288" w:rsidR="008B6BEA" w:rsidRDefault="008B6BEA" w:rsidP="007B6692">
      <w:pPr>
        <w:shd w:val="clear" w:color="auto" w:fill="FFFFFF"/>
        <w:spacing w:after="200" w:line="480" w:lineRule="auto"/>
        <w:rPr>
          <w:rFonts w:ascii="Verdana" w:hAnsi="Verdana"/>
          <w:b/>
          <w:bCs/>
          <w:sz w:val="20"/>
          <w:szCs w:val="20"/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t>Trial Registration</w:t>
      </w:r>
    </w:p>
    <w:p w14:paraId="7D0F1370" w14:textId="2D2FE31A" w:rsidR="008B6BEA" w:rsidRDefault="008B6BEA" w:rsidP="007B6692">
      <w:pPr>
        <w:shd w:val="clear" w:color="auto" w:fill="FFFFFF"/>
        <w:spacing w:after="200" w:line="48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SUSTAIN 2: </w:t>
      </w:r>
      <w:hyperlink r:id="rId4" w:history="1">
        <w:r w:rsidRPr="00466AA8">
          <w:rPr>
            <w:rStyle w:val="Hyperlink"/>
            <w:rFonts w:ascii="Verdana" w:hAnsi="Verdana"/>
            <w:sz w:val="20"/>
            <w:szCs w:val="20"/>
            <w:lang w:val="en-GB"/>
          </w:rPr>
          <w:t>https://clinicaltrials.gov/ct2/show/NCT01930188</w:t>
        </w:r>
      </w:hyperlink>
    </w:p>
    <w:p w14:paraId="1C4EC0C7" w14:textId="6281EEAB" w:rsidR="008B6BEA" w:rsidRDefault="008B6BEA" w:rsidP="007B6692">
      <w:pPr>
        <w:shd w:val="clear" w:color="auto" w:fill="FFFFFF"/>
        <w:spacing w:after="200" w:line="48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SUSTAIN 3: </w:t>
      </w:r>
      <w:hyperlink r:id="rId5" w:history="1">
        <w:r w:rsidRPr="00466AA8">
          <w:rPr>
            <w:rStyle w:val="Hyperlink"/>
            <w:rFonts w:ascii="Verdana" w:hAnsi="Verdana"/>
            <w:sz w:val="20"/>
            <w:szCs w:val="20"/>
            <w:lang w:val="en-GB"/>
          </w:rPr>
          <w:t>https://clinicaltrials.gov/ct2/show/NCT01885208</w:t>
        </w:r>
      </w:hyperlink>
    </w:p>
    <w:p w14:paraId="5B5E3FEC" w14:textId="64D1D32C" w:rsidR="008B6BEA" w:rsidRDefault="008B6BEA" w:rsidP="007B6692">
      <w:pPr>
        <w:shd w:val="clear" w:color="auto" w:fill="FFFFFF"/>
        <w:spacing w:after="200" w:line="48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SUSTAIN 4: </w:t>
      </w:r>
      <w:hyperlink r:id="rId6" w:history="1">
        <w:r w:rsidRPr="00466AA8">
          <w:rPr>
            <w:rStyle w:val="Hyperlink"/>
            <w:rFonts w:ascii="Verdana" w:hAnsi="Verdana"/>
            <w:sz w:val="20"/>
            <w:szCs w:val="20"/>
            <w:lang w:val="en-GB"/>
          </w:rPr>
          <w:t>https://clinicaltrials.gov/ct2/show/NCT02128932</w:t>
        </w:r>
      </w:hyperlink>
    </w:p>
    <w:p w14:paraId="4A21276A" w14:textId="0402A377" w:rsidR="008B6BEA" w:rsidRPr="008B6BEA" w:rsidRDefault="008B6BEA" w:rsidP="007B6692">
      <w:pPr>
        <w:shd w:val="clear" w:color="auto" w:fill="FFFFFF"/>
        <w:spacing w:after="200" w:line="480" w:lineRule="auto"/>
        <w:rPr>
          <w:rFonts w:ascii="Verdana" w:hAnsi="Verdana"/>
          <w:sz w:val="20"/>
          <w:szCs w:val="20"/>
          <w:vertAlign w:val="superscript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SUSTAIN 10: </w:t>
      </w:r>
      <w:hyperlink r:id="rId7" w:history="1">
        <w:r w:rsidRPr="00466AA8">
          <w:rPr>
            <w:rStyle w:val="Hyperlink"/>
            <w:rFonts w:ascii="Verdana" w:hAnsi="Verdana"/>
            <w:sz w:val="20"/>
            <w:szCs w:val="20"/>
            <w:lang w:val="en-GB"/>
          </w:rPr>
          <w:t>https://clinicaltrials.gov/ct2/show/NCT03191396</w:t>
        </w:r>
      </w:hyperlink>
      <w:r>
        <w:rPr>
          <w:rFonts w:ascii="Verdana" w:hAnsi="Verdana"/>
          <w:sz w:val="20"/>
          <w:szCs w:val="20"/>
          <w:lang w:val="en-GB"/>
        </w:rPr>
        <w:t xml:space="preserve"> </w:t>
      </w:r>
    </w:p>
    <w:p w14:paraId="32A1B6E2" w14:textId="11B52DE8" w:rsidR="008B6BEA" w:rsidRDefault="008B6BEA" w:rsidP="007B6692">
      <w:pPr>
        <w:rPr>
          <w:rFonts w:ascii="Verdana" w:hAnsi="Verdana"/>
          <w:sz w:val="20"/>
          <w:szCs w:val="20"/>
          <w:lang w:val="en-GB"/>
        </w:rPr>
      </w:pPr>
    </w:p>
    <w:p w14:paraId="6EAEE4D6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58D74E27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2072C005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5FA378E4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476A7F46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5AC5D2CB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6547413B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4D43F607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5FA53C84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27F99629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522A98F8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490C33C0" w14:textId="77777777" w:rsidR="008B6BEA" w:rsidRDefault="008B6BEA" w:rsidP="007B6692">
      <w:pPr>
        <w:rPr>
          <w:rFonts w:ascii="Verdana" w:hAnsi="Verdana" w:cs="Arial"/>
          <w:b/>
          <w:sz w:val="20"/>
          <w:szCs w:val="20"/>
          <w:lang w:val="en-GB"/>
        </w:rPr>
      </w:pPr>
    </w:p>
    <w:p w14:paraId="52A29927" w14:textId="473B4D2B" w:rsidR="007B6692" w:rsidRPr="00EC5F4B" w:rsidRDefault="007B6692" w:rsidP="007B6692">
      <w:pPr>
        <w:rPr>
          <w:rFonts w:ascii="Verdana" w:hAnsi="Verdana" w:cs="Arial"/>
          <w:sz w:val="20"/>
          <w:szCs w:val="20"/>
          <w:lang w:val="en-GB"/>
        </w:rPr>
      </w:pPr>
      <w:r w:rsidRPr="00EC5F4B">
        <w:rPr>
          <w:rFonts w:ascii="Verdana" w:hAnsi="Verdana" w:cs="Arial"/>
          <w:b/>
          <w:sz w:val="20"/>
          <w:szCs w:val="20"/>
          <w:lang w:val="en-GB"/>
        </w:rPr>
        <w:lastRenderedPageBreak/>
        <w:t xml:space="preserve">Supplementary Figure S1. </w:t>
      </w:r>
      <w:r w:rsidRPr="00EC5F4B">
        <w:rPr>
          <w:rFonts w:ascii="Verdana" w:hAnsi="Verdana" w:cs="Arial"/>
          <w:sz w:val="20"/>
          <w:szCs w:val="20"/>
          <w:lang w:val="en-GB"/>
        </w:rPr>
        <w:t xml:space="preserve">Mean (SE) change from baseline in BMI by background oral antidiabetic drug subgroup </w:t>
      </w:r>
    </w:p>
    <w:p w14:paraId="42DA6175" w14:textId="77777777" w:rsidR="007B6692" w:rsidRPr="00EC5F4B" w:rsidRDefault="007B6692" w:rsidP="007B6692">
      <w:pPr>
        <w:rPr>
          <w:rFonts w:ascii="Verdana" w:hAnsi="Verdana"/>
          <w:sz w:val="20"/>
          <w:lang w:val="en-GB"/>
        </w:rPr>
      </w:pPr>
    </w:p>
    <w:p w14:paraId="4ED99BBF" w14:textId="77777777" w:rsidR="007B6692" w:rsidRPr="00EC5F4B" w:rsidRDefault="007B6692" w:rsidP="007B6692">
      <w:pPr>
        <w:rPr>
          <w:rFonts w:ascii="Verdana" w:hAnsi="Verdana"/>
          <w:sz w:val="20"/>
          <w:lang w:val="en-GB"/>
        </w:rPr>
      </w:pPr>
      <w:r w:rsidRPr="00EC5F4B">
        <w:rPr>
          <w:rFonts w:ascii="Verdana" w:hAnsi="Verdana"/>
          <w:noProof/>
          <w:sz w:val="20"/>
          <w:lang w:val="en-GB"/>
        </w:rPr>
        <w:drawing>
          <wp:inline distT="0" distB="0" distL="0" distR="0" wp14:anchorId="22EB9BC4" wp14:editId="43C38412">
            <wp:extent cx="6606000" cy="3315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000" cy="33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8CADA" w14:textId="77777777" w:rsidR="007B6692" w:rsidRPr="00EC5F4B" w:rsidRDefault="007B6692" w:rsidP="007B6692">
      <w:pPr>
        <w:rPr>
          <w:rFonts w:ascii="Verdana" w:hAnsi="Verdana" w:cs="Arial"/>
          <w:sz w:val="16"/>
          <w:szCs w:val="16"/>
          <w:vertAlign w:val="superscript"/>
          <w:lang w:val="en-GB"/>
        </w:rPr>
      </w:pPr>
      <w:r w:rsidRPr="00EC5F4B">
        <w:rPr>
          <w:rFonts w:ascii="Verdana" w:hAnsi="Verdana" w:cs="Arial"/>
          <w:sz w:val="16"/>
          <w:szCs w:val="16"/>
          <w:lang w:val="en-GB"/>
        </w:rPr>
        <w:t>Mean (SE) change from baseline and ETD [95% confidence interval] for semaglutide vs comparators shown.</w:t>
      </w:r>
      <w:r w:rsidRPr="00EC5F4B">
        <w:rPr>
          <w:rFonts w:ascii="Verdana" w:hAnsi="Verdana" w:cs="Arial"/>
          <w:sz w:val="16"/>
          <w:szCs w:val="16"/>
          <w:vertAlign w:val="superscript"/>
          <w:lang w:val="en-GB"/>
        </w:rPr>
        <w:br/>
        <w:t>*</w:t>
      </w:r>
      <w:r w:rsidRPr="00EC5F4B">
        <w:rPr>
          <w:rFonts w:ascii="Verdana" w:hAnsi="Verdana"/>
          <w:sz w:val="16"/>
          <w:szCs w:val="16"/>
          <w:lang w:val="en-GB"/>
        </w:rPr>
        <w:t xml:space="preserve">p&lt;0.0001. </w:t>
      </w:r>
      <w:r w:rsidRPr="00EC5F4B">
        <w:rPr>
          <w:rFonts w:ascii="Verdana" w:hAnsi="Verdana"/>
          <w:sz w:val="16"/>
          <w:szCs w:val="16"/>
          <w:lang w:val="en-GB"/>
        </w:rPr>
        <w:br/>
        <w:t>BMI, body mass index; ETD, estimated treatment difference; exenatide ER, exenatide extended release;</w:t>
      </w:r>
      <w:r w:rsidRPr="00EC5F4B">
        <w:rPr>
          <w:rFonts w:ascii="Verdana" w:hAnsi="Verdana"/>
          <w:sz w:val="16"/>
          <w:szCs w:val="16"/>
          <w:lang w:val="en-GB"/>
        </w:rPr>
        <w:br/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IGlar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insulin glargine; MET, metformin; SE, standard error; SU,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sulphonylurea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>.</w:t>
      </w:r>
    </w:p>
    <w:p w14:paraId="56CAC637" w14:textId="77777777" w:rsidR="007B6692" w:rsidRPr="00EC5F4B" w:rsidRDefault="007B6692" w:rsidP="007B6692">
      <w:pPr>
        <w:rPr>
          <w:rFonts w:ascii="Verdana" w:hAnsi="Verdana"/>
          <w:b/>
          <w:sz w:val="20"/>
          <w:lang w:val="en-GB"/>
        </w:rPr>
        <w:sectPr w:rsidR="007B6692" w:rsidRPr="00EC5F4B" w:rsidSect="0029175F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3C230E96" w14:textId="77777777" w:rsidR="007B6692" w:rsidRPr="00EC5F4B" w:rsidRDefault="007B6692" w:rsidP="007B6692">
      <w:pPr>
        <w:rPr>
          <w:rFonts w:ascii="Verdana" w:hAnsi="Verdana" w:cs="Arial"/>
          <w:sz w:val="20"/>
          <w:szCs w:val="20"/>
          <w:lang w:val="en-GB"/>
        </w:rPr>
      </w:pPr>
      <w:r w:rsidRPr="00EC5F4B">
        <w:rPr>
          <w:rFonts w:ascii="Verdana" w:hAnsi="Verdana" w:cs="Arial"/>
          <w:b/>
          <w:sz w:val="20"/>
          <w:szCs w:val="20"/>
          <w:lang w:val="en-GB"/>
        </w:rPr>
        <w:lastRenderedPageBreak/>
        <w:t xml:space="preserve">Supplementary Figure S2. </w:t>
      </w:r>
      <w:r w:rsidRPr="00EC5F4B">
        <w:rPr>
          <w:rFonts w:ascii="Verdana" w:hAnsi="Verdana" w:cs="Arial"/>
          <w:sz w:val="20"/>
          <w:szCs w:val="20"/>
          <w:lang w:val="en-GB"/>
        </w:rPr>
        <w:t>Change from baseline and difference vs comparator in systolic blood pressure by background oral antidiabetic drug subgroup</w:t>
      </w:r>
    </w:p>
    <w:p w14:paraId="27F36BD5" w14:textId="5FBFF7F7" w:rsidR="007B6692" w:rsidRPr="00EC5F4B" w:rsidRDefault="00F5235F" w:rsidP="007B6692">
      <w:pPr>
        <w:rPr>
          <w:rFonts w:ascii="Verdana" w:hAnsi="Verdana" w:cs="Arial"/>
          <w:b/>
          <w:sz w:val="20"/>
          <w:szCs w:val="20"/>
          <w:lang w:val="en-GB"/>
        </w:rPr>
        <w:sectPr w:rsidR="007B6692" w:rsidRPr="00EC5F4B" w:rsidSect="0029175F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Verdana" w:hAnsi="Verdana"/>
          <w:noProof/>
          <w:sz w:val="16"/>
          <w:szCs w:val="16"/>
          <w:lang w:val="en-GB"/>
        </w:rPr>
        <w:drawing>
          <wp:inline distT="0" distB="0" distL="0" distR="0" wp14:anchorId="2ABFD4CE" wp14:editId="62989A11">
            <wp:extent cx="8226000" cy="5061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000" cy="50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6692" w:rsidRPr="00EC5F4B">
        <w:rPr>
          <w:rFonts w:ascii="Verdana" w:hAnsi="Verdana"/>
          <w:sz w:val="16"/>
          <w:szCs w:val="16"/>
          <w:lang w:val="en-GB"/>
        </w:rPr>
        <w:t>Error bars represent 95% CI. p&gt;0.05 reported as NS.</w:t>
      </w:r>
      <w:r w:rsidR="007B6692" w:rsidRPr="00EC5F4B">
        <w:rPr>
          <w:rFonts w:ascii="Verdana" w:hAnsi="Verdana"/>
          <w:sz w:val="16"/>
          <w:szCs w:val="16"/>
          <w:lang w:val="en-GB"/>
        </w:rPr>
        <w:br/>
        <w:t xml:space="preserve">CI, confidence interval; ETD, estimated treatment difference; exe ER, exenatide extended release; </w:t>
      </w:r>
      <w:proofErr w:type="spellStart"/>
      <w:r w:rsidR="007B6692" w:rsidRPr="00EC5F4B">
        <w:rPr>
          <w:rFonts w:ascii="Verdana" w:hAnsi="Verdana"/>
          <w:sz w:val="16"/>
          <w:szCs w:val="16"/>
          <w:lang w:val="en-GB"/>
        </w:rPr>
        <w:t>IGlar</w:t>
      </w:r>
      <w:proofErr w:type="spellEnd"/>
      <w:r w:rsidR="007B6692" w:rsidRPr="00EC5F4B">
        <w:rPr>
          <w:rFonts w:ascii="Verdana" w:hAnsi="Verdana"/>
          <w:sz w:val="16"/>
          <w:szCs w:val="16"/>
          <w:lang w:val="en-GB"/>
        </w:rPr>
        <w:t xml:space="preserve">, insulin glargine; lira, liraglutide; MET, metformin; </w:t>
      </w:r>
      <w:r w:rsidR="007B6692" w:rsidRPr="00EC5F4B">
        <w:rPr>
          <w:rFonts w:ascii="Verdana" w:hAnsi="Verdana"/>
          <w:sz w:val="16"/>
          <w:szCs w:val="16"/>
          <w:lang w:val="en-GB"/>
        </w:rPr>
        <w:br/>
        <w:t xml:space="preserve">NS, non-significant; SE, standard error; </w:t>
      </w:r>
      <w:proofErr w:type="spellStart"/>
      <w:r w:rsidR="007B6692" w:rsidRPr="00EC5F4B">
        <w:rPr>
          <w:rFonts w:ascii="Verdana" w:hAnsi="Verdana"/>
          <w:sz w:val="16"/>
          <w:szCs w:val="16"/>
          <w:lang w:val="en-GB"/>
        </w:rPr>
        <w:t>Sema</w:t>
      </w:r>
      <w:proofErr w:type="spellEnd"/>
      <w:r w:rsidR="007B6692" w:rsidRPr="00EC5F4B">
        <w:rPr>
          <w:rFonts w:ascii="Verdana" w:hAnsi="Verdana"/>
          <w:sz w:val="16"/>
          <w:szCs w:val="16"/>
          <w:lang w:val="en-GB"/>
        </w:rPr>
        <w:t xml:space="preserve">, </w:t>
      </w:r>
      <w:proofErr w:type="spellStart"/>
      <w:r w:rsidR="007B6692" w:rsidRPr="00EC5F4B">
        <w:rPr>
          <w:rFonts w:ascii="Verdana" w:hAnsi="Verdana"/>
          <w:sz w:val="16"/>
          <w:szCs w:val="16"/>
          <w:lang w:val="en-GB"/>
        </w:rPr>
        <w:t>semaglutide</w:t>
      </w:r>
      <w:proofErr w:type="spellEnd"/>
      <w:r w:rsidR="007B6692" w:rsidRPr="00EC5F4B">
        <w:rPr>
          <w:rFonts w:ascii="Verdana" w:hAnsi="Verdana"/>
          <w:sz w:val="16"/>
          <w:szCs w:val="16"/>
          <w:lang w:val="en-GB"/>
        </w:rPr>
        <w:t xml:space="preserve">; </w:t>
      </w:r>
      <w:proofErr w:type="spellStart"/>
      <w:r w:rsidR="007B6692" w:rsidRPr="00EC5F4B">
        <w:rPr>
          <w:rFonts w:ascii="Verdana" w:hAnsi="Verdana"/>
          <w:sz w:val="16"/>
          <w:szCs w:val="16"/>
          <w:lang w:val="en-GB"/>
        </w:rPr>
        <w:t>sita</w:t>
      </w:r>
      <w:proofErr w:type="spellEnd"/>
      <w:r w:rsidR="007B6692" w:rsidRPr="00EC5F4B">
        <w:rPr>
          <w:rFonts w:ascii="Verdana" w:hAnsi="Verdana"/>
          <w:sz w:val="16"/>
          <w:szCs w:val="16"/>
          <w:lang w:val="en-GB"/>
        </w:rPr>
        <w:t xml:space="preserve">, sitagliptin; SU, </w:t>
      </w:r>
      <w:proofErr w:type="spellStart"/>
      <w:r w:rsidR="007B6692" w:rsidRPr="00EC5F4B">
        <w:rPr>
          <w:rFonts w:ascii="Verdana" w:hAnsi="Verdana"/>
          <w:sz w:val="16"/>
          <w:szCs w:val="16"/>
          <w:lang w:val="en-GB"/>
        </w:rPr>
        <w:t>sulphonylurea</w:t>
      </w:r>
      <w:proofErr w:type="spellEnd"/>
      <w:r w:rsidR="007B6692" w:rsidRPr="00EC5F4B">
        <w:rPr>
          <w:rFonts w:ascii="Verdana" w:hAnsi="Verdana"/>
          <w:sz w:val="16"/>
          <w:szCs w:val="16"/>
          <w:lang w:val="en-GB"/>
        </w:rPr>
        <w:t>.</w:t>
      </w:r>
    </w:p>
    <w:p w14:paraId="407C8DF7" w14:textId="77777777" w:rsidR="007B6692" w:rsidRPr="00EC5F4B" w:rsidRDefault="007B6692" w:rsidP="007B6692">
      <w:pPr>
        <w:rPr>
          <w:rFonts w:ascii="Verdana" w:hAnsi="Verdana" w:cs="Arial"/>
          <w:sz w:val="20"/>
          <w:szCs w:val="20"/>
          <w:lang w:val="en-GB"/>
        </w:rPr>
      </w:pPr>
      <w:r w:rsidRPr="00EC5F4B">
        <w:rPr>
          <w:rFonts w:ascii="Verdana" w:hAnsi="Verdana"/>
          <w:b/>
          <w:sz w:val="20"/>
          <w:szCs w:val="20"/>
          <w:lang w:val="en-GB"/>
        </w:rPr>
        <w:lastRenderedPageBreak/>
        <w:t xml:space="preserve">Supplementary Figure S3. </w:t>
      </w:r>
      <w:r w:rsidRPr="00EC5F4B">
        <w:rPr>
          <w:rFonts w:ascii="Verdana" w:hAnsi="Verdana" w:cs="Arial"/>
          <w:sz w:val="20"/>
          <w:szCs w:val="20"/>
          <w:lang w:val="en-GB"/>
        </w:rPr>
        <w:t>Change in total cholesterol (A), HDL cholesterol (B) and LDL cholesterol (C), and triglycerides (D) from baseline to EOT and difference vs comparator by background oral antidiabetic drug subgroup</w:t>
      </w:r>
    </w:p>
    <w:p w14:paraId="055F106E" w14:textId="77777777" w:rsidR="007B6692" w:rsidRPr="00EC5F4B" w:rsidRDefault="007B6692" w:rsidP="007B6692">
      <w:pPr>
        <w:spacing w:after="0" w:line="257" w:lineRule="auto"/>
        <w:rPr>
          <w:rFonts w:ascii="Verdana" w:hAnsi="Verdana"/>
          <w:b/>
          <w:sz w:val="20"/>
          <w:szCs w:val="20"/>
          <w:lang w:val="en-GB"/>
        </w:rPr>
      </w:pPr>
      <w:r w:rsidRPr="00EC5F4B">
        <w:rPr>
          <w:rFonts w:ascii="Verdana" w:hAnsi="Verdana" w:cs="Arial"/>
          <w:b/>
          <w:sz w:val="20"/>
          <w:szCs w:val="20"/>
          <w:lang w:val="en-GB"/>
        </w:rPr>
        <w:t>A</w:t>
      </w:r>
    </w:p>
    <w:p w14:paraId="2B05FB51" w14:textId="3E043B31" w:rsidR="007B6692" w:rsidRPr="00EC5F4B" w:rsidRDefault="00F5235F" w:rsidP="007B6692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noProof/>
          <w:sz w:val="20"/>
          <w:szCs w:val="20"/>
          <w:lang w:val="en-GB"/>
        </w:rPr>
        <w:drawing>
          <wp:inline distT="0" distB="0" distL="0" distR="0" wp14:anchorId="54A68A82" wp14:editId="435F9A92">
            <wp:extent cx="8226000" cy="50616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000" cy="50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72479" w14:textId="77777777" w:rsidR="007B6692" w:rsidRPr="00EC5F4B" w:rsidRDefault="007B6692" w:rsidP="007B6692">
      <w:pPr>
        <w:rPr>
          <w:rFonts w:ascii="Verdana" w:hAnsi="Verdana"/>
          <w:b/>
          <w:noProof/>
          <w:sz w:val="20"/>
          <w:szCs w:val="20"/>
          <w:lang w:val="en-GB"/>
        </w:rPr>
      </w:pPr>
    </w:p>
    <w:p w14:paraId="1E8F0BD4" w14:textId="77777777" w:rsidR="007B6692" w:rsidRPr="00EC5F4B" w:rsidRDefault="007B6692" w:rsidP="007B6692">
      <w:pPr>
        <w:rPr>
          <w:rFonts w:ascii="Verdana" w:hAnsi="Verdana"/>
          <w:b/>
          <w:noProof/>
          <w:sz w:val="20"/>
          <w:szCs w:val="20"/>
          <w:lang w:val="en-GB"/>
        </w:rPr>
      </w:pPr>
      <w:r w:rsidRPr="00EC5F4B">
        <w:rPr>
          <w:rFonts w:ascii="Verdana" w:hAnsi="Verdana"/>
          <w:b/>
          <w:noProof/>
          <w:sz w:val="20"/>
          <w:szCs w:val="20"/>
          <w:lang w:val="en-GB"/>
        </w:rPr>
        <w:lastRenderedPageBreak/>
        <w:t>B</w:t>
      </w:r>
    </w:p>
    <w:p w14:paraId="70C57DA2" w14:textId="36574ADB" w:rsidR="007B6692" w:rsidRPr="00EC5F4B" w:rsidRDefault="00F5235F" w:rsidP="007B6692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noProof/>
          <w:sz w:val="20"/>
          <w:szCs w:val="20"/>
          <w:lang w:val="en-GB"/>
        </w:rPr>
        <w:drawing>
          <wp:inline distT="0" distB="0" distL="0" distR="0" wp14:anchorId="68921E61" wp14:editId="4DDF7CB0">
            <wp:extent cx="8226000" cy="50616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000" cy="50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1A3D7" w14:textId="77777777" w:rsidR="007B6692" w:rsidRPr="00EC5F4B" w:rsidRDefault="007B6692" w:rsidP="007B6692">
      <w:pPr>
        <w:rPr>
          <w:rFonts w:ascii="Verdana" w:hAnsi="Verdana"/>
          <w:sz w:val="16"/>
          <w:szCs w:val="16"/>
          <w:lang w:val="en-GB"/>
        </w:rPr>
      </w:pPr>
    </w:p>
    <w:p w14:paraId="19A74FD7" w14:textId="77777777" w:rsidR="007B6692" w:rsidRPr="00EC5F4B" w:rsidRDefault="007B6692" w:rsidP="007B6692">
      <w:pPr>
        <w:rPr>
          <w:rFonts w:ascii="Verdana" w:hAnsi="Verdana"/>
          <w:b/>
          <w:sz w:val="20"/>
          <w:szCs w:val="16"/>
          <w:lang w:val="en-GB"/>
        </w:rPr>
      </w:pPr>
    </w:p>
    <w:p w14:paraId="42AEB1B0" w14:textId="77777777" w:rsidR="007B6692" w:rsidRPr="00EC5F4B" w:rsidRDefault="007B6692" w:rsidP="007B6692">
      <w:pPr>
        <w:rPr>
          <w:rFonts w:ascii="Verdana" w:hAnsi="Verdana"/>
          <w:b/>
          <w:sz w:val="20"/>
          <w:szCs w:val="16"/>
          <w:lang w:val="en-GB"/>
        </w:rPr>
      </w:pPr>
      <w:r w:rsidRPr="00EC5F4B">
        <w:rPr>
          <w:rFonts w:ascii="Verdana" w:hAnsi="Verdana"/>
          <w:b/>
          <w:sz w:val="20"/>
          <w:szCs w:val="16"/>
          <w:lang w:val="en-GB"/>
        </w:rPr>
        <w:lastRenderedPageBreak/>
        <w:t>C</w:t>
      </w:r>
    </w:p>
    <w:p w14:paraId="42E38AD3" w14:textId="50566317" w:rsidR="007B6692" w:rsidRPr="00EC5F4B" w:rsidRDefault="00F5235F" w:rsidP="007B6692">
      <w:pPr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noProof/>
          <w:sz w:val="16"/>
          <w:szCs w:val="16"/>
          <w:lang w:val="en-GB"/>
        </w:rPr>
        <w:drawing>
          <wp:inline distT="0" distB="0" distL="0" distR="0" wp14:anchorId="759AD15F" wp14:editId="1D245794">
            <wp:extent cx="8226000" cy="50616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000" cy="50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18AFC" w14:textId="77777777" w:rsidR="007B6692" w:rsidRPr="00EC5F4B" w:rsidRDefault="007B6692" w:rsidP="007B6692">
      <w:pPr>
        <w:rPr>
          <w:rFonts w:ascii="Verdana" w:hAnsi="Verdana"/>
          <w:sz w:val="16"/>
          <w:szCs w:val="16"/>
          <w:lang w:val="en-GB"/>
        </w:rPr>
      </w:pPr>
    </w:p>
    <w:p w14:paraId="094DA038" w14:textId="77777777" w:rsidR="007B6692" w:rsidRPr="00EC5F4B" w:rsidRDefault="007B6692" w:rsidP="007B6692">
      <w:pPr>
        <w:rPr>
          <w:rFonts w:ascii="Verdana" w:hAnsi="Verdana"/>
          <w:b/>
          <w:sz w:val="20"/>
          <w:szCs w:val="16"/>
          <w:lang w:val="en-GB"/>
        </w:rPr>
      </w:pPr>
    </w:p>
    <w:p w14:paraId="02084071" w14:textId="77777777" w:rsidR="007B6692" w:rsidRPr="00EC5F4B" w:rsidRDefault="007B6692" w:rsidP="007B6692">
      <w:pPr>
        <w:rPr>
          <w:rFonts w:ascii="Verdana" w:hAnsi="Verdana"/>
          <w:b/>
          <w:sz w:val="20"/>
          <w:szCs w:val="16"/>
          <w:lang w:val="en-GB"/>
        </w:rPr>
      </w:pPr>
      <w:r w:rsidRPr="00EC5F4B">
        <w:rPr>
          <w:rFonts w:ascii="Verdana" w:hAnsi="Verdana"/>
          <w:b/>
          <w:sz w:val="20"/>
          <w:szCs w:val="16"/>
          <w:lang w:val="en-GB"/>
        </w:rPr>
        <w:lastRenderedPageBreak/>
        <w:t>D</w:t>
      </w:r>
    </w:p>
    <w:p w14:paraId="119CD617" w14:textId="1D4279BE" w:rsidR="007B6692" w:rsidRPr="00EC5F4B" w:rsidRDefault="00F5235F" w:rsidP="007B6692">
      <w:pPr>
        <w:rPr>
          <w:rFonts w:ascii="Verdana" w:hAnsi="Verdana"/>
          <w:b/>
          <w:sz w:val="20"/>
          <w:szCs w:val="16"/>
          <w:lang w:val="en-GB"/>
        </w:rPr>
      </w:pPr>
      <w:r>
        <w:rPr>
          <w:rFonts w:ascii="Verdana" w:hAnsi="Verdana"/>
          <w:b/>
          <w:noProof/>
          <w:sz w:val="20"/>
          <w:szCs w:val="16"/>
          <w:lang w:val="en-GB"/>
        </w:rPr>
        <w:drawing>
          <wp:inline distT="0" distB="0" distL="0" distR="0" wp14:anchorId="77ACD2BA" wp14:editId="1A45338F">
            <wp:extent cx="8226000" cy="5061600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000" cy="50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CDFC2F" w14:textId="77777777" w:rsidR="007B6692" w:rsidRPr="00EC5F4B" w:rsidRDefault="007B6692" w:rsidP="007B6692">
      <w:pPr>
        <w:rPr>
          <w:rFonts w:ascii="Verdana" w:hAnsi="Verdana"/>
          <w:sz w:val="16"/>
          <w:szCs w:val="16"/>
          <w:lang w:val="en-GB"/>
        </w:rPr>
        <w:sectPr w:rsidR="007B6692" w:rsidRPr="00EC5F4B" w:rsidSect="008F1FA8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EC5F4B">
        <w:rPr>
          <w:rFonts w:ascii="Verdana" w:hAnsi="Verdana"/>
          <w:sz w:val="16"/>
          <w:szCs w:val="16"/>
          <w:lang w:val="en-GB"/>
        </w:rPr>
        <w:t>Error bars represent 95% CI. p&gt;0.05 reported as NS.</w:t>
      </w:r>
      <w:r w:rsidRPr="00EC5F4B">
        <w:rPr>
          <w:rFonts w:ascii="Verdana" w:hAnsi="Verdana"/>
          <w:sz w:val="16"/>
          <w:szCs w:val="16"/>
          <w:lang w:val="en-GB"/>
        </w:rPr>
        <w:br/>
        <w:t xml:space="preserve">CI, confidence interval; ETD, estimated treatment difference; exe ER, exenatide extended release; HDL, high-density lipoprotein;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IGlar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insulin glargine; </w:t>
      </w:r>
      <w:r w:rsidRPr="00EC5F4B">
        <w:rPr>
          <w:rFonts w:ascii="Verdana" w:hAnsi="Verdana"/>
          <w:sz w:val="16"/>
          <w:szCs w:val="16"/>
          <w:lang w:val="en-GB"/>
        </w:rPr>
        <w:br/>
        <w:t xml:space="preserve">LDL, low-density lipoprotein; lira, liraglutide; MET, metformin; NS, non-significant; SE, standard error;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sema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semaglutide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;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sita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sitagliptin; SU,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sulphonylurea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>.</w:t>
      </w:r>
    </w:p>
    <w:p w14:paraId="21508106" w14:textId="77777777" w:rsidR="007B6692" w:rsidRPr="00EC5F4B" w:rsidRDefault="007B6692" w:rsidP="007B6692">
      <w:pPr>
        <w:rPr>
          <w:rFonts w:ascii="Verdana" w:hAnsi="Verdana"/>
          <w:b/>
          <w:sz w:val="20"/>
          <w:szCs w:val="20"/>
          <w:lang w:val="en-GB"/>
        </w:rPr>
      </w:pPr>
      <w:r w:rsidRPr="00EC5F4B">
        <w:rPr>
          <w:rFonts w:ascii="Verdana" w:hAnsi="Verdana"/>
          <w:b/>
          <w:sz w:val="20"/>
          <w:szCs w:val="20"/>
          <w:lang w:val="en-GB"/>
        </w:rPr>
        <w:lastRenderedPageBreak/>
        <w:t xml:space="preserve">Supplementary Figure S4. </w:t>
      </w:r>
      <w:r w:rsidRPr="00EC5F4B">
        <w:rPr>
          <w:rFonts w:ascii="Verdana" w:hAnsi="Verdana" w:cs="Arial"/>
          <w:sz w:val="20"/>
          <w:szCs w:val="20"/>
          <w:lang w:val="en-GB"/>
        </w:rPr>
        <w:t>Change in eGFR from baseline to EOT and difference vs comparator by background OAD subgroup</w:t>
      </w:r>
    </w:p>
    <w:p w14:paraId="287296E0" w14:textId="0483B80C" w:rsidR="007B6692" w:rsidRPr="00EC5F4B" w:rsidRDefault="00F5235F" w:rsidP="007B6692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noProof/>
          <w:sz w:val="20"/>
          <w:szCs w:val="20"/>
          <w:lang w:val="en-GB"/>
        </w:rPr>
        <w:drawing>
          <wp:inline distT="0" distB="0" distL="0" distR="0" wp14:anchorId="130A641F" wp14:editId="4C385BBB">
            <wp:extent cx="8226000" cy="506160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6000" cy="50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2E518" w14:textId="77777777" w:rsidR="007B6692" w:rsidRPr="00EC5F4B" w:rsidRDefault="007B6692" w:rsidP="007B6692">
      <w:pPr>
        <w:rPr>
          <w:rFonts w:ascii="Verdana" w:hAnsi="Verdana"/>
          <w:sz w:val="16"/>
          <w:szCs w:val="16"/>
          <w:lang w:val="en-GB"/>
        </w:rPr>
      </w:pPr>
      <w:r w:rsidRPr="00EC5F4B">
        <w:rPr>
          <w:rFonts w:ascii="Verdana" w:hAnsi="Verdana"/>
          <w:sz w:val="16"/>
          <w:szCs w:val="16"/>
          <w:lang w:val="en-GB"/>
        </w:rPr>
        <w:t>Error bars represent 95% CI. p&gt;0.05 reported as NS.</w:t>
      </w:r>
      <w:r w:rsidRPr="00EC5F4B">
        <w:rPr>
          <w:rFonts w:ascii="Verdana" w:hAnsi="Verdana"/>
          <w:sz w:val="16"/>
          <w:szCs w:val="16"/>
          <w:lang w:val="en-GB"/>
        </w:rPr>
        <w:br/>
        <w:t xml:space="preserve">CI, confidence interval; eGFR, estimated glomerular filtration rate; ETD, estimated treatment difference; exe ER, exenatide extended release;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IGlar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insulin glargine; lira, liraglutide; MET, metformin; NS, non-significant; SE, standard error;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Sema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semaglutide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;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sita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 xml:space="preserve">, sitagliptin; SU, </w:t>
      </w:r>
      <w:proofErr w:type="spellStart"/>
      <w:r w:rsidRPr="00EC5F4B">
        <w:rPr>
          <w:rFonts w:ascii="Verdana" w:hAnsi="Verdana"/>
          <w:sz w:val="16"/>
          <w:szCs w:val="16"/>
          <w:lang w:val="en-GB"/>
        </w:rPr>
        <w:t>sulphonylurea</w:t>
      </w:r>
      <w:proofErr w:type="spellEnd"/>
      <w:r w:rsidRPr="00EC5F4B">
        <w:rPr>
          <w:rFonts w:ascii="Verdana" w:hAnsi="Verdana"/>
          <w:sz w:val="16"/>
          <w:szCs w:val="16"/>
          <w:lang w:val="en-GB"/>
        </w:rPr>
        <w:t>.</w:t>
      </w:r>
    </w:p>
    <w:sectPr w:rsidR="007B6692" w:rsidRPr="00EC5F4B" w:rsidSect="008F1FA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92"/>
    <w:rsid w:val="00382600"/>
    <w:rsid w:val="007B6692"/>
    <w:rsid w:val="00850579"/>
    <w:rsid w:val="008B6BEA"/>
    <w:rsid w:val="00AC2D13"/>
    <w:rsid w:val="00C30966"/>
    <w:rsid w:val="00F1027C"/>
    <w:rsid w:val="00F5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695D1"/>
  <w15:chartTrackingRefBased/>
  <w15:docId w15:val="{B3EE123D-8707-4080-80D0-2B1476B2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B6692"/>
    <w:pPr>
      <w:spacing w:line="256" w:lineRule="auto"/>
    </w:pPr>
    <w:rPr>
      <w:rFonts w:eastAsiaTheme="minorEastAsia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7C"/>
    <w:rPr>
      <w:rFonts w:ascii="Segoe UI" w:eastAsiaTheme="minorEastAsia" w:hAnsi="Segoe UI" w:cs="Segoe UI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unhideWhenUsed/>
    <w:rsid w:val="00AC2D1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2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13"/>
    <w:rPr>
      <w:rFonts w:eastAsiaTheme="minorEastAsia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13"/>
    <w:rPr>
      <w:rFonts w:eastAsiaTheme="minorEastAsia"/>
      <w:b/>
      <w:bCs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8B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clinicaltrials.gov/ct2/show/NCT03191396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nicaltrials.gov/ct2/show/NCT02128932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clinicaltrials.gov/ct2/show/NCT01885208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hyperlink" Target="https://clinicaltrials.gov/ct2/show/NCT01930188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1382</Words>
  <Characters>1382</Characters>
  <Application>Microsoft Office Word</Application>
  <DocSecurity>0</DocSecurity>
  <Lines>1382</Lines>
  <Paragraphs>1381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2</cp:revision>
  <dcterms:created xsi:type="dcterms:W3CDTF">2020-03-11T17:12:00Z</dcterms:created>
  <dcterms:modified xsi:type="dcterms:W3CDTF">2020-03-11T17:12:00Z</dcterms:modified>
</cp:coreProperties>
</file>