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D3847" w14:textId="77777777" w:rsidR="00AE0F2C" w:rsidRPr="006A2015" w:rsidRDefault="00AE0F2C" w:rsidP="00AE0F2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Supplementary table 1</w:t>
      </w:r>
      <w:r w:rsidRPr="004C1AFE">
        <w:rPr>
          <w:rFonts w:ascii="Times New Roman" w:hAnsi="Times New Roman" w:cs="Times New Roman"/>
          <w:b/>
          <w:sz w:val="24"/>
          <w:szCs w:val="24"/>
        </w:rPr>
        <w:t>:</w:t>
      </w:r>
      <w:r>
        <w:rPr>
          <w:rFonts w:ascii="Times New Roman" w:hAnsi="Times New Roman" w:cs="Times New Roman"/>
          <w:b/>
          <w:sz w:val="24"/>
          <w:szCs w:val="24"/>
        </w:rPr>
        <w:t xml:space="preserve"> Indications and p</w:t>
      </w:r>
      <w:r w:rsidRPr="00923D7A">
        <w:rPr>
          <w:rFonts w:ascii="Times New Roman" w:hAnsi="Times New Roman" w:cs="Times New Roman"/>
          <w:b/>
          <w:sz w:val="24"/>
          <w:szCs w:val="24"/>
        </w:rPr>
        <w:t xml:space="preserve">rerequisites for </w:t>
      </w:r>
      <w:r>
        <w:rPr>
          <w:rFonts w:ascii="Times New Roman" w:hAnsi="Times New Roman" w:cs="Times New Roman"/>
          <w:b/>
          <w:sz w:val="24"/>
          <w:szCs w:val="24"/>
        </w:rPr>
        <w:t>b</w:t>
      </w:r>
      <w:r w:rsidRPr="00923D7A">
        <w:rPr>
          <w:rFonts w:ascii="Times New Roman" w:hAnsi="Times New Roman" w:cs="Times New Roman"/>
          <w:b/>
          <w:sz w:val="24"/>
          <w:szCs w:val="24"/>
        </w:rPr>
        <w:t>asal</w:t>
      </w:r>
      <w:r>
        <w:rPr>
          <w:rFonts w:ascii="Times New Roman" w:hAnsi="Times New Roman" w:cs="Times New Roman"/>
          <w:b/>
          <w:sz w:val="24"/>
          <w:szCs w:val="24"/>
        </w:rPr>
        <w:t>-b</w:t>
      </w:r>
      <w:r w:rsidRPr="00923D7A">
        <w:rPr>
          <w:rFonts w:ascii="Times New Roman" w:hAnsi="Times New Roman" w:cs="Times New Roman"/>
          <w:b/>
          <w:sz w:val="24"/>
          <w:szCs w:val="24"/>
        </w:rPr>
        <w:t>olus</w:t>
      </w:r>
      <w:r>
        <w:rPr>
          <w:rFonts w:ascii="Times New Roman" w:hAnsi="Times New Roman" w:cs="Times New Roman"/>
          <w:b/>
          <w:sz w:val="24"/>
          <w:szCs w:val="24"/>
        </w:rPr>
        <w:t xml:space="preserve"> insulin r</w:t>
      </w:r>
      <w:r w:rsidRPr="00923D7A">
        <w:rPr>
          <w:rFonts w:ascii="Times New Roman" w:hAnsi="Times New Roman" w:cs="Times New Roman"/>
          <w:b/>
          <w:sz w:val="24"/>
          <w:szCs w:val="24"/>
        </w:rPr>
        <w:t>egimen</w:t>
      </w:r>
    </w:p>
    <w:p w14:paraId="01D4CFB7" w14:textId="77777777" w:rsidR="00AE0F2C" w:rsidRDefault="00C548DA" w:rsidP="00AE0F2C">
      <w:pPr>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14:anchorId="53B66B8A" wp14:editId="1EB1863C">
                <wp:simplePos x="0" y="0"/>
                <wp:positionH relativeFrom="column">
                  <wp:posOffset>-60687</wp:posOffset>
                </wp:positionH>
                <wp:positionV relativeFrom="paragraph">
                  <wp:posOffset>65587</wp:posOffset>
                </wp:positionV>
                <wp:extent cx="6334125" cy="6552565"/>
                <wp:effectExtent l="0" t="0" r="3175" b="63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4125" cy="6552565"/>
                        </a:xfrm>
                        <a:prstGeom prst="rect">
                          <a:avLst/>
                        </a:prstGeom>
                        <a:noFill/>
                        <a:ln w="3175" cap="flat" cmpd="sng" algn="ctr">
                          <a:solidFill>
                            <a:sysClr val="windowText" lastClr="000000"/>
                          </a:solidFill>
                          <a:prstDash val="solid"/>
                        </a:ln>
                        <a:effectLst/>
                      </wps:spPr>
                      <wps:txbx>
                        <w:txbxContent>
                          <w:p w14:paraId="36D82FE0" w14:textId="237E28EA" w:rsidR="00C548DA" w:rsidRDefault="00C548DA" w:rsidP="00C548DA"/>
                          <w:p w14:paraId="39F45C25" w14:textId="6E7FC7B0" w:rsidR="00C548DA" w:rsidRDefault="00C548DA" w:rsidP="00C548DA"/>
                          <w:p w14:paraId="371C9962" w14:textId="77777777" w:rsidR="00C548DA" w:rsidRDefault="00C548DA" w:rsidP="00C548D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66B8A" id="Rectangle 1" o:spid="_x0000_s1026" style="position:absolute;left:0;text-align:left;margin-left:-4.8pt;margin-top:5.15pt;width:498.75pt;height:51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" filled="f" strokecolor="windowText" strokeweight=".25pt">
                <v:path arrowok="t"/>
                <v:textbox>
                  <w:txbxContent>
                    <w:p w14:paraId="36D82FE0" w14:textId="237E28EA" w:rsidR="00C548DA" w:rsidRDefault="00C548DA" w:rsidP="00C548DA"/>
                    <w:p w14:paraId="39F45C25" w14:textId="6E7FC7B0" w:rsidR="00C548DA" w:rsidRDefault="00C548DA" w:rsidP="00C548DA"/>
                    <w:p w14:paraId="371C9962" w14:textId="77777777" w:rsidR="00C548DA" w:rsidRDefault="00C548DA" w:rsidP="00C548DA"/>
                  </w:txbxContent>
                </v:textbox>
              </v:rect>
            </w:pict>
          </mc:Fallback>
        </mc:AlternateContent>
      </w:r>
    </w:p>
    <w:p w14:paraId="5C3163BD" w14:textId="77777777" w:rsidR="00AE0F2C" w:rsidRPr="00AE0F2C" w:rsidRDefault="00AE0F2C" w:rsidP="00AE0F2C">
      <w:pPr>
        <w:spacing w:line="360" w:lineRule="auto"/>
        <w:jc w:val="both"/>
        <w:rPr>
          <w:rFonts w:ascii="Times New Roman" w:hAnsi="Times New Roman" w:cs="Times New Roman"/>
          <w:b/>
          <w:sz w:val="24"/>
          <w:szCs w:val="24"/>
        </w:rPr>
      </w:pPr>
      <w:r w:rsidRPr="00AE0F2C">
        <w:rPr>
          <w:rFonts w:ascii="Times New Roman" w:hAnsi="Times New Roman" w:cs="Times New Roman"/>
          <w:b/>
          <w:sz w:val="24"/>
          <w:szCs w:val="24"/>
        </w:rPr>
        <w:t>Indications</w:t>
      </w:r>
    </w:p>
    <w:p w14:paraId="6DCC35B5" w14:textId="77777777" w:rsidR="00AE0F2C" w:rsidRPr="00AE0F2C" w:rsidRDefault="00AE0F2C" w:rsidP="00AE0F2C">
      <w:pPr>
        <w:spacing w:line="360" w:lineRule="auto"/>
        <w:jc w:val="both"/>
        <w:rPr>
          <w:rFonts w:ascii="Times New Roman" w:hAnsi="Times New Roman" w:cs="Times New Roman"/>
          <w:sz w:val="24"/>
          <w:szCs w:val="24"/>
        </w:rPr>
      </w:pPr>
      <w:r w:rsidRPr="00AE0F2C">
        <w:rPr>
          <w:rFonts w:ascii="Times New Roman" w:hAnsi="Times New Roman" w:cs="Times New Roman"/>
          <w:sz w:val="24"/>
          <w:szCs w:val="24"/>
        </w:rPr>
        <w:t xml:space="preserve">1) Suboptimal blood glucose control with oral glucose lowering drugs and/or basal insulin and/or premixed insulin. </w:t>
      </w:r>
    </w:p>
    <w:p w14:paraId="4E354EC0" w14:textId="77777777" w:rsidR="00AE0F2C" w:rsidRPr="00AE0F2C" w:rsidRDefault="00AE0F2C" w:rsidP="00AE0F2C">
      <w:pPr>
        <w:spacing w:line="360" w:lineRule="auto"/>
        <w:jc w:val="both"/>
        <w:rPr>
          <w:rFonts w:ascii="Times New Roman" w:hAnsi="Times New Roman" w:cs="Times New Roman"/>
          <w:sz w:val="24"/>
          <w:szCs w:val="24"/>
        </w:rPr>
      </w:pPr>
      <w:r w:rsidRPr="00AE0F2C">
        <w:rPr>
          <w:rFonts w:ascii="Times New Roman" w:hAnsi="Times New Roman" w:cs="Times New Roman"/>
          <w:sz w:val="24"/>
          <w:szCs w:val="24"/>
        </w:rPr>
        <w:t>2) Use of oral glucose lowering drugs is not safe due to underlying organ dysfunction.</w:t>
      </w:r>
    </w:p>
    <w:p w14:paraId="6E1AE819" w14:textId="77777777" w:rsidR="00AE0F2C" w:rsidRPr="00AE0F2C" w:rsidRDefault="00AE0F2C" w:rsidP="00AE0F2C">
      <w:pPr>
        <w:spacing w:line="360" w:lineRule="auto"/>
        <w:jc w:val="both"/>
        <w:rPr>
          <w:rFonts w:ascii="Times New Roman" w:hAnsi="Times New Roman" w:cs="Times New Roman"/>
          <w:sz w:val="24"/>
          <w:szCs w:val="24"/>
        </w:rPr>
      </w:pPr>
      <w:r w:rsidRPr="00AE0F2C">
        <w:rPr>
          <w:rFonts w:ascii="Times New Roman" w:hAnsi="Times New Roman" w:cs="Times New Roman"/>
          <w:sz w:val="24"/>
          <w:szCs w:val="24"/>
        </w:rPr>
        <w:t xml:space="preserve">3) Escalation or initiation of oral glucose lowering drugs is likely to cause delay and   adversely affect clinical outcomes  </w:t>
      </w:r>
    </w:p>
    <w:p w14:paraId="19470ACF" w14:textId="77777777" w:rsidR="00AE0F2C" w:rsidRPr="00AE0F2C" w:rsidRDefault="00AE0F2C" w:rsidP="00AE0F2C">
      <w:pPr>
        <w:spacing w:line="360" w:lineRule="auto"/>
        <w:jc w:val="both"/>
        <w:rPr>
          <w:rFonts w:ascii="Times New Roman" w:hAnsi="Times New Roman" w:cs="Times New Roman"/>
          <w:sz w:val="24"/>
          <w:szCs w:val="24"/>
        </w:rPr>
      </w:pPr>
      <w:r w:rsidRPr="00AE0F2C">
        <w:rPr>
          <w:rFonts w:ascii="Times New Roman" w:hAnsi="Times New Roman" w:cs="Times New Roman"/>
          <w:sz w:val="24"/>
          <w:szCs w:val="24"/>
        </w:rPr>
        <w:t xml:space="preserve">4) Transition from intravenous insulin infusion to a subcutaneous insulin regimen. </w:t>
      </w:r>
    </w:p>
    <w:p w14:paraId="55766743" w14:textId="77777777" w:rsidR="00AE0F2C" w:rsidRPr="00AE0F2C" w:rsidRDefault="00AE0F2C" w:rsidP="00AE0F2C">
      <w:pPr>
        <w:spacing w:line="360" w:lineRule="auto"/>
        <w:jc w:val="both"/>
        <w:rPr>
          <w:rFonts w:ascii="Times New Roman" w:hAnsi="Times New Roman" w:cs="Times New Roman"/>
          <w:sz w:val="24"/>
          <w:szCs w:val="24"/>
        </w:rPr>
      </w:pPr>
      <w:r w:rsidRPr="00AE0F2C">
        <w:rPr>
          <w:rFonts w:ascii="Times New Roman" w:hAnsi="Times New Roman" w:cs="Times New Roman"/>
          <w:sz w:val="24"/>
          <w:szCs w:val="24"/>
        </w:rPr>
        <w:t>5) Patient was already using this regimen prior to hospital admission.</w:t>
      </w:r>
    </w:p>
    <w:p w14:paraId="3A645ACB" w14:textId="77777777" w:rsidR="00AE0F2C" w:rsidRPr="00AE0F2C" w:rsidRDefault="00AE0F2C" w:rsidP="00AE0F2C">
      <w:pPr>
        <w:spacing w:line="360" w:lineRule="auto"/>
        <w:jc w:val="both"/>
        <w:rPr>
          <w:rFonts w:ascii="Times New Roman" w:hAnsi="Times New Roman" w:cs="Times New Roman"/>
          <w:b/>
          <w:sz w:val="24"/>
          <w:szCs w:val="24"/>
        </w:rPr>
      </w:pPr>
      <w:r w:rsidRPr="00AE0F2C">
        <w:rPr>
          <w:rFonts w:ascii="Times New Roman" w:hAnsi="Times New Roman" w:cs="Times New Roman"/>
          <w:b/>
          <w:sz w:val="24"/>
          <w:szCs w:val="24"/>
        </w:rPr>
        <w:t>Prerequisites</w:t>
      </w:r>
    </w:p>
    <w:p w14:paraId="36FBF557" w14:textId="77777777" w:rsidR="00AE0F2C" w:rsidRPr="00AE0F2C" w:rsidRDefault="00AE0F2C" w:rsidP="00AE0F2C">
      <w:pPr>
        <w:spacing w:line="360" w:lineRule="auto"/>
        <w:jc w:val="both"/>
        <w:rPr>
          <w:rFonts w:ascii="Times New Roman" w:hAnsi="Times New Roman" w:cs="Times New Roman"/>
          <w:b/>
          <w:sz w:val="24"/>
          <w:szCs w:val="24"/>
        </w:rPr>
      </w:pPr>
    </w:p>
    <w:p w14:paraId="7AFFCB0A" w14:textId="77777777" w:rsidR="00AE0F2C" w:rsidRDefault="00AE0F2C" w:rsidP="00AE0F2C">
      <w:pPr>
        <w:spacing w:line="360" w:lineRule="auto"/>
        <w:jc w:val="both"/>
        <w:rPr>
          <w:rFonts w:ascii="Times New Roman" w:hAnsi="Times New Roman" w:cs="Times New Roman"/>
          <w:sz w:val="24"/>
          <w:szCs w:val="24"/>
        </w:rPr>
      </w:pPr>
      <w:r w:rsidRPr="00AE0F2C">
        <w:rPr>
          <w:rFonts w:ascii="Times New Roman" w:hAnsi="Times New Roman" w:cs="Times New Roman"/>
          <w:sz w:val="24"/>
          <w:szCs w:val="24"/>
        </w:rPr>
        <w:t xml:space="preserve">1) Patient should be on a regular meal plan with fixed calories and carbohydrate proportion for each major and minor meal (or snack). </w:t>
      </w:r>
    </w:p>
    <w:p w14:paraId="421D46ED" w14:textId="77777777" w:rsidR="00AE0F2C" w:rsidRPr="00AE0F2C" w:rsidRDefault="00AE0F2C" w:rsidP="00AE0F2C">
      <w:pPr>
        <w:spacing w:line="360" w:lineRule="auto"/>
        <w:jc w:val="both"/>
        <w:rPr>
          <w:rFonts w:ascii="Times New Roman" w:hAnsi="Times New Roman" w:cs="Times New Roman"/>
          <w:sz w:val="24"/>
          <w:szCs w:val="24"/>
        </w:rPr>
      </w:pPr>
    </w:p>
    <w:p w14:paraId="7836DB85" w14:textId="77777777" w:rsidR="00AE0F2C" w:rsidRDefault="00AE0F2C" w:rsidP="00AE0F2C">
      <w:pPr>
        <w:rPr>
          <w:rFonts w:ascii="Times New Roman" w:hAnsi="Times New Roman" w:cs="Times New Roman"/>
          <w:sz w:val="24"/>
          <w:szCs w:val="24"/>
        </w:rPr>
      </w:pPr>
      <w:r w:rsidRPr="00AE0F2C">
        <w:rPr>
          <w:rFonts w:ascii="Times New Roman" w:hAnsi="Times New Roman" w:cs="Times New Roman"/>
          <w:sz w:val="24"/>
          <w:szCs w:val="24"/>
        </w:rPr>
        <w:t xml:space="preserve">2) Patient should consume 3 major and 3 minor meals or 3 major and 4 minor meals (if the interval between lunch and dinner is large).  </w:t>
      </w:r>
    </w:p>
    <w:p w14:paraId="6B906CF5" w14:textId="77777777" w:rsidR="00AE0F2C" w:rsidRPr="00AE0F2C" w:rsidRDefault="00AE0F2C" w:rsidP="00AE0F2C">
      <w:pPr>
        <w:rPr>
          <w:rFonts w:ascii="Times New Roman" w:hAnsi="Times New Roman" w:cs="Times New Roman"/>
          <w:sz w:val="24"/>
          <w:szCs w:val="24"/>
        </w:rPr>
      </w:pPr>
    </w:p>
    <w:p w14:paraId="1EB0E5B9" w14:textId="77777777" w:rsidR="00AE0F2C" w:rsidRDefault="00AE0F2C" w:rsidP="00AE0F2C">
      <w:pPr>
        <w:rPr>
          <w:rFonts w:ascii="Times New Roman" w:hAnsi="Times New Roman" w:cs="Times New Roman"/>
          <w:sz w:val="24"/>
          <w:szCs w:val="24"/>
        </w:rPr>
      </w:pPr>
      <w:r w:rsidRPr="00AE0F2C">
        <w:rPr>
          <w:rFonts w:ascii="Times New Roman" w:hAnsi="Times New Roman" w:cs="Times New Roman"/>
          <w:sz w:val="24"/>
          <w:szCs w:val="24"/>
        </w:rPr>
        <w:t>3) There should be a gap of at least two hours between a major meal and minor meal.</w:t>
      </w:r>
    </w:p>
    <w:p w14:paraId="0369A149" w14:textId="77777777" w:rsidR="00AE0F2C" w:rsidRPr="00AE0F2C" w:rsidRDefault="00AE0F2C" w:rsidP="00AE0F2C">
      <w:pPr>
        <w:rPr>
          <w:rFonts w:ascii="Times New Roman" w:hAnsi="Times New Roman" w:cs="Times New Roman"/>
          <w:sz w:val="24"/>
          <w:szCs w:val="24"/>
        </w:rPr>
      </w:pPr>
    </w:p>
    <w:p w14:paraId="065D0E0B" w14:textId="77777777" w:rsidR="00AE0F2C" w:rsidRPr="00AE0F2C" w:rsidRDefault="00AE0F2C" w:rsidP="00AE0F2C">
      <w:pPr>
        <w:rPr>
          <w:rFonts w:ascii="Times New Roman" w:hAnsi="Times New Roman" w:cs="Times New Roman"/>
          <w:sz w:val="24"/>
          <w:szCs w:val="24"/>
        </w:rPr>
      </w:pPr>
      <w:r w:rsidRPr="00AE0F2C">
        <w:rPr>
          <w:rFonts w:ascii="Times New Roman" w:hAnsi="Times New Roman" w:cs="Times New Roman"/>
          <w:sz w:val="24"/>
          <w:szCs w:val="24"/>
        </w:rPr>
        <w:t>4) Meal timings (both major and minor) should be relatively fixed.</w:t>
      </w:r>
    </w:p>
    <w:p w14:paraId="3AF06907" w14:textId="77777777" w:rsidR="00AE0F2C" w:rsidRDefault="00AE0F2C" w:rsidP="00AE0F2C">
      <w:pPr>
        <w:spacing w:after="0" w:line="240" w:lineRule="auto"/>
        <w:jc w:val="both"/>
        <w:rPr>
          <w:rFonts w:ascii="Times New Roman" w:hAnsi="Times New Roman" w:cs="Times New Roman"/>
          <w:sz w:val="24"/>
          <w:szCs w:val="24"/>
        </w:rPr>
      </w:pPr>
    </w:p>
    <w:p w14:paraId="33FA11C1" w14:textId="77777777" w:rsidR="00C83C49" w:rsidRDefault="00C83C49"/>
    <w:p w14:paraId="1B87D549" w14:textId="77777777" w:rsidR="00AE0F2C" w:rsidRDefault="00AE0F2C"/>
    <w:p w14:paraId="450DFF87" w14:textId="77777777" w:rsidR="00AE0F2C" w:rsidRDefault="00AE0F2C" w:rsidP="00AE0F2C">
      <w:pPr>
        <w:spacing w:before="240" w:after="200" w:line="360" w:lineRule="auto"/>
        <w:jc w:val="both"/>
        <w:rPr>
          <w:rFonts w:ascii="Times New Roman" w:eastAsia="Calibri" w:hAnsi="Times New Roman" w:cs="Times New Roman"/>
          <w:b/>
          <w:sz w:val="24"/>
          <w:szCs w:val="24"/>
          <w:lang w:val="en-IN"/>
        </w:rPr>
      </w:pPr>
    </w:p>
    <w:p w14:paraId="4510A5C0" w14:textId="77777777" w:rsidR="00AE0F2C" w:rsidRDefault="00AE0F2C" w:rsidP="00AE0F2C">
      <w:pPr>
        <w:spacing w:before="240" w:after="200" w:line="360" w:lineRule="auto"/>
        <w:jc w:val="both"/>
        <w:rPr>
          <w:rFonts w:ascii="Times New Roman" w:eastAsia="Calibri" w:hAnsi="Times New Roman" w:cs="Times New Roman"/>
          <w:b/>
          <w:sz w:val="24"/>
          <w:szCs w:val="24"/>
          <w:lang w:val="en-IN"/>
        </w:rPr>
      </w:pPr>
    </w:p>
    <w:p w14:paraId="2AB38A12" w14:textId="77777777" w:rsidR="00AE0F2C" w:rsidRPr="00AE0F2C" w:rsidRDefault="00AE0F2C" w:rsidP="00AE0F2C">
      <w:pPr>
        <w:spacing w:before="240" w:after="200" w:line="360" w:lineRule="auto"/>
        <w:jc w:val="both"/>
        <w:rPr>
          <w:rFonts w:ascii="Times New Roman" w:eastAsia="Calibri" w:hAnsi="Times New Roman" w:cs="Times New Roman"/>
          <w:b/>
          <w:sz w:val="24"/>
          <w:szCs w:val="24"/>
          <w:lang w:val="en-IN"/>
        </w:rPr>
      </w:pPr>
      <w:r w:rsidRPr="00AE0F2C">
        <w:rPr>
          <w:rFonts w:ascii="Times New Roman" w:eastAsia="Calibri" w:hAnsi="Times New Roman" w:cs="Times New Roman"/>
          <w:b/>
          <w:sz w:val="24"/>
          <w:szCs w:val="24"/>
          <w:lang w:val="en-IN"/>
        </w:rPr>
        <w:lastRenderedPageBreak/>
        <w:t>Supplementary table 2:  Deciding insulin dose while starting basal-bolus insulin regimen</w:t>
      </w:r>
    </w:p>
    <w:tbl>
      <w:tblPr>
        <w:tblStyle w:val="TableGrid1"/>
        <w:tblW w:w="0" w:type="auto"/>
        <w:tblInd w:w="-432" w:type="dxa"/>
        <w:tblLook w:val="04A0" w:firstRow="1" w:lastRow="0" w:firstColumn="1" w:lastColumn="0" w:noHBand="0" w:noVBand="1"/>
      </w:tblPr>
      <w:tblGrid>
        <w:gridCol w:w="2160"/>
        <w:gridCol w:w="7514"/>
      </w:tblGrid>
      <w:tr w:rsidR="00AE0F2C" w:rsidRPr="00AE0F2C" w14:paraId="01D0E9E0" w14:textId="77777777" w:rsidTr="00A82427">
        <w:tc>
          <w:tcPr>
            <w:tcW w:w="2160" w:type="dxa"/>
          </w:tcPr>
          <w:p w14:paraId="44C4ADC7" w14:textId="77777777" w:rsidR="00AE0F2C" w:rsidRPr="00AE0F2C" w:rsidRDefault="00AE0F2C" w:rsidP="00AE0F2C">
            <w:pPr>
              <w:jc w:val="both"/>
              <w:rPr>
                <w:rFonts w:ascii="Times New Roman" w:eastAsia="Calibri" w:hAnsi="Times New Roman" w:cs="Times New Roman"/>
                <w:b/>
                <w:sz w:val="24"/>
                <w:szCs w:val="24"/>
              </w:rPr>
            </w:pPr>
            <w:r w:rsidRPr="00AE0F2C">
              <w:rPr>
                <w:rFonts w:ascii="Times New Roman" w:eastAsia="Calibri" w:hAnsi="Times New Roman" w:cs="Times New Roman"/>
                <w:b/>
                <w:sz w:val="24"/>
                <w:szCs w:val="24"/>
              </w:rPr>
              <w:t>Condition</w:t>
            </w:r>
          </w:p>
        </w:tc>
        <w:tc>
          <w:tcPr>
            <w:tcW w:w="7514" w:type="dxa"/>
          </w:tcPr>
          <w:p w14:paraId="484B91F2" w14:textId="77777777" w:rsidR="00AE0F2C" w:rsidRPr="00AE0F2C" w:rsidRDefault="00AE0F2C" w:rsidP="00AE0F2C">
            <w:pPr>
              <w:jc w:val="both"/>
              <w:rPr>
                <w:rFonts w:ascii="Times New Roman" w:eastAsia="Calibri" w:hAnsi="Times New Roman" w:cs="Times New Roman"/>
                <w:b/>
                <w:sz w:val="24"/>
                <w:szCs w:val="24"/>
              </w:rPr>
            </w:pPr>
            <w:r w:rsidRPr="00AE0F2C">
              <w:rPr>
                <w:rFonts w:ascii="Times New Roman" w:eastAsia="Calibri" w:hAnsi="Times New Roman" w:cs="Times New Roman"/>
                <w:b/>
                <w:sz w:val="24"/>
                <w:szCs w:val="24"/>
              </w:rPr>
              <w:t xml:space="preserve">Starting dose </w:t>
            </w:r>
          </w:p>
          <w:p w14:paraId="162AC4E9" w14:textId="77777777" w:rsidR="00AE0F2C" w:rsidRPr="00AE0F2C" w:rsidRDefault="00AE0F2C" w:rsidP="00AE0F2C">
            <w:pPr>
              <w:jc w:val="both"/>
              <w:rPr>
                <w:rFonts w:ascii="Times New Roman" w:eastAsia="Calibri" w:hAnsi="Times New Roman" w:cs="Times New Roman"/>
                <w:b/>
                <w:sz w:val="24"/>
                <w:szCs w:val="24"/>
              </w:rPr>
            </w:pPr>
          </w:p>
        </w:tc>
      </w:tr>
      <w:tr w:rsidR="00AE0F2C" w:rsidRPr="00AE0F2C" w14:paraId="3C75F57C" w14:textId="77777777" w:rsidTr="00A82427">
        <w:tc>
          <w:tcPr>
            <w:tcW w:w="2160" w:type="dxa"/>
          </w:tcPr>
          <w:p w14:paraId="46A8F7F0"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Patients already on basal bolus regimen prior to admission</w:t>
            </w:r>
          </w:p>
        </w:tc>
        <w:tc>
          <w:tcPr>
            <w:tcW w:w="7514" w:type="dxa"/>
          </w:tcPr>
          <w:p w14:paraId="5B3C898E"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 xml:space="preserve">Can continue the same dose if blood glucose is well controlled. Further adjustments can be made based on blood glucose monitoring. </w:t>
            </w:r>
          </w:p>
        </w:tc>
      </w:tr>
      <w:tr w:rsidR="00AE0F2C" w:rsidRPr="00AE0F2C" w14:paraId="02C161D5" w14:textId="77777777" w:rsidTr="00A82427">
        <w:tc>
          <w:tcPr>
            <w:tcW w:w="2160" w:type="dxa"/>
          </w:tcPr>
          <w:p w14:paraId="14577B47"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Insulin naïve patients</w:t>
            </w:r>
          </w:p>
        </w:tc>
        <w:tc>
          <w:tcPr>
            <w:tcW w:w="7514" w:type="dxa"/>
          </w:tcPr>
          <w:p w14:paraId="7B21157A"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Insulin can be initi</w:t>
            </w:r>
            <w:r w:rsidR="00BA0706">
              <w:rPr>
                <w:rFonts w:ascii="Times New Roman" w:eastAsia="Calibri" w:hAnsi="Times New Roman" w:cs="Times New Roman"/>
                <w:sz w:val="24"/>
                <w:szCs w:val="24"/>
              </w:rPr>
              <w:t>ated at an empirical TDD of 0.4 units/kg/day</w:t>
            </w:r>
            <w:r w:rsidRPr="00AE0F2C">
              <w:rPr>
                <w:rFonts w:ascii="Times New Roman" w:eastAsia="Calibri" w:hAnsi="Times New Roman" w:cs="Times New Roman"/>
                <w:sz w:val="24"/>
                <w:szCs w:val="24"/>
              </w:rPr>
              <w:t xml:space="preserve">. </w:t>
            </w:r>
          </w:p>
          <w:p w14:paraId="3F41DC7C" w14:textId="77777777" w:rsidR="00AE0F2C" w:rsidRPr="00AE0F2C" w:rsidRDefault="00BA0706" w:rsidP="00AE0F2C">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TDD should be reduced to 0.2 units/kg/day</w:t>
            </w:r>
            <w:r w:rsidR="00AE0F2C" w:rsidRPr="00AE0F2C">
              <w:rPr>
                <w:rFonts w:ascii="Times New Roman" w:eastAsia="Calibri" w:hAnsi="Times New Roman" w:cs="Times New Roman"/>
                <w:sz w:val="24"/>
                <w:szCs w:val="24"/>
              </w:rPr>
              <w:t xml:space="preserve"> in elderly patients (&gt;65 year), and in those with renal dysfunction, liver disease, cardiac disease, autonomic neuropathy or hypoglycemia unawareness.</w:t>
            </w:r>
          </w:p>
          <w:p w14:paraId="5CB461ED"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When regular insulin is used for prandial coverage, divide calculated TDD into four equal portions. One portion for basal insulin injection and one portion each for three prandial insulin injections (25% of TDD for each insulin injection). When an insulin analogue is used for prandial coverage, divide TDD as 50% for basal insulin and 50% for prandial insulin (further divided into three equal portions for each meals).</w:t>
            </w:r>
          </w:p>
          <w:p w14:paraId="0F1DBBFC" w14:textId="77777777" w:rsidR="00AE0F2C" w:rsidRPr="00AE0F2C" w:rsidRDefault="00AE0F2C" w:rsidP="00AE0F2C">
            <w:pPr>
              <w:spacing w:line="360" w:lineRule="auto"/>
              <w:jc w:val="both"/>
              <w:rPr>
                <w:rFonts w:ascii="Times New Roman" w:eastAsia="Calibri" w:hAnsi="Times New Roman" w:cs="Times New Roman"/>
                <w:sz w:val="24"/>
                <w:szCs w:val="24"/>
              </w:rPr>
            </w:pPr>
          </w:p>
        </w:tc>
      </w:tr>
      <w:tr w:rsidR="00AE0F2C" w:rsidRPr="00AE0F2C" w14:paraId="59B06A66" w14:textId="77777777" w:rsidTr="00A82427">
        <w:tc>
          <w:tcPr>
            <w:tcW w:w="2160" w:type="dxa"/>
          </w:tcPr>
          <w:p w14:paraId="4FD2CD18"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Transition from intravenous insulin infusion to basal-bolus regimen</w:t>
            </w:r>
          </w:p>
        </w:tc>
        <w:tc>
          <w:tcPr>
            <w:tcW w:w="7514" w:type="dxa"/>
          </w:tcPr>
          <w:p w14:paraId="6512EBB5"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 xml:space="preserve">TDD is calculated as 80% of the total daily insulin requirement on intravenous infusion in the last 24-48 hours. </w:t>
            </w:r>
          </w:p>
          <w:p w14:paraId="21E9755E" w14:textId="77777777" w:rsidR="00AE0F2C" w:rsidRPr="00AE0F2C" w:rsidRDefault="00AE0F2C" w:rsidP="00AE0F2C">
            <w:pPr>
              <w:spacing w:line="360" w:lineRule="auto"/>
              <w:jc w:val="both"/>
              <w:rPr>
                <w:rFonts w:ascii="Times New Roman" w:eastAsia="Calibri" w:hAnsi="Times New Roman" w:cs="Times New Roman"/>
                <w:sz w:val="24"/>
                <w:szCs w:val="24"/>
                <w:vertAlign w:val="superscript"/>
              </w:rPr>
            </w:pPr>
            <w:r w:rsidRPr="00AE0F2C">
              <w:rPr>
                <w:rFonts w:ascii="Times New Roman" w:eastAsia="Calibri" w:hAnsi="Times New Roman" w:cs="Times New Roman"/>
                <w:sz w:val="24"/>
                <w:szCs w:val="24"/>
              </w:rPr>
              <w:t xml:space="preserve">TDD can be </w:t>
            </w:r>
            <w:r w:rsidRPr="00AE0F2C">
              <w:rPr>
                <w:rFonts w:ascii="Times New Roman" w:eastAsia="Calibri" w:hAnsi="Times New Roman" w:cs="Times New Roman"/>
                <w:color w:val="000000"/>
                <w:sz w:val="24"/>
                <w:szCs w:val="24"/>
              </w:rPr>
              <w:t xml:space="preserve">proportionately </w:t>
            </w:r>
            <w:r w:rsidRPr="00AE0F2C">
              <w:rPr>
                <w:rFonts w:ascii="Times New Roman" w:eastAsia="Calibri" w:hAnsi="Times New Roman" w:cs="Times New Roman"/>
                <w:sz w:val="24"/>
                <w:szCs w:val="24"/>
              </w:rPr>
              <w:t>divided into basal and prandial components as described above.</w:t>
            </w:r>
          </w:p>
          <w:p w14:paraId="14485F3C"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 xml:space="preserve">However, in case a marked difference in intravenous insulin requirement is evident across the different segments, insulin requirements for each segment should be calculated separately as follows: </w:t>
            </w:r>
          </w:p>
          <w:p w14:paraId="377A2A3C"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BBF prandial insulin: Breakfast to lunch segment (8 am to 1 pm)</w:t>
            </w:r>
          </w:p>
          <w:p w14:paraId="64B3046E"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BL prandial insulin: Lunch to dinner segment (1 pm to 8 pm)</w:t>
            </w:r>
          </w:p>
          <w:p w14:paraId="42BDD87C"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BDN prandial insulin: Dinner to midnight segment (8 pm to 12 am)</w:t>
            </w:r>
          </w:p>
          <w:p w14:paraId="0826F5CD" w14:textId="77777777" w:rsidR="00AE0F2C" w:rsidRPr="00AE0F2C" w:rsidRDefault="00AE0F2C" w:rsidP="00AE0F2C">
            <w:pPr>
              <w:spacing w:line="360" w:lineRule="auto"/>
              <w:jc w:val="both"/>
              <w:rPr>
                <w:rFonts w:ascii="Times New Roman" w:eastAsia="Calibri" w:hAnsi="Times New Roman" w:cs="Times New Roman"/>
                <w:sz w:val="24"/>
                <w:szCs w:val="24"/>
              </w:rPr>
            </w:pPr>
            <w:r w:rsidRPr="00AE0F2C">
              <w:rPr>
                <w:rFonts w:ascii="Times New Roman" w:eastAsia="Calibri" w:hAnsi="Times New Roman" w:cs="Times New Roman"/>
                <w:sz w:val="24"/>
                <w:szCs w:val="24"/>
              </w:rPr>
              <w:t>ADN basal insulin:  Midnight to before breakfast segment (12 am to 8 am)</w:t>
            </w:r>
          </w:p>
        </w:tc>
      </w:tr>
    </w:tbl>
    <w:p w14:paraId="5FEEBC58" w14:textId="77777777" w:rsidR="00AE0F2C" w:rsidRPr="00AE0F2C" w:rsidRDefault="00AE0F2C" w:rsidP="00AE0F2C">
      <w:pPr>
        <w:spacing w:after="0" w:line="360" w:lineRule="auto"/>
        <w:jc w:val="both"/>
        <w:rPr>
          <w:rFonts w:ascii="Times New Roman" w:eastAsia="Calibri" w:hAnsi="Times New Roman" w:cs="Times New Roman"/>
          <w:sz w:val="24"/>
          <w:szCs w:val="24"/>
          <w:lang w:val="en-IN"/>
        </w:rPr>
      </w:pPr>
    </w:p>
    <w:p w14:paraId="2BE38D74" w14:textId="65BD11E9" w:rsidR="00AE0F2C" w:rsidRPr="00C548DA" w:rsidRDefault="00AE0F2C" w:rsidP="00C548DA">
      <w:pPr>
        <w:spacing w:after="0" w:line="360" w:lineRule="auto"/>
        <w:jc w:val="both"/>
        <w:rPr>
          <w:rFonts w:ascii="Times New Roman" w:eastAsia="Calibri" w:hAnsi="Times New Roman" w:cs="Times New Roman"/>
          <w:sz w:val="24"/>
          <w:szCs w:val="24"/>
          <w:lang w:val="en-IN"/>
        </w:rPr>
      </w:pPr>
      <w:r w:rsidRPr="00AE0F2C">
        <w:rPr>
          <w:rFonts w:ascii="Times New Roman" w:eastAsia="Calibri" w:hAnsi="Times New Roman" w:cs="Times New Roman"/>
          <w:sz w:val="24"/>
          <w:szCs w:val="24"/>
          <w:lang w:val="en-IN"/>
        </w:rPr>
        <w:t>ADN: After dinner, BBF: Before breakfast, BDN: Before dinner, BL: Before lunch, TDD: Total daily dose</w:t>
      </w:r>
      <w:bookmarkStart w:id="0" w:name="_GoBack"/>
      <w:bookmarkEnd w:id="0"/>
    </w:p>
    <w:sectPr w:rsidR="00AE0F2C" w:rsidRPr="00C548DA" w:rsidSect="005E21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D6227"/>
    <w:multiLevelType w:val="hybridMultilevel"/>
    <w:tmpl w:val="CA8A88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AB7577"/>
    <w:multiLevelType w:val="hybridMultilevel"/>
    <w:tmpl w:val="F6D273E8"/>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454CFD"/>
    <w:multiLevelType w:val="hybridMultilevel"/>
    <w:tmpl w:val="E820A8CC"/>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994FED"/>
    <w:multiLevelType w:val="hybridMultilevel"/>
    <w:tmpl w:val="19F64A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F2C"/>
    <w:rsid w:val="005E2129"/>
    <w:rsid w:val="00AE0F2C"/>
    <w:rsid w:val="00BA0706"/>
    <w:rsid w:val="00C548DA"/>
    <w:rsid w:val="00C83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322F5"/>
  <w15:docId w15:val="{C55211DE-1FD8-C44E-BDE4-C9D42702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21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F2C"/>
    <w:pPr>
      <w:spacing w:after="200" w:line="276" w:lineRule="auto"/>
      <w:ind w:left="720"/>
      <w:contextualSpacing/>
    </w:pPr>
    <w:rPr>
      <w:lang w:val="en-IN"/>
    </w:rPr>
  </w:style>
  <w:style w:type="table" w:customStyle="1" w:styleId="TableGrid1">
    <w:name w:val="Table Grid1"/>
    <w:basedOn w:val="TableNormal"/>
    <w:next w:val="TableGrid"/>
    <w:uiPriority w:val="59"/>
    <w:rsid w:val="00AE0F2C"/>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E0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dc:creator>
  <cp:lastModifiedBy>Yashdeep Gupta</cp:lastModifiedBy>
  <cp:revision>2</cp:revision>
  <dcterms:created xsi:type="dcterms:W3CDTF">2020-06-14T05:06:00Z</dcterms:created>
  <dcterms:modified xsi:type="dcterms:W3CDTF">2020-06-14T05:06:00Z</dcterms:modified>
</cp:coreProperties>
</file>