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05" w:firstLineChars="60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eastAsia" w:cs="Times New Roman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color w:val="000000"/>
          <w:kern w:val="0"/>
          <w:sz w:val="20"/>
          <w:szCs w:val="20"/>
        </w:rPr>
        <w:t>able S</w:t>
      </w:r>
      <w:r>
        <w:rPr>
          <w:rFonts w:hint="eastAsia" w:cs="Times New Roman"/>
          <w:b/>
          <w:color w:val="000000"/>
          <w:kern w:val="0"/>
          <w:sz w:val="20"/>
          <w:szCs w:val="20"/>
          <w:lang w:val="en-US" w:eastAsia="zh-CN"/>
        </w:rPr>
        <w:t>3</w:t>
      </w:r>
      <w:bookmarkStart w:id="0" w:name="_GoBack"/>
      <w:bookmarkEnd w:id="0"/>
      <w:r>
        <w:rPr>
          <w:rFonts w:hint="default" w:ascii="Times New Roman" w:hAnsi="Times New Roman" w:cs="Times New Roman"/>
          <w:b/>
          <w:color w:val="000000"/>
          <w:kern w:val="0"/>
          <w:sz w:val="20"/>
          <w:szCs w:val="20"/>
        </w:rPr>
        <w:t>. Subgroup analysis for GFR and proteinuria in group of actual intake ＞0.8 g/kg per day.</w:t>
      </w:r>
    </w:p>
    <w:tbl>
      <w:tblPr>
        <w:tblStyle w:val="4"/>
        <w:tblpPr w:leftFromText="180" w:rightFromText="180" w:vertAnchor="page" w:horzAnchor="page" w:tblpX="2779" w:tblpY="2243"/>
        <w:tblW w:w="1142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1170"/>
        <w:gridCol w:w="1905"/>
        <w:gridCol w:w="1005"/>
        <w:gridCol w:w="1125"/>
        <w:gridCol w:w="1875"/>
        <w:gridCol w:w="1005"/>
        <w:gridCol w:w="10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Subgroups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Number</w:t>
            </w:r>
          </w:p>
        </w:tc>
        <w:tc>
          <w:tcPr>
            <w:tcW w:w="403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GFR</w:t>
            </w:r>
          </w:p>
        </w:tc>
        <w:tc>
          <w:tcPr>
            <w:tcW w:w="391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Proteinuria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309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170" w:type="dxa"/>
            <w:vMerge w:val="continue"/>
            <w:tcBorders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MD (95% CI)</w:t>
            </w:r>
          </w:p>
        </w:tc>
        <w:tc>
          <w:tcPr>
            <w:tcW w:w="10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12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 xml:space="preserve"> value</w:t>
            </w: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SMD (95% CI)</w:t>
            </w:r>
          </w:p>
        </w:tc>
        <w:tc>
          <w:tcPr>
            <w:tcW w:w="10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03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70" w:type="dxa"/>
            <w:tcBorders>
              <w:top w:val="single" w:color="auto" w:sz="4" w:space="0"/>
            </w:tcBorders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0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0.19[-0.36,0.74]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87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-0.51[-1.12, 0.11]</w:t>
            </w:r>
          </w:p>
        </w:tc>
        <w:tc>
          <w:tcPr>
            <w:tcW w:w="1005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031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Type of DM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T1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 [-1.32, 1.75]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-1.39[-2.53,-0.24]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T2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 [-2.04, 2.38]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0.88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0.39[-0.23,1.01]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T1+T2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 [-0.43, 0.80]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0.55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-0.44[-1.47,0.59]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Intervention period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＜1 year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11.00[-9.21,31.21]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-2.72[-3.94,-1.50]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＜0.0001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1-3 years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0.22[-0.39,0.83]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-0.39[-1.01,0.24]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≥3 years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-0.01[-1.33,1.31]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0.02[-1.35,1.40]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Mean age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＜60 years old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0.17[-0.39,0.72]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0.56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-0.66[-1.43,0.12]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≥60 years old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1.60[-2.86,6.06]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0.48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0.09[-0.25,0.43]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GFR measures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Inulin clearance or CCr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1.93[-2.39,6.25]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-0.36[-1.45,0.73]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Radionuclide assay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0.20[-0.42,0.81]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0.53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-1.07[-2.27,0.13]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Formulas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-0.01[-1.33,1.31]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0.99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0.02[-1.35,1.40]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Area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European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0.20[-0.37,0.76]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-0.36[-0.90,0.18]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North America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7.00[-10.50,24.50]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0.43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-1.05[-2.16,0.05]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\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309" w:type="dxa"/>
            <w:shd w:val="clear" w:color="auto" w:fill="auto"/>
            <w:noWrap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Others</w:t>
            </w:r>
          </w:p>
        </w:tc>
        <w:tc>
          <w:tcPr>
            <w:tcW w:w="1170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0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0.72[-5.62,7.06]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2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0.82</w:t>
            </w:r>
          </w:p>
        </w:tc>
        <w:tc>
          <w:tcPr>
            <w:tcW w:w="1875" w:type="dxa"/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-0.95[-4.32,2.42]</w:t>
            </w:r>
          </w:p>
        </w:tc>
        <w:tc>
          <w:tcPr>
            <w:tcW w:w="1005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031" w:type="dxa"/>
            <w:shd w:val="clear" w:color="auto" w:fill="auto"/>
            <w:noWrap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0.58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left="210" w:leftChars="100" w:firstLine="1260" w:firstLineChars="600"/>
        <w:jc w:val="both"/>
      </w:pPr>
      <w:r>
        <w:t>T1, type 1 diabetes. T2, type 2 diabetes. DM, diabetes mellitus. GFR, Glomerular filtration rate. CCr, creatinine clearance.</w:t>
      </w:r>
      <w:r>
        <w:rPr>
          <w:rFonts w:hint="eastAsia"/>
        </w:rPr>
        <w:t xml:space="preserve"> </w:t>
      </w:r>
      <w:r>
        <w:t xml:space="preserve">MD, mean </w:t>
      </w:r>
    </w:p>
    <w:p>
      <w:pPr>
        <w:ind w:left="210" w:leftChars="100" w:firstLine="840" w:firstLineChars="400"/>
        <w:jc w:val="both"/>
      </w:pPr>
      <w:r>
        <w:t>difference. SMD, standardized mean difference.</w:t>
      </w:r>
      <w:r>
        <w:rPr>
          <w:rFonts w:hint="eastAsia"/>
        </w:rPr>
        <w:t xml:space="preserve"> CI, confidence interval.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B5"/>
    <w:rsid w:val="0038734C"/>
    <w:rsid w:val="006D439A"/>
    <w:rsid w:val="008958A8"/>
    <w:rsid w:val="00D66A24"/>
    <w:rsid w:val="00DF1DB5"/>
    <w:rsid w:val="03276E8D"/>
    <w:rsid w:val="11201C88"/>
    <w:rsid w:val="390258CF"/>
    <w:rsid w:val="5C7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2228</Characters>
  <Lines>18</Lines>
  <Paragraphs>5</Paragraphs>
  <TotalTime>0</TotalTime>
  <ScaleCrop>false</ScaleCrop>
  <LinksUpToDate>false</LinksUpToDate>
  <CharactersWithSpaces>2613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2020-07-20T10:45:00Z</dcterms:created>
  <dc:creator>Emma Lee</dc:creator>
  <cp:lastModifiedBy>Vincent·X</cp:lastModifiedBy>
  <dcterms:modified xsi:type="dcterms:W3CDTF">2020-08-23T13:38:05Z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