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1F" w:rsidRPr="007A0BB9" w:rsidRDefault="00087D1F" w:rsidP="00087D1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0BB9">
        <w:rPr>
          <w:rFonts w:ascii="Times New Roman" w:hAnsi="Times New Roman"/>
          <w:b/>
          <w:sz w:val="24"/>
          <w:szCs w:val="24"/>
        </w:rPr>
        <w:t xml:space="preserve">Table S1: </w:t>
      </w:r>
      <w:r w:rsidR="009D1CD9">
        <w:rPr>
          <w:rFonts w:ascii="Times New Roman" w:hAnsi="Times New Roman"/>
          <w:b/>
          <w:sz w:val="24"/>
          <w:szCs w:val="24"/>
        </w:rPr>
        <w:t>N</w:t>
      </w:r>
      <w:r w:rsidR="001A01BD" w:rsidRPr="007A0BB9">
        <w:rPr>
          <w:rFonts w:ascii="Times New Roman" w:hAnsi="Times New Roman"/>
          <w:b/>
          <w:sz w:val="24"/>
          <w:szCs w:val="24"/>
        </w:rPr>
        <w:t>umber of respondents</w:t>
      </w:r>
      <w:r w:rsidRPr="007A0BB9">
        <w:rPr>
          <w:rFonts w:ascii="Times New Roman" w:hAnsi="Times New Roman"/>
          <w:b/>
          <w:sz w:val="24"/>
          <w:szCs w:val="24"/>
        </w:rPr>
        <w:t xml:space="preserve"> </w:t>
      </w:r>
      <w:r w:rsidR="001A01BD" w:rsidRPr="007A0BB9">
        <w:rPr>
          <w:rFonts w:ascii="Times New Roman" w:hAnsi="Times New Roman"/>
          <w:b/>
          <w:sz w:val="24"/>
          <w:szCs w:val="24"/>
        </w:rPr>
        <w:t xml:space="preserve">on </w:t>
      </w:r>
      <w:r w:rsidR="003B578D" w:rsidRPr="007A0BB9">
        <w:rPr>
          <w:rFonts w:ascii="Times New Roman" w:hAnsi="Times New Roman"/>
          <w:b/>
          <w:sz w:val="24"/>
          <w:szCs w:val="24"/>
        </w:rPr>
        <w:t xml:space="preserve">the </w:t>
      </w:r>
      <w:r w:rsidRPr="007A0BB9">
        <w:rPr>
          <w:rFonts w:ascii="Times New Roman" w:hAnsi="Times New Roman"/>
          <w:b/>
          <w:sz w:val="24"/>
          <w:szCs w:val="24"/>
        </w:rPr>
        <w:t xml:space="preserve">9-point </w:t>
      </w:r>
      <w:proofErr w:type="spellStart"/>
      <w:r w:rsidR="001A01BD" w:rsidRPr="007A0BB9">
        <w:rPr>
          <w:rFonts w:ascii="Times New Roman" w:hAnsi="Times New Roman"/>
          <w:b/>
          <w:sz w:val="24"/>
          <w:szCs w:val="24"/>
        </w:rPr>
        <w:t>likert</w:t>
      </w:r>
      <w:proofErr w:type="spellEnd"/>
      <w:r w:rsidR="001A01BD" w:rsidRPr="007A0BB9">
        <w:rPr>
          <w:rFonts w:ascii="Times New Roman" w:hAnsi="Times New Roman"/>
          <w:b/>
          <w:sz w:val="24"/>
          <w:szCs w:val="24"/>
        </w:rPr>
        <w:t xml:space="preserve"> </w:t>
      </w:r>
      <w:r w:rsidRPr="007A0BB9">
        <w:rPr>
          <w:rFonts w:ascii="Times New Roman" w:hAnsi="Times New Roman"/>
          <w:b/>
          <w:sz w:val="24"/>
          <w:szCs w:val="24"/>
        </w:rPr>
        <w:t xml:space="preserve">scale </w:t>
      </w:r>
      <w:r w:rsidR="003B578D" w:rsidRPr="007A0BB9">
        <w:rPr>
          <w:rFonts w:ascii="Times New Roman" w:hAnsi="Times New Roman"/>
          <w:b/>
          <w:sz w:val="24"/>
          <w:szCs w:val="24"/>
        </w:rPr>
        <w:t>for each item under the statements.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7"/>
        <w:gridCol w:w="701"/>
        <w:gridCol w:w="700"/>
        <w:gridCol w:w="609"/>
        <w:gridCol w:w="91"/>
        <w:gridCol w:w="703"/>
        <w:gridCol w:w="944"/>
        <w:gridCol w:w="700"/>
        <w:gridCol w:w="700"/>
        <w:gridCol w:w="884"/>
        <w:gridCol w:w="884"/>
        <w:gridCol w:w="1151"/>
      </w:tblGrid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1A01BD" w:rsidRDefault="001A01BD" w:rsidP="001A0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1BD">
              <w:rPr>
                <w:rFonts w:ascii="Times New Roman" w:hAnsi="Times New Roman"/>
                <w:b/>
                <w:sz w:val="24"/>
                <w:szCs w:val="24"/>
              </w:rPr>
              <w:t>Statements</w:t>
            </w:r>
          </w:p>
        </w:tc>
        <w:tc>
          <w:tcPr>
            <w:tcW w:w="2846" w:type="pct"/>
            <w:gridSpan w:val="11"/>
          </w:tcPr>
          <w:p w:rsidR="001A01BD" w:rsidRPr="001A01BD" w:rsidRDefault="001A01BD" w:rsidP="001A0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1BD">
              <w:rPr>
                <w:rFonts w:ascii="Times New Roman" w:hAnsi="Times New Roman"/>
                <w:b/>
                <w:sz w:val="24"/>
                <w:szCs w:val="24"/>
              </w:rPr>
              <w:t>Likert scale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0" w:type="pct"/>
            <w:gridSpan w:val="2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3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" w:type="pct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06" w:type="pct"/>
            <w:shd w:val="clear" w:color="auto" w:fill="auto"/>
          </w:tcPr>
          <w:p w:rsidR="00087D1F" w:rsidRPr="0051603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037">
              <w:rPr>
                <w:rFonts w:ascii="Times New Roman" w:hAnsi="Times New Roman"/>
                <w:b/>
                <w:sz w:val="24"/>
                <w:szCs w:val="24"/>
              </w:rPr>
              <w:t>Tot</w:t>
            </w:r>
            <w:r w:rsidR="001A01BD" w:rsidRPr="00516037">
              <w:rPr>
                <w:rFonts w:ascii="Times New Roman" w:hAnsi="Times New Roman"/>
                <w:b/>
                <w:sz w:val="24"/>
                <w:szCs w:val="24"/>
              </w:rPr>
              <w:t>al</w:t>
            </w:r>
            <w:bookmarkStart w:id="0" w:name="_GoBack"/>
            <w:bookmarkEnd w:id="0"/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087D1F" w:rsidRDefault="001A01BD" w:rsidP="001A0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7D1F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Statement 1: Drug naïve T2DM patients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087D1F" w:rsidRDefault="001A01BD" w:rsidP="001A0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 of respondents</w:t>
            </w:r>
          </w:p>
        </w:tc>
      </w:tr>
      <w:tr w:rsidR="00087D1F" w:rsidRPr="00087D1F" w:rsidTr="003B578D">
        <w:trPr>
          <w:trHeight w:val="386"/>
        </w:trPr>
        <w:tc>
          <w:tcPr>
            <w:tcW w:w="2154" w:type="pct"/>
            <w:shd w:val="clear" w:color="auto" w:fill="auto"/>
          </w:tcPr>
          <w:p w:rsidR="00087D1F" w:rsidRPr="00087D1F" w:rsidRDefault="00087D1F" w:rsidP="00087D1F">
            <w:pPr>
              <w:jc w:val="both"/>
              <w:rPr>
                <w:rFonts w:ascii="Times New Roman" w:hAnsi="Times New Roman"/>
                <w:sz w:val="24"/>
              </w:rPr>
            </w:pPr>
            <w:r w:rsidRPr="00087D1F">
              <w:rPr>
                <w:rFonts w:ascii="Times New Roman" w:hAnsi="Times New Roman"/>
                <w:sz w:val="24"/>
              </w:rPr>
              <w:t xml:space="preserve">1.1 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-MR is a valid first-line treatment option for drug naïve T2DM patients intolerant or contraindicated to metformin with HbA1c levels of 7.5%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087D1F" w:rsidRDefault="00087D1F" w:rsidP="00087D1F">
            <w:pPr>
              <w:jc w:val="both"/>
              <w:rPr>
                <w:rFonts w:ascii="Times New Roman" w:hAnsi="Times New Roman"/>
                <w:sz w:val="24"/>
              </w:rPr>
            </w:pPr>
            <w:r w:rsidRPr="00087D1F">
              <w:rPr>
                <w:rFonts w:ascii="Times New Roman" w:hAnsi="Times New Roman"/>
                <w:sz w:val="24"/>
              </w:rPr>
              <w:t xml:space="preserve">1.2 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-MR and metformin dual therapy can be used in drug naïve T2DM patients with HbA1c levels of 7.5-8%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087D1F" w:rsidRDefault="00087D1F" w:rsidP="00087D1F">
            <w:pPr>
              <w:jc w:val="both"/>
              <w:rPr>
                <w:rFonts w:ascii="Times New Roman" w:hAnsi="Times New Roman"/>
                <w:sz w:val="24"/>
              </w:rPr>
            </w:pPr>
            <w:r w:rsidRPr="00087D1F">
              <w:rPr>
                <w:rFonts w:ascii="Times New Roman" w:hAnsi="Times New Roman"/>
                <w:sz w:val="24"/>
              </w:rPr>
              <w:t xml:space="preserve">1.3 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-MR and metformin dual therapy can be used in drug naïve T2DM patients with HbA1c levels of 8.0-9.0%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087D1F" w:rsidRDefault="00087D1F" w:rsidP="00087D1F">
            <w:pPr>
              <w:jc w:val="both"/>
              <w:rPr>
                <w:rFonts w:ascii="Times New Roman" w:hAnsi="Times New Roman"/>
                <w:sz w:val="24"/>
              </w:rPr>
            </w:pPr>
            <w:r w:rsidRPr="00087D1F">
              <w:rPr>
                <w:rFonts w:ascii="Times New Roman" w:hAnsi="Times New Roman"/>
                <w:sz w:val="24"/>
              </w:rPr>
              <w:t xml:space="preserve">1.4 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-MR and DPP-4 inhibitors dual therapy can be used in drug naïve T2DM patients intolerant or contraindicated to metformin with HbA1c levels of 7.5-8.0%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087D1F" w:rsidRDefault="00087D1F" w:rsidP="00087D1F">
            <w:pPr>
              <w:jc w:val="both"/>
              <w:rPr>
                <w:rFonts w:ascii="Times New Roman" w:hAnsi="Times New Roman"/>
                <w:sz w:val="24"/>
              </w:rPr>
            </w:pPr>
            <w:r w:rsidRPr="00087D1F">
              <w:rPr>
                <w:rFonts w:ascii="Times New Roman" w:hAnsi="Times New Roman"/>
                <w:sz w:val="24"/>
              </w:rPr>
              <w:t xml:space="preserve">1.5 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-MR and insulin dual therapy can be used in drug naïve T2DM patients intolerant or contraindicated to metformin with HbA1c levels of &gt;9.0%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087D1F" w:rsidRDefault="00087D1F" w:rsidP="00087D1F">
            <w:pPr>
              <w:jc w:val="both"/>
              <w:rPr>
                <w:rFonts w:ascii="Times New Roman" w:hAnsi="Times New Roman"/>
                <w:sz w:val="24"/>
              </w:rPr>
            </w:pPr>
            <w:r w:rsidRPr="00087D1F">
              <w:rPr>
                <w:rFonts w:ascii="Times New Roman" w:hAnsi="Times New Roman"/>
                <w:sz w:val="24"/>
              </w:rPr>
              <w:t xml:space="preserve">1.6 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087D1F">
              <w:rPr>
                <w:rFonts w:ascii="Times New Roman" w:hAnsi="Times New Roman"/>
                <w:sz w:val="24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sz w:val="24"/>
              </w:rPr>
              <w:t>-MR will be able to achieve of glycemic target of 6.5% in drug naïve patients, in case required HbA1c reduction is up to 1.0%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087D1F" w:rsidRDefault="001A01BD" w:rsidP="001A0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7D1F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lastRenderedPageBreak/>
              <w:t xml:space="preserve">Statement 2: </w:t>
            </w:r>
            <w:proofErr w:type="spellStart"/>
            <w:r w:rsidRPr="00087D1F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/</w:t>
            </w:r>
            <w:proofErr w:type="spellStart"/>
            <w:r w:rsidRPr="00087D1F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087D1F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-MR as second line treatment in T2DM patients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087D1F" w:rsidRDefault="001A01BD" w:rsidP="001A0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2.1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can be used as second-line treatment for T2DM patients (Add on to metformin), if HbA1c level remains &gt;6.5% after 3-month of therapy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2.2 Early use (&lt;3 months)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-MR is the preferred second-line treatment option for T2DM, after half maximal dose (1.0 g) of metformin (above target FPG levels)  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2.3 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is always associated with greater reduction in HbA1c than metformin monotherapy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2.4 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is always associated with sustained reduction in HbA1c (over at least 2 years) than metformin monotherapy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2.5 Switch to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from other SUs as add on to metformin for T2DM is beneficial, if HbA1c levels remain above the target after 3-months of therapy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2.6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protects human islet β-cells from apoptosis in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2.7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is better alternative to GLP-1 receptor agonist due to low cost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2.8 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basal insulin is more effective approach than basal insulin alone for T2DM patients having reduced glycaemic response with SUs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3E7747" w:rsidRDefault="001A01BD" w:rsidP="001A0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Statement 3: Switch to 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-MR -based combination therapy from other combination therapies in uncontrolled diabetes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3E7747" w:rsidRDefault="001A01BD" w:rsidP="001A0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3.1 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similar glycaemic effectiveness than DPP-4i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lastRenderedPageBreak/>
              <w:t xml:space="preserve">3.2 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better glycaemic effectiveness than DPP-4i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3.3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similar glycaemic effectiveness than AGI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3.4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better glycaemic effectiveness than AGI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3.5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similar glycaemic effectiveness than TZD (pioglitazone)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3.6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better glycaemic effectiveness than TZD (pioglitazone)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3.7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similar glycaemic effectiveness than SGLT-2i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3.8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better glycaemic effectiveness than SGLT-2i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3.9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similar glycaemic effectiveness than GLP-1RA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3.10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similar glycaemic effectiveness than basal insulin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3.11 </w:t>
            </w:r>
            <w:r w:rsidRPr="003E7747">
              <w:rPr>
                <w:rFonts w:ascii="Times New Roman" w:hAnsi="Times New Roman"/>
                <w:sz w:val="24"/>
                <w:szCs w:val="24"/>
              </w:rPr>
              <w:t xml:space="preserve">Combination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metformin show poor glycaemic effectiveness than basal insulin plus metformin in uncontrolled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087D1F" w:rsidRDefault="001A01BD" w:rsidP="001A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Statement 4: 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-MR in diabetic patients with or at high risk of CVD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087D1F" w:rsidRDefault="001A01BD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lastRenderedPageBreak/>
              <w:t xml:space="preserve">4.1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is associated with lower risk of CV-related mortality as compared to old generation SUs because of more specific action on pancreatic receptors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4.2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is associated with lower risk of CV-related mortality as compared to GLP-1 receptor agonists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4.3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is associated with lower blood pressure as compared to GLP-1 receptor agonists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4.4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could improve endothelial function in diabetes, which may be related to its antioxidant properties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4.5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is favourable among SUs in reducing left ventricular mass in patients with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087D1F" w:rsidRDefault="001A01BD" w:rsidP="001A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Statement 5: 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-MR in diabetic patients with CKD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087D1F" w:rsidRDefault="001A01BD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5.1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is associated with a significantly lower risk for the development of sustained doubling of serum creatinine in patients with preserved renal function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5.2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can be safely use with proper monitoring at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eGFR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levels &gt;30 ml/min without titration to a reduced dose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5.3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 xml:space="preserve"> can be safely use with proper monitoring at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</w:rPr>
              <w:t>eGFR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 xml:space="preserve"> levels &lt;30 ml/min with titration to a reduced dose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5.4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improves glycaemic control and prevents diabetic nephropathy in T2DM patients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5.5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could improve diabetic nephropathy, which may be related to its antioxidant properties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5.6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has less risk for prolonged and severe hypoglycaemia due to metabolism to inactive metabolites in CKD patients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3E7747" w:rsidRDefault="001A01BD" w:rsidP="001A0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Statement 6: Safety and tolerability of 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lastRenderedPageBreak/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-MR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3E7747" w:rsidRDefault="001A01BD" w:rsidP="000F2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2E34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lastRenderedPageBreak/>
              <w:t xml:space="preserve">6.1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-MR once daily will be more effective and well tolerable approach than </w:t>
            </w:r>
            <w:proofErr w:type="spellStart"/>
            <w:r w:rsidR="002E34A5">
              <w:rPr>
                <w:rFonts w:ascii="Times New Roman" w:hAnsi="Times New Roman"/>
                <w:sz w:val="24"/>
                <w:szCs w:val="24"/>
                <w:lang w:val="en-IN"/>
              </w:rPr>
              <w:t>g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twice daily in patients with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6.2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once daily is more effective in improving the patients compliance than twice daily SUs in T2DM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6.3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causes weight gain of up to 0.5 kg in T2DM patients with BMI &lt;25kg/m2 in 3 to 12 months of therapy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6.4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</w:rPr>
              <w:t>-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MR may promote weight loss in patients within the higher BMI range (≥25kg/m</w:t>
            </w:r>
            <w:r w:rsidRPr="003E7747">
              <w:rPr>
                <w:rFonts w:ascii="Times New Roman" w:hAnsi="Times New Roman"/>
                <w:sz w:val="24"/>
                <w:szCs w:val="24"/>
                <w:vertAlign w:val="superscript"/>
                <w:lang w:val="en-IN"/>
              </w:rPr>
              <w:t>2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) in 3 to 12 months of therapy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6.5 Risk of weight gain is equivalent for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GLP-1RAs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6.6 Risk of weight gain is more with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compared to GLP-1RAs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6.7 Risk of weight gain is equivalent for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DPP-4i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6.8 Risk of weight gain is equivalent for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and SGLT-2i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6.9 Risk of weight gain is more with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than SGLT-2i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6.10 Risk of hypoglycaemia is low with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than older SUs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6.11 Risk of hypoglycaemia is low with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than other newer antidiabetic agents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087D1F" w:rsidRPr="00087D1F" w:rsidTr="003B578D">
        <w:tc>
          <w:tcPr>
            <w:tcW w:w="2154" w:type="pct"/>
            <w:shd w:val="clear" w:color="auto" w:fill="auto"/>
          </w:tcPr>
          <w:p w:rsidR="00087D1F" w:rsidRPr="003E7747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6.12 Risk of hypoglycaemia is more with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than other newer antidiabetic agents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gridSpan w:val="2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7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2" w:type="pct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6" w:type="pct"/>
            <w:shd w:val="clear" w:color="auto" w:fill="auto"/>
          </w:tcPr>
          <w:p w:rsidR="00087D1F" w:rsidRPr="00087D1F" w:rsidRDefault="00087D1F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3E7747" w:rsidRDefault="001A01BD" w:rsidP="001A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Statement 7: Dosing of the 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-MR 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3E7747" w:rsidRDefault="001A01BD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4A5" w:rsidRPr="00087D1F" w:rsidTr="003B578D">
        <w:tc>
          <w:tcPr>
            <w:tcW w:w="2154" w:type="pct"/>
            <w:shd w:val="clear" w:color="auto" w:fill="auto"/>
          </w:tcPr>
          <w:p w:rsidR="002E34A5" w:rsidRPr="003E7747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7.1 The usual starting dose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-MR is 30 to 60 mg administered once daily with the morning/evening main </w:t>
            </w: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lastRenderedPageBreak/>
              <w:t>meal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gridSpan w:val="2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2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12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06" w:type="pct"/>
            <w:shd w:val="clear" w:color="auto" w:fill="auto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</w:tr>
      <w:tr w:rsidR="002E34A5" w:rsidRPr="00087D1F" w:rsidTr="003B578D">
        <w:tc>
          <w:tcPr>
            <w:tcW w:w="2154" w:type="pct"/>
            <w:shd w:val="clear" w:color="auto" w:fill="auto"/>
          </w:tcPr>
          <w:p w:rsidR="002E34A5" w:rsidRPr="003E7747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lastRenderedPageBreak/>
              <w:t>7.2 Consider starting with the higher (60 mg) dose when the HbA1c target is more than 0.5% from the prevailing HbA1c level, or if the patients has symptomatic hyperglycaemia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" w:type="pct"/>
            <w:gridSpan w:val="2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3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12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12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06" w:type="pct"/>
            <w:shd w:val="clear" w:color="auto" w:fill="auto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2E34A5" w:rsidRPr="00087D1F" w:rsidTr="003B578D">
        <w:tc>
          <w:tcPr>
            <w:tcW w:w="2154" w:type="pct"/>
            <w:shd w:val="clear" w:color="auto" w:fill="auto"/>
          </w:tcPr>
          <w:p w:rsidR="002E34A5" w:rsidRPr="003E7747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7.3 The dose can be escalated by 30-60 mg every one to four weeks, guided by fasting glucose levels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pct"/>
            <w:gridSpan w:val="2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7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12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12" w:type="pct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06" w:type="pct"/>
            <w:shd w:val="clear" w:color="auto" w:fill="auto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1A01BD" w:rsidRPr="00087D1F" w:rsidTr="001A01BD">
        <w:tc>
          <w:tcPr>
            <w:tcW w:w="2154" w:type="pct"/>
            <w:shd w:val="clear" w:color="auto" w:fill="auto"/>
          </w:tcPr>
          <w:p w:rsidR="001A01BD" w:rsidRPr="003E7747" w:rsidRDefault="001A01BD" w:rsidP="001A0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 xml:space="preserve">Statement 8: 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b/>
                <w:sz w:val="24"/>
                <w:szCs w:val="24"/>
                <w:lang w:val="en-IN"/>
              </w:rPr>
              <w:t>-MR in special populations</w:t>
            </w:r>
          </w:p>
        </w:tc>
        <w:tc>
          <w:tcPr>
            <w:tcW w:w="2846" w:type="pct"/>
            <w:gridSpan w:val="11"/>
            <w:shd w:val="clear" w:color="auto" w:fill="auto"/>
          </w:tcPr>
          <w:p w:rsidR="001A01BD" w:rsidRPr="003E7747" w:rsidRDefault="001A01BD" w:rsidP="000F2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4A5" w:rsidRPr="00087D1F" w:rsidTr="003C543B">
        <w:tc>
          <w:tcPr>
            <w:tcW w:w="2154" w:type="pct"/>
            <w:tcBorders>
              <w:bottom w:val="single" w:sz="4" w:space="0" w:color="auto"/>
            </w:tcBorders>
            <w:shd w:val="clear" w:color="auto" w:fill="auto"/>
          </w:tcPr>
          <w:p w:rsidR="002E34A5" w:rsidRPr="003E7747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8.1 Use of 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/</w:t>
            </w:r>
            <w:proofErr w:type="spellStart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gliclazide</w:t>
            </w:r>
            <w:proofErr w:type="spellEnd"/>
            <w:r w:rsidRPr="003E7747">
              <w:rPr>
                <w:rFonts w:ascii="Times New Roman" w:hAnsi="Times New Roman"/>
                <w:sz w:val="24"/>
                <w:szCs w:val="24"/>
                <w:lang w:val="en-IN"/>
              </w:rPr>
              <w:t>-MR appears to be safe in older patients with T2DM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" w:type="pct"/>
            <w:gridSpan w:val="2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</w:tcPr>
          <w:p w:rsidR="002E34A5" w:rsidRPr="00087D1F" w:rsidRDefault="002E34A5" w:rsidP="000F2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D1F"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</w:tr>
      <w:tr w:rsidR="003C543B" w:rsidRPr="00087D1F" w:rsidTr="003C543B"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543B" w:rsidRPr="00087D1F" w:rsidRDefault="003C543B" w:rsidP="003C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Likert Scale: </w:t>
            </w:r>
            <w:r w:rsidRPr="00087D1F">
              <w:rPr>
                <w:rFonts w:ascii="Times New Roman" w:hAnsi="Times New Roman"/>
                <w:sz w:val="24"/>
                <w:szCs w:val="24"/>
              </w:rPr>
              <w:t>1-5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87D1F">
              <w:rPr>
                <w:rFonts w:ascii="Times New Roman" w:hAnsi="Times New Roman"/>
                <w:sz w:val="24"/>
                <w:szCs w:val="24"/>
              </w:rPr>
              <w:t>disagreement; 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87D1F">
              <w:rPr>
                <w:rFonts w:ascii="Times New Roman" w:hAnsi="Times New Roman"/>
                <w:sz w:val="24"/>
                <w:szCs w:val="24"/>
              </w:rPr>
              <w:t>neutral; 6-9</w:t>
            </w:r>
            <w:r>
              <w:rPr>
                <w:rFonts w:ascii="Times New Roman" w:hAnsi="Times New Roman"/>
                <w:sz w:val="24"/>
                <w:szCs w:val="24"/>
              </w:rPr>
              <w:t>-agreement</w:t>
            </w:r>
          </w:p>
        </w:tc>
      </w:tr>
    </w:tbl>
    <w:p w:rsidR="00087D1F" w:rsidRPr="00087D1F" w:rsidRDefault="00087D1F">
      <w:pPr>
        <w:rPr>
          <w:rFonts w:ascii="Times New Roman" w:hAnsi="Times New Roman"/>
          <w:sz w:val="24"/>
          <w:szCs w:val="24"/>
        </w:rPr>
      </w:pPr>
    </w:p>
    <w:sectPr w:rsidR="00087D1F" w:rsidRPr="00087D1F" w:rsidSect="00087D1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1F"/>
    <w:rsid w:val="00087D1F"/>
    <w:rsid w:val="001A01BD"/>
    <w:rsid w:val="002E34A5"/>
    <w:rsid w:val="003B578D"/>
    <w:rsid w:val="003C543B"/>
    <w:rsid w:val="00516037"/>
    <w:rsid w:val="005A61CF"/>
    <w:rsid w:val="007A0BB9"/>
    <w:rsid w:val="009D1CD9"/>
    <w:rsid w:val="009D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1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87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D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D1F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D1F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1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87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D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D1F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D1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Vikas</dc:creator>
  <cp:lastModifiedBy>Vikas</cp:lastModifiedBy>
  <cp:revision>8</cp:revision>
  <dcterms:created xsi:type="dcterms:W3CDTF">2020-10-28T12:10:00Z</dcterms:created>
  <dcterms:modified xsi:type="dcterms:W3CDTF">2020-10-31T08:58:00Z</dcterms:modified>
</cp:coreProperties>
</file>