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F5" w:rsidRDefault="00245CAC" w:rsidP="00141CF5">
      <w:pPr>
        <w:spacing w:line="360" w:lineRule="auto"/>
        <w:jc w:val="center"/>
        <w:rPr>
          <w:rFonts w:asciiTheme="majorBidi" w:eastAsia="Calibri" w:hAnsiTheme="majorBidi" w:cstheme="majorBidi"/>
          <w:b/>
          <w:sz w:val="18"/>
          <w:szCs w:val="18"/>
        </w:rPr>
      </w:pPr>
      <w:r>
        <w:rPr>
          <w:rFonts w:asciiTheme="majorBidi" w:eastAsia="Calibri" w:hAnsiTheme="majorBidi" w:cstheme="majorBidi"/>
          <w:b/>
          <w:sz w:val="18"/>
          <w:szCs w:val="18"/>
        </w:rPr>
        <w:t>Appendix</w:t>
      </w:r>
      <w:bookmarkStart w:id="0" w:name="_GoBack"/>
      <w:bookmarkEnd w:id="0"/>
    </w:p>
    <w:p w:rsidR="00141CF5" w:rsidRDefault="00141CF5" w:rsidP="00141CF5">
      <w:pPr>
        <w:spacing w:line="360" w:lineRule="auto"/>
        <w:jc w:val="center"/>
        <w:rPr>
          <w:rFonts w:asciiTheme="majorBidi" w:eastAsia="Calibri" w:hAnsiTheme="majorBidi" w:cstheme="majorBidi"/>
          <w:b/>
          <w:sz w:val="18"/>
          <w:szCs w:val="18"/>
        </w:rPr>
      </w:pPr>
      <w:r w:rsidRPr="00D2703F">
        <w:rPr>
          <w:rFonts w:asciiTheme="majorBidi" w:eastAsia="Calibri" w:hAnsiTheme="majorBidi" w:cstheme="majorBidi"/>
          <w:b/>
          <w:sz w:val="18"/>
          <w:szCs w:val="18"/>
        </w:rPr>
        <w:t>Non-invasive scoring systems in assessment of NAFLD</w:t>
      </w:r>
    </w:p>
    <w:tbl>
      <w:tblPr>
        <w:tblStyle w:val="TableGrid"/>
        <w:tblpPr w:leftFromText="180" w:rightFromText="180" w:vertAnchor="text" w:horzAnchor="margin" w:tblpYSpec="outside"/>
        <w:bidiVisual/>
        <w:tblW w:w="0" w:type="auto"/>
        <w:tblLook w:val="04A0" w:firstRow="1" w:lastRow="0" w:firstColumn="1" w:lastColumn="0" w:noHBand="0" w:noVBand="1"/>
      </w:tblPr>
      <w:tblGrid>
        <w:gridCol w:w="831"/>
        <w:gridCol w:w="832"/>
        <w:gridCol w:w="735"/>
        <w:gridCol w:w="632"/>
        <w:gridCol w:w="798"/>
        <w:gridCol w:w="735"/>
        <w:gridCol w:w="632"/>
        <w:gridCol w:w="794"/>
        <w:gridCol w:w="735"/>
        <w:gridCol w:w="629"/>
        <w:gridCol w:w="798"/>
        <w:gridCol w:w="1091"/>
      </w:tblGrid>
      <w:tr w:rsidR="00141CF5" w:rsidRPr="00D2703F" w:rsidTr="00601B18">
        <w:trPr>
          <w:trHeight w:val="149"/>
        </w:trPr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Between group p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at Week 24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Between group p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at baseline</w:t>
            </w:r>
          </w:p>
        </w:tc>
        <w:tc>
          <w:tcPr>
            <w:tcW w:w="0" w:type="auto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PIO group  ( n= 34 )</w:t>
            </w:r>
          </w:p>
        </w:tc>
        <w:tc>
          <w:tcPr>
            <w:tcW w:w="0" w:type="auto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EMPA group (n=  35 )</w:t>
            </w:r>
          </w:p>
        </w:tc>
        <w:tc>
          <w:tcPr>
            <w:tcW w:w="0" w:type="auto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Placebo group ( n=  37 )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</w:tr>
      <w:tr w:rsidR="00141CF5" w:rsidRPr="00D2703F" w:rsidTr="00601B18">
        <w:trPr>
          <w:trHeight w:val="486"/>
        </w:trPr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Within group</w:t>
            </w:r>
            <w:r w:rsidRPr="00D2703F">
              <w:rPr>
                <w:rFonts w:asciiTheme="majorBidi" w:eastAsia="Calibr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 p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Week 24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Baseline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Within group</w:t>
            </w:r>
            <w:r w:rsidRPr="00D2703F">
              <w:rPr>
                <w:rFonts w:asciiTheme="majorBidi" w:eastAsia="Calibr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 p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Week 24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Baseline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Within group</w:t>
            </w:r>
            <w:r w:rsidRPr="00D2703F">
              <w:rPr>
                <w:rFonts w:asciiTheme="majorBidi" w:eastAsia="Calibr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 p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Week 24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Baseline</w:t>
            </w: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24" w:space="0" w:color="A6A6A6" w:themeColor="background1" w:themeShade="A6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</w:tr>
      <w:tr w:rsidR="00141CF5" w:rsidRPr="00D2703F" w:rsidTr="00601B18">
        <w:trPr>
          <w:trHeight w:val="484"/>
        </w:trPr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vertAlign w:val="superscript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-1.20 (1.18)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-1.27 (1.20)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0.91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-1.53 (1.12)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-1.54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(1.07)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vertAlign w:val="superscript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0.83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-1.47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(0.98)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-1.49 (1.10)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NAFLD fibrosis score (%)</w:t>
            </w:r>
          </w:p>
        </w:tc>
      </w:tr>
      <w:tr w:rsidR="00141CF5" w:rsidRPr="00D2703F" w:rsidTr="00601B18">
        <w:trPr>
          <w:trHeight w:val="331"/>
        </w:trPr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0.48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vertAlign w:val="superscript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0.27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14 (41.2)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16 (47.1)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(45.7)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(51.4)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vertAlign w:val="superscript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19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(51.4)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21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(56.8)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Low risk</w:t>
            </w:r>
          </w:p>
        </w:tc>
      </w:tr>
      <w:tr w:rsidR="00141CF5" w:rsidRPr="00D2703F" w:rsidTr="00601B18">
        <w:trPr>
          <w:trHeight w:val="1"/>
        </w:trPr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18 (52.9)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15 (44.1)</w:t>
            </w:r>
          </w:p>
        </w:tc>
        <w:tc>
          <w:tcPr>
            <w:tcW w:w="0" w:type="auto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19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(54.3)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(48.6)</w:t>
            </w:r>
          </w:p>
        </w:tc>
        <w:tc>
          <w:tcPr>
            <w:tcW w:w="0" w:type="auto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(48.6)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(43.2)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Intermediate risk</w:t>
            </w:r>
          </w:p>
        </w:tc>
      </w:tr>
      <w:tr w:rsidR="00141CF5" w:rsidRPr="00D2703F" w:rsidTr="00601B18">
        <w:trPr>
          <w:trHeight w:val="259"/>
        </w:trPr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(5.9)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3 (8.8)</w:t>
            </w:r>
          </w:p>
        </w:tc>
        <w:tc>
          <w:tcPr>
            <w:tcW w:w="0" w:type="auto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tabs>
                <w:tab w:val="center" w:pos="624"/>
                <w:tab w:val="right" w:pos="1248"/>
              </w:tabs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tabs>
                <w:tab w:val="center" w:pos="624"/>
                <w:tab w:val="right" w:pos="1248"/>
              </w:tabs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High risk</w:t>
            </w:r>
          </w:p>
        </w:tc>
      </w:tr>
      <w:tr w:rsidR="00141CF5" w:rsidRPr="00D2703F" w:rsidTr="00601B18">
        <w:trPr>
          <w:trHeight w:val="457"/>
        </w:trPr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1.06 (0.52)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1.09 (0.64)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0.91 (0.41)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0.94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(0.42)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0.97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(0.37)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0.94 (0.43)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FIB4.index (%)</w:t>
            </w:r>
          </w:p>
        </w:tc>
      </w:tr>
      <w:tr w:rsidR="00141CF5" w:rsidRPr="00D2703F" w:rsidTr="00601B18">
        <w:trPr>
          <w:trHeight w:val="304"/>
        </w:trPr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0.80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0.87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25 (73.5)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26 (76.5)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28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(80.0)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26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(74.3)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29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(78.4)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29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(78.4)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Low risk</w:t>
            </w:r>
          </w:p>
        </w:tc>
      </w:tr>
      <w:tr w:rsidR="00141CF5" w:rsidRPr="00D2703F" w:rsidTr="00601B18">
        <w:trPr>
          <w:trHeight w:val="1"/>
        </w:trPr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9 (26.5)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7 (20.6)</w:t>
            </w:r>
          </w:p>
        </w:tc>
        <w:tc>
          <w:tcPr>
            <w:tcW w:w="0" w:type="auto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(20.0)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9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(25.7)</w:t>
            </w:r>
          </w:p>
        </w:tc>
        <w:tc>
          <w:tcPr>
            <w:tcW w:w="0" w:type="auto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8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(21.6)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8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(21.6)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Intermediate risk</w:t>
            </w:r>
          </w:p>
        </w:tc>
      </w:tr>
      <w:tr w:rsidR="00141CF5" w:rsidRPr="00D2703F" w:rsidTr="00601B18">
        <w:trPr>
          <w:trHeight w:val="250"/>
        </w:trPr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(0.9)</w:t>
            </w:r>
          </w:p>
        </w:tc>
        <w:tc>
          <w:tcPr>
            <w:tcW w:w="0" w:type="auto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hideMark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High risk</w:t>
            </w:r>
          </w:p>
        </w:tc>
      </w:tr>
      <w:tr w:rsidR="00141CF5" w:rsidRPr="00D2703F" w:rsidTr="00601B18">
        <w:trPr>
          <w:trHeight w:val="250"/>
        </w:trPr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0.74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0.96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0.28 (0.12)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0.32 (0.21)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0.27 (0.12)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0.31 (0.20)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0.29 (0.14)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0.30 (0.16)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APRI (%)</w:t>
            </w:r>
          </w:p>
        </w:tc>
      </w:tr>
      <w:tr w:rsidR="00141CF5" w:rsidRPr="00D2703F" w:rsidTr="00601B18">
        <w:trPr>
          <w:trHeight w:val="250"/>
        </w:trPr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0.50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0.67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32 (94.1)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30 (88.2)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33 (94.3)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28 (80.0)</w:t>
            </w:r>
          </w:p>
        </w:tc>
        <w:tc>
          <w:tcPr>
            <w:tcW w:w="0" w:type="auto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32 (86.5)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31</w:t>
            </w:r>
          </w:p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(83.8)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Low risk</w:t>
            </w:r>
          </w:p>
        </w:tc>
      </w:tr>
      <w:tr w:rsidR="00141CF5" w:rsidRPr="00D2703F" w:rsidTr="00601B18">
        <w:trPr>
          <w:trHeight w:val="250"/>
        </w:trPr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 (5.9)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4 (11.8)</w:t>
            </w: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2 (5.7)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7 (20.0)</w:t>
            </w: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5 (13.5)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6 (16.2)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Intermediate risk</w:t>
            </w:r>
          </w:p>
        </w:tc>
      </w:tr>
      <w:tr w:rsidR="00141CF5" w:rsidRPr="00D2703F" w:rsidTr="00601B18">
        <w:trPr>
          <w:trHeight w:val="250"/>
        </w:trPr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 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 (0.0)</w:t>
            </w: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 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 (0.0)</w:t>
            </w:r>
          </w:p>
        </w:tc>
        <w:tc>
          <w:tcPr>
            <w:tcW w:w="0" w:type="auto"/>
            <w:vMerge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 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0 (0.0)</w:t>
            </w:r>
          </w:p>
        </w:tc>
        <w:tc>
          <w:tcPr>
            <w:tcW w:w="0" w:type="auto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:rsidR="00141CF5" w:rsidRPr="00D2703F" w:rsidRDefault="00141CF5" w:rsidP="00601B18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2703F">
              <w:rPr>
                <w:rFonts w:asciiTheme="majorBidi" w:eastAsia="Calibri" w:hAnsiTheme="majorBidi" w:cstheme="majorBidi"/>
                <w:sz w:val="16"/>
                <w:szCs w:val="16"/>
              </w:rPr>
              <w:t>High risk</w:t>
            </w:r>
          </w:p>
        </w:tc>
      </w:tr>
    </w:tbl>
    <w:p w:rsidR="00141CF5" w:rsidRDefault="00141CF5" w:rsidP="00141CF5">
      <w:pPr>
        <w:spacing w:line="360" w:lineRule="auto"/>
        <w:jc w:val="center"/>
        <w:rPr>
          <w:rFonts w:asciiTheme="majorBidi" w:eastAsia="Calibri" w:hAnsiTheme="majorBidi" w:cstheme="majorBidi"/>
          <w:b/>
          <w:sz w:val="20"/>
          <w:szCs w:val="20"/>
          <w:lang w:bidi="fa-IR"/>
        </w:rPr>
      </w:pPr>
    </w:p>
    <w:p w:rsidR="00141CF5" w:rsidRPr="00DD7891" w:rsidRDefault="00141CF5" w:rsidP="00141CF5">
      <w:pPr>
        <w:pStyle w:val="Caption"/>
        <w:rPr>
          <w:rFonts w:asciiTheme="majorBidi" w:hAnsiTheme="majorBidi" w:cstheme="majorBidi"/>
        </w:rPr>
      </w:pPr>
      <w:r w:rsidRPr="00D2703F">
        <w:rPr>
          <w:rFonts w:asciiTheme="majorBidi" w:hAnsiTheme="majorBidi" w:cstheme="majorBidi"/>
          <w:lang w:bidi="fa-IR"/>
        </w:rPr>
        <w:t xml:space="preserve">Data are score (%), </w:t>
      </w:r>
      <w:r w:rsidRPr="00D2703F">
        <w:rPr>
          <w:rFonts w:asciiTheme="majorBidi" w:hAnsiTheme="majorBidi" w:cstheme="majorBidi"/>
          <w:i w:val="0"/>
          <w:iCs w:val="0"/>
          <w:lang w:bidi="fa-IR"/>
        </w:rPr>
        <w:t>S</w:t>
      </w:r>
      <w:r w:rsidRPr="00D2703F">
        <w:rPr>
          <w:rFonts w:asciiTheme="majorBidi" w:hAnsiTheme="majorBidi" w:cstheme="majorBidi"/>
        </w:rPr>
        <w:t>tatistically significant p values (p </w:t>
      </w:r>
      <w:r w:rsidRPr="00D2703F">
        <w:rPr>
          <w:rFonts w:asciiTheme="majorBidi" w:hAnsiTheme="majorBidi" w:cstheme="majorBidi"/>
          <w:lang w:bidi="fa-IR"/>
        </w:rPr>
        <w:t xml:space="preserve">&lt; </w:t>
      </w:r>
      <w:r w:rsidRPr="00D2703F">
        <w:rPr>
          <w:rFonts w:asciiTheme="majorBidi" w:hAnsiTheme="majorBidi" w:cstheme="majorBidi"/>
        </w:rPr>
        <w:t>0.05) are in bold.</w:t>
      </w:r>
      <w:r w:rsidRPr="00D2703F">
        <w:rPr>
          <w:rFonts w:asciiTheme="majorBidi" w:hAnsiTheme="majorBidi" w:cstheme="majorBidi"/>
          <w:lang w:bidi="fa-IR"/>
        </w:rPr>
        <w:t xml:space="preserve"> EMPA: </w:t>
      </w:r>
      <w:proofErr w:type="spellStart"/>
      <w:r w:rsidRPr="00D2703F">
        <w:rPr>
          <w:rFonts w:asciiTheme="majorBidi" w:hAnsiTheme="majorBidi" w:cstheme="majorBidi"/>
          <w:lang w:bidi="fa-IR"/>
        </w:rPr>
        <w:t>empagliflozin</w:t>
      </w:r>
      <w:proofErr w:type="spellEnd"/>
      <w:r w:rsidRPr="00D2703F">
        <w:rPr>
          <w:rFonts w:asciiTheme="majorBidi" w:hAnsiTheme="majorBidi" w:cstheme="majorBidi"/>
          <w:lang w:bidi="fa-IR"/>
        </w:rPr>
        <w:t>, PIO: pioglitazone</w:t>
      </w:r>
      <w:r w:rsidRPr="00D2703F">
        <w:rPr>
          <w:rFonts w:asciiTheme="majorBidi" w:hAnsiTheme="majorBidi" w:cstheme="majorBidi"/>
          <w:rtl/>
          <w:lang w:bidi="fa-IR"/>
        </w:rPr>
        <w:t>.</w:t>
      </w:r>
    </w:p>
    <w:p w:rsidR="00141CF5" w:rsidRPr="00D2703F" w:rsidRDefault="00141CF5" w:rsidP="00141CF5">
      <w:pPr>
        <w:spacing w:line="360" w:lineRule="auto"/>
        <w:jc w:val="center"/>
        <w:rPr>
          <w:rFonts w:asciiTheme="majorBidi" w:eastAsia="Calibri" w:hAnsiTheme="majorBidi" w:cstheme="majorBidi"/>
          <w:b/>
          <w:sz w:val="20"/>
          <w:szCs w:val="20"/>
          <w:lang w:bidi="fa-IR"/>
        </w:rPr>
      </w:pPr>
    </w:p>
    <w:p w:rsidR="00792573" w:rsidRDefault="00245CAC"/>
    <w:sectPr w:rsidR="00792573" w:rsidSect="00581F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F5"/>
    <w:rsid w:val="00141CF5"/>
    <w:rsid w:val="00245CAC"/>
    <w:rsid w:val="00581F99"/>
    <w:rsid w:val="0072568C"/>
    <w:rsid w:val="00817C11"/>
    <w:rsid w:val="00E3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CF5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41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CF5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41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Sumeyye Soydemir</dc:creator>
  <cp:lastModifiedBy>Dr.Khamseh</cp:lastModifiedBy>
  <cp:revision>3</cp:revision>
  <dcterms:created xsi:type="dcterms:W3CDTF">2021-02-04T19:46:00Z</dcterms:created>
  <dcterms:modified xsi:type="dcterms:W3CDTF">2021-02-04T19:46:00Z</dcterms:modified>
</cp:coreProperties>
</file>