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2AEBA" w14:textId="77777777" w:rsidR="00D916C6" w:rsidRPr="00806599" w:rsidRDefault="00D916C6" w:rsidP="00D916C6">
      <w:pPr>
        <w:pStyle w:val="AMIABodyText"/>
        <w:jc w:val="center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Appendix </w:t>
      </w:r>
      <w:r w:rsidR="00E72765">
        <w:rPr>
          <w:b/>
          <w:bCs/>
          <w:lang w:eastAsia="zh-CN"/>
        </w:rPr>
        <w:t>supplement</w:t>
      </w:r>
      <w:r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T</w:t>
      </w:r>
      <w:r w:rsidRPr="00D95FC8">
        <w:rPr>
          <w:rFonts w:hint="eastAsia"/>
          <w:b/>
          <w:bCs/>
          <w:lang w:eastAsia="zh-CN"/>
        </w:rPr>
        <w:t>a</w:t>
      </w:r>
      <w:r w:rsidRPr="00D95FC8">
        <w:rPr>
          <w:b/>
          <w:bCs/>
          <w:lang w:eastAsia="zh-CN"/>
        </w:rPr>
        <w:t>ble</w:t>
      </w:r>
      <w:r w:rsidR="00E72765">
        <w:rPr>
          <w:b/>
          <w:bCs/>
          <w:lang w:eastAsia="zh-CN"/>
        </w:rPr>
        <w:t xml:space="preserve"> 3</w:t>
      </w:r>
      <w:r w:rsidRPr="00D95FC8">
        <w:rPr>
          <w:b/>
          <w:bCs/>
          <w:lang w:eastAsia="zh-CN"/>
        </w:rPr>
        <w:t>.</w:t>
      </w:r>
      <w:r w:rsidRPr="00806599">
        <w:rPr>
          <w:b/>
          <w:bCs/>
          <w:lang w:eastAsia="zh-CN"/>
        </w:rPr>
        <w:t xml:space="preserve"> The statistical analysis in patients with baseline HbA1</w:t>
      </w:r>
      <w:r>
        <w:rPr>
          <w:b/>
          <w:bCs/>
          <w:lang w:eastAsia="zh-CN"/>
        </w:rPr>
        <w:t xml:space="preserve">c&lt; </w:t>
      </w:r>
      <w:r w:rsidRPr="00806599">
        <w:rPr>
          <w:b/>
          <w:bCs/>
          <w:lang w:eastAsia="zh-CN"/>
        </w:rPr>
        <w:t>7% in Cohort-1 dataset</w:t>
      </w:r>
    </w:p>
    <w:tbl>
      <w:tblPr>
        <w:tblStyle w:val="a3"/>
        <w:tblW w:w="8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074"/>
        <w:gridCol w:w="106"/>
        <w:gridCol w:w="915"/>
        <w:gridCol w:w="1251"/>
        <w:gridCol w:w="1434"/>
        <w:gridCol w:w="1068"/>
        <w:gridCol w:w="1795"/>
        <w:gridCol w:w="17"/>
      </w:tblGrid>
      <w:tr w:rsidR="00D916C6" w14:paraId="1F0A3A04" w14:textId="77777777" w:rsidTr="00F24850">
        <w:trPr>
          <w:trHeight w:val="464"/>
          <w:jc w:val="center"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5CB3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Outcome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1FF47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Decision tree-compliance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B4220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Number of samples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49EB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Incidence of outcome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18E9AB33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</w:t>
            </w:r>
          </w:p>
          <w:p w14:paraId="57597966" w14:textId="77777777" w:rsidR="00D916C6" w:rsidRDefault="00D916C6" w:rsidP="00F24850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    Mean</w:t>
            </w:r>
          </w:p>
          <w:p w14:paraId="1E932EE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(95% CI)</w:t>
            </w:r>
          </w:p>
          <w:p w14:paraId="0F7AF62A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25D1B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Adjusted OR (95% CI)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AC953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Adjusted P value</w:t>
            </w:r>
          </w:p>
        </w:tc>
      </w:tr>
      <w:tr w:rsidR="00D916C6" w14:paraId="797F714B" w14:textId="77777777" w:rsidTr="00F24850">
        <w:trPr>
          <w:gridAfter w:val="1"/>
          <w:wAfter w:w="17" w:type="dxa"/>
          <w:trHeight w:val="36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</w:tcBorders>
            <w:vAlign w:val="center"/>
          </w:tcPr>
          <w:p w14:paraId="66605C2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HbA1c</w:t>
            </w:r>
          </w:p>
          <w:p w14:paraId="19BC46EC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change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14:paraId="66F97DC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C5B6EC0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2332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2AB4705A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/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</w:tcBorders>
          </w:tcPr>
          <w:p w14:paraId="6746F3CD" w14:textId="77777777" w:rsidR="00D916C6" w:rsidRPr="00806599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 w:rsidRPr="00D02D10">
              <w:rPr>
                <w:szCs w:val="21"/>
              </w:rPr>
              <w:t>-0.</w:t>
            </w:r>
            <w:r>
              <w:rPr>
                <w:szCs w:val="21"/>
              </w:rPr>
              <w:t>01</w:t>
            </w:r>
          </w:p>
          <w:p w14:paraId="2803E7C6" w14:textId="6EB1352A" w:rsidR="00D916C6" w:rsidRPr="00B01C25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 w:rsidRPr="00D02D10">
              <w:rPr>
                <w:szCs w:val="21"/>
              </w:rPr>
              <w:t>(-0.</w:t>
            </w:r>
            <w:r>
              <w:rPr>
                <w:szCs w:val="21"/>
              </w:rPr>
              <w:t>09</w:t>
            </w:r>
            <w:r w:rsidRPr="00D02D10">
              <w:rPr>
                <w:szCs w:val="21"/>
              </w:rPr>
              <w:t>~ 0.</w:t>
            </w:r>
            <w:r>
              <w:rPr>
                <w:szCs w:val="21"/>
              </w:rPr>
              <w:t>06</w:t>
            </w:r>
            <w:r w:rsidRPr="0052531F">
              <w:rPr>
                <w:szCs w:val="21"/>
              </w:rPr>
              <w:t>)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14:paraId="38DF6AC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</w:tcBorders>
            <w:vAlign w:val="center"/>
          </w:tcPr>
          <w:p w14:paraId="6E10119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0.69</w:t>
            </w:r>
          </w:p>
        </w:tc>
      </w:tr>
      <w:tr w:rsidR="00D916C6" w14:paraId="1667072C" w14:textId="77777777" w:rsidTr="00F24850">
        <w:trPr>
          <w:gridAfter w:val="1"/>
          <w:wAfter w:w="17" w:type="dxa"/>
          <w:trHeight w:val="360"/>
          <w:jc w:val="center"/>
        </w:trPr>
        <w:tc>
          <w:tcPr>
            <w:tcW w:w="980" w:type="dxa"/>
            <w:vMerge/>
            <w:tcBorders>
              <w:bottom w:val="nil"/>
            </w:tcBorders>
            <w:vAlign w:val="center"/>
          </w:tcPr>
          <w:p w14:paraId="292A474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55FE34F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144268A2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747</w:t>
            </w:r>
          </w:p>
        </w:tc>
        <w:tc>
          <w:tcPr>
            <w:tcW w:w="1251" w:type="dxa"/>
            <w:tcBorders>
              <w:bottom w:val="nil"/>
            </w:tcBorders>
            <w:vAlign w:val="center"/>
          </w:tcPr>
          <w:p w14:paraId="52B4C938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/</w:t>
            </w:r>
          </w:p>
        </w:tc>
        <w:tc>
          <w:tcPr>
            <w:tcW w:w="1434" w:type="dxa"/>
            <w:vMerge/>
            <w:tcBorders>
              <w:bottom w:val="nil"/>
            </w:tcBorders>
          </w:tcPr>
          <w:p w14:paraId="7C98564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vAlign w:val="center"/>
          </w:tcPr>
          <w:p w14:paraId="7B3332C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tcBorders>
              <w:bottom w:val="nil"/>
            </w:tcBorders>
            <w:vAlign w:val="center"/>
          </w:tcPr>
          <w:p w14:paraId="762F79F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916C6" w14:paraId="2D1D0D36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 w:val="restart"/>
            <w:tcBorders>
              <w:top w:val="nil"/>
            </w:tcBorders>
            <w:vAlign w:val="center"/>
          </w:tcPr>
          <w:p w14:paraId="098AE201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HbA1c &lt;7%</w:t>
            </w: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300CEAA0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7A91C0A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2332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4499DB22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1966(84.3</w:t>
            </w:r>
            <w:r>
              <w:rPr>
                <w:rFonts w:hint="eastAsia"/>
                <w:color w:val="000000"/>
                <w:kern w:val="24"/>
                <w:szCs w:val="21"/>
              </w:rPr>
              <w:t>%</w:t>
            </w:r>
            <w:r>
              <w:rPr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34" w:type="dxa"/>
            <w:vMerge w:val="restart"/>
            <w:tcBorders>
              <w:top w:val="nil"/>
            </w:tcBorders>
          </w:tcPr>
          <w:p w14:paraId="5D786E0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  <w:p w14:paraId="7021279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  <w:tc>
          <w:tcPr>
            <w:tcW w:w="1068" w:type="dxa"/>
            <w:vMerge w:val="restart"/>
            <w:tcBorders>
              <w:top w:val="nil"/>
            </w:tcBorders>
            <w:vAlign w:val="center"/>
          </w:tcPr>
          <w:p w14:paraId="42F8455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1.12</w:t>
            </w:r>
          </w:p>
          <w:p w14:paraId="4988D5B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(0.9, 1.4)</w:t>
            </w:r>
          </w:p>
        </w:tc>
        <w:tc>
          <w:tcPr>
            <w:tcW w:w="1795" w:type="dxa"/>
            <w:vMerge w:val="restart"/>
            <w:tcBorders>
              <w:top w:val="nil"/>
            </w:tcBorders>
            <w:vAlign w:val="center"/>
          </w:tcPr>
          <w:p w14:paraId="217C001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0.3</w:t>
            </w:r>
          </w:p>
        </w:tc>
      </w:tr>
      <w:tr w:rsidR="00D916C6" w14:paraId="5F4B3713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/>
            <w:vAlign w:val="center"/>
          </w:tcPr>
          <w:p w14:paraId="4E909EB1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1D24D07B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285ED2E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747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8CDC80D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589 (78.8%)</w:t>
            </w:r>
          </w:p>
        </w:tc>
        <w:tc>
          <w:tcPr>
            <w:tcW w:w="1434" w:type="dxa"/>
            <w:vMerge/>
          </w:tcPr>
          <w:p w14:paraId="6980764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vMerge/>
            <w:vAlign w:val="center"/>
          </w:tcPr>
          <w:p w14:paraId="0046A70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14:paraId="3181E56C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916C6" w14:paraId="7E227D95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 w:val="restart"/>
            <w:vAlign w:val="center"/>
          </w:tcPr>
          <w:p w14:paraId="638CD02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Hypoglycemia</w:t>
            </w: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2C19885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6A9018D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2367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3516DD62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76(3.2%)</w:t>
            </w:r>
          </w:p>
        </w:tc>
        <w:tc>
          <w:tcPr>
            <w:tcW w:w="1434" w:type="dxa"/>
            <w:vMerge w:val="restart"/>
          </w:tcPr>
          <w:p w14:paraId="4937BF2F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  <w:p w14:paraId="7AAE4BF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  <w:tc>
          <w:tcPr>
            <w:tcW w:w="1068" w:type="dxa"/>
            <w:vMerge w:val="restart"/>
            <w:vAlign w:val="center"/>
          </w:tcPr>
          <w:p w14:paraId="0BA4E6B3" w14:textId="77777777" w:rsidR="00D916C6" w:rsidRDefault="00D916C6" w:rsidP="00D916C6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0.59 (0.4, 0.87)</w:t>
            </w:r>
          </w:p>
        </w:tc>
        <w:tc>
          <w:tcPr>
            <w:tcW w:w="1795" w:type="dxa"/>
            <w:vMerge w:val="restart"/>
            <w:vAlign w:val="center"/>
          </w:tcPr>
          <w:p w14:paraId="50331BB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  <w:p w14:paraId="53BA5E1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0.007</w:t>
            </w:r>
          </w:p>
          <w:p w14:paraId="2FB998AA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916C6" w14:paraId="33393A59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/>
            <w:vAlign w:val="center"/>
          </w:tcPr>
          <w:p w14:paraId="0C38B671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14:paraId="76BBC38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48C78B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760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2F1BEDA6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54 (7.1%)</w:t>
            </w:r>
          </w:p>
        </w:tc>
        <w:tc>
          <w:tcPr>
            <w:tcW w:w="1434" w:type="dxa"/>
            <w:vMerge/>
          </w:tcPr>
          <w:p w14:paraId="5D78BE1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vMerge/>
            <w:vAlign w:val="center"/>
          </w:tcPr>
          <w:p w14:paraId="7C214873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14:paraId="23E56AA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</w:tbl>
    <w:p w14:paraId="35802C38" w14:textId="77777777" w:rsidR="00D916C6" w:rsidRPr="00402085" w:rsidRDefault="00D916C6" w:rsidP="00D916C6">
      <w:pPr>
        <w:pStyle w:val="AMIABodyText"/>
        <w:rPr>
          <w:rFonts w:ascii="MinionPro-Regular2" w:hAnsi="MinionPro-Regular2" w:cs="MinionPro-Regular2"/>
          <w:i/>
          <w:iCs/>
          <w:sz w:val="16"/>
          <w:szCs w:val="16"/>
        </w:rPr>
      </w:pPr>
      <w:r w:rsidRPr="00280724">
        <w:rPr>
          <w:rFonts w:ascii="MinionPro-Regular2" w:hAnsi="MinionPro-Regular2" w:cs="MinionPro-Regular2"/>
          <w:sz w:val="16"/>
          <w:szCs w:val="16"/>
        </w:rPr>
        <w:t>Continuous variables were summarized as means (</w:t>
      </w:r>
      <w:r>
        <w:rPr>
          <w:rFonts w:ascii="MinionPro-Regular2" w:hAnsi="MinionPro-Regular2" w:cs="MinionPro-Regular2"/>
          <w:sz w:val="16"/>
          <w:szCs w:val="16"/>
        </w:rPr>
        <w:t>95%CI</w:t>
      </w:r>
      <w:r w:rsidRPr="00280724">
        <w:rPr>
          <w:rFonts w:ascii="MinionPro-Regular2" w:hAnsi="MinionPro-Regular2" w:cs="MinionPro-Regular2"/>
          <w:sz w:val="16"/>
          <w:szCs w:val="16"/>
        </w:rPr>
        <w:t xml:space="preserve">), categorical variables were summarized as the number of patients with corresponding percentage </w:t>
      </w:r>
      <w:r w:rsidRPr="00280724">
        <w:rPr>
          <w:rFonts w:ascii="MinionPro-It" w:hAnsi="MinionPro-It" w:cs="MinionPro-It"/>
          <w:sz w:val="16"/>
          <w:szCs w:val="16"/>
        </w:rPr>
        <w:t xml:space="preserve">n </w:t>
      </w:r>
      <w:r w:rsidRPr="00280724">
        <w:rPr>
          <w:rFonts w:ascii="MinionPro-Regular2" w:hAnsi="MinionPro-Regular2" w:cs="MinionPro-Regular2"/>
          <w:sz w:val="16"/>
          <w:szCs w:val="16"/>
        </w:rPr>
        <w:t xml:space="preserve">(%). </w:t>
      </w:r>
      <w:r w:rsidRPr="00402085">
        <w:rPr>
          <w:rFonts w:ascii="MinionPro-Regular2" w:hAnsi="MinionPro-Regular2" w:cs="MinionPro-Regular2"/>
          <w:i/>
          <w:iCs/>
          <w:sz w:val="16"/>
          <w:szCs w:val="16"/>
        </w:rPr>
        <w:t>P</w:t>
      </w:r>
      <w:r w:rsidRPr="00402085">
        <w:rPr>
          <w:rFonts w:ascii="MinionPro-Regular2" w:hAnsi="MinionPro-Regular2" w:cs="MinionPro-Regular2"/>
          <w:sz w:val="16"/>
          <w:szCs w:val="16"/>
        </w:rPr>
        <w:t>&lt;0.05 was considered as statistically significant</w:t>
      </w:r>
      <w:r>
        <w:rPr>
          <w:rFonts w:ascii="MinionPro-Regular2" w:hAnsi="MinionPro-Regular2" w:cs="MinionPro-Regular2"/>
          <w:sz w:val="16"/>
          <w:szCs w:val="16"/>
        </w:rPr>
        <w:t xml:space="preserve">. </w:t>
      </w:r>
      <w:r w:rsidRPr="00806599">
        <w:rPr>
          <w:rFonts w:ascii="MinionPro-Regular2" w:hAnsi="MinionPro-Regular2" w:cs="MinionPro-Regular2"/>
          <w:i/>
          <w:iCs/>
          <w:sz w:val="16"/>
          <w:szCs w:val="16"/>
        </w:rPr>
        <w:t>Non-compliance group</w:t>
      </w:r>
      <w:r w:rsidRPr="00280724">
        <w:rPr>
          <w:rFonts w:ascii="MinionPro-Regular2" w:hAnsi="MinionPro-Regular2" w:cs="MinionPro-Regular2"/>
          <w:i/>
          <w:iCs/>
          <w:sz w:val="16"/>
          <w:szCs w:val="16"/>
        </w:rPr>
        <w:t>:</w:t>
      </w:r>
      <w:r w:rsidRPr="00280724">
        <w:t xml:space="preserve"> </w:t>
      </w:r>
      <w:r w:rsidRPr="00280724">
        <w:rPr>
          <w:rFonts w:ascii="MinionPro-Regular2" w:hAnsi="MinionPro-Regular2" w:cs="MinionPro-Regular2"/>
          <w:sz w:val="16"/>
          <w:szCs w:val="16"/>
        </w:rPr>
        <w:t>decision tree non-compliance group,</w:t>
      </w:r>
      <w:r w:rsidRPr="00806599">
        <w:rPr>
          <w:rFonts w:ascii="MinionPro-Regular2" w:hAnsi="MinionPro-Regular2" w:cs="MinionPro-Regular2"/>
          <w:i/>
          <w:iCs/>
          <w:sz w:val="16"/>
          <w:szCs w:val="16"/>
        </w:rPr>
        <w:t xml:space="preserve"> Compliance group</w:t>
      </w:r>
      <w:r w:rsidRPr="00280724">
        <w:rPr>
          <w:rFonts w:ascii="MinionPro-Regular2" w:hAnsi="MinionPro-Regular2" w:cs="MinionPro-Regular2"/>
          <w:i/>
          <w:iCs/>
          <w:sz w:val="16"/>
          <w:szCs w:val="16"/>
        </w:rPr>
        <w:t>:</w:t>
      </w:r>
      <w:r w:rsidRPr="00280724">
        <w:t xml:space="preserve"> </w:t>
      </w:r>
      <w:r w:rsidRPr="00280724">
        <w:rPr>
          <w:rFonts w:ascii="MinionPro-Regular2" w:hAnsi="MinionPro-Regular2" w:cs="MinionPro-Regular2"/>
          <w:sz w:val="16"/>
          <w:szCs w:val="16"/>
        </w:rPr>
        <w:t>decision tree compliance group.</w:t>
      </w:r>
      <w:r w:rsidRPr="00077F87">
        <w:rPr>
          <w:rFonts w:ascii="MinionPro-Regular2" w:hAnsi="MinionPro-Regular2" w:cs="MinionPro-Regular2"/>
          <w:i/>
          <w:iCs/>
          <w:sz w:val="16"/>
          <w:szCs w:val="16"/>
        </w:rPr>
        <w:t xml:space="preserve"> </w:t>
      </w:r>
      <w:r w:rsidRPr="00F830E4">
        <w:rPr>
          <w:rFonts w:ascii="MinionPro-Regular2" w:hAnsi="MinionPro-Regular2" w:cs="MinionPro-Regular2"/>
          <w:i/>
          <w:iCs/>
          <w:sz w:val="16"/>
          <w:szCs w:val="16"/>
        </w:rPr>
        <w:t>HbA1c: glycosylated</w:t>
      </w:r>
      <w:r w:rsidRPr="00F830E4">
        <w:rPr>
          <w:rFonts w:ascii="MinionPro-Regular2" w:hAnsi="MinionPro-Regular2" w:cs="MinionPro-Regular2"/>
          <w:sz w:val="16"/>
          <w:szCs w:val="16"/>
        </w:rPr>
        <w:t xml:space="preserve"> </w:t>
      </w:r>
      <w:r w:rsidRPr="00402085">
        <w:rPr>
          <w:rFonts w:ascii="MinionPro-Regular2" w:hAnsi="MinionPro-Regular2" w:cs="MinionPro-Regular2"/>
          <w:i/>
          <w:iCs/>
          <w:sz w:val="16"/>
          <w:szCs w:val="16"/>
        </w:rPr>
        <w:t>hemoglobin A1c.</w:t>
      </w:r>
    </w:p>
    <w:p w14:paraId="112D298D" w14:textId="77777777" w:rsidR="00E518C4" w:rsidRDefault="00E518C4"/>
    <w:p w14:paraId="0C9FCB76" w14:textId="77777777" w:rsidR="00D916C6" w:rsidRDefault="00D916C6"/>
    <w:p w14:paraId="694D1B0C" w14:textId="77777777" w:rsidR="00D916C6" w:rsidRPr="00806599" w:rsidRDefault="00E72765" w:rsidP="00D916C6">
      <w:pPr>
        <w:pStyle w:val="AMIABodyText"/>
        <w:jc w:val="center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Appendix </w:t>
      </w:r>
      <w:r>
        <w:rPr>
          <w:b/>
          <w:bCs/>
          <w:lang w:eastAsia="zh-CN"/>
        </w:rPr>
        <w:t>supplement</w:t>
      </w:r>
      <w:r>
        <w:rPr>
          <w:rFonts w:hint="eastAsia"/>
          <w:b/>
          <w:bCs/>
          <w:lang w:eastAsia="zh-CN"/>
        </w:rPr>
        <w:t xml:space="preserve"> </w:t>
      </w:r>
      <w:r w:rsidR="00D916C6">
        <w:rPr>
          <w:rFonts w:hint="eastAsia"/>
          <w:b/>
          <w:bCs/>
          <w:lang w:eastAsia="zh-CN"/>
        </w:rPr>
        <w:t>T</w:t>
      </w:r>
      <w:r w:rsidR="00D916C6" w:rsidRPr="00D95FC8">
        <w:rPr>
          <w:rFonts w:hint="eastAsia"/>
          <w:b/>
          <w:bCs/>
          <w:lang w:eastAsia="zh-CN"/>
        </w:rPr>
        <w:t>a</w:t>
      </w:r>
      <w:r w:rsidR="00D916C6" w:rsidRPr="00D95FC8">
        <w:rPr>
          <w:b/>
          <w:bCs/>
          <w:lang w:eastAsia="zh-CN"/>
        </w:rPr>
        <w:t>ble</w:t>
      </w:r>
      <w:r>
        <w:rPr>
          <w:b/>
          <w:bCs/>
          <w:lang w:eastAsia="zh-CN"/>
        </w:rPr>
        <w:t xml:space="preserve"> 4</w:t>
      </w:r>
      <w:r w:rsidR="00D916C6" w:rsidRPr="00D95FC8">
        <w:rPr>
          <w:b/>
          <w:bCs/>
          <w:lang w:eastAsia="zh-CN"/>
        </w:rPr>
        <w:t>.</w:t>
      </w:r>
      <w:r w:rsidR="00D916C6" w:rsidRPr="00806599">
        <w:rPr>
          <w:b/>
          <w:bCs/>
          <w:lang w:eastAsia="zh-CN"/>
        </w:rPr>
        <w:t xml:space="preserve"> The statistical analysis in patients with baseline HbA1</w:t>
      </w:r>
      <w:r w:rsidR="00D916C6">
        <w:rPr>
          <w:b/>
          <w:bCs/>
          <w:lang w:eastAsia="zh-CN"/>
        </w:rPr>
        <w:t xml:space="preserve">c&lt; </w:t>
      </w:r>
      <w:r w:rsidR="00D916C6" w:rsidRPr="00806599">
        <w:rPr>
          <w:b/>
          <w:bCs/>
          <w:lang w:eastAsia="zh-CN"/>
        </w:rPr>
        <w:t>7% in Cohort-</w:t>
      </w:r>
      <w:r w:rsidR="00D916C6">
        <w:rPr>
          <w:b/>
          <w:bCs/>
          <w:lang w:eastAsia="zh-CN"/>
        </w:rPr>
        <w:t>2</w:t>
      </w:r>
      <w:r w:rsidR="00D916C6" w:rsidRPr="00806599">
        <w:rPr>
          <w:b/>
          <w:bCs/>
          <w:lang w:eastAsia="zh-CN"/>
        </w:rPr>
        <w:t xml:space="preserve"> dataset</w:t>
      </w:r>
    </w:p>
    <w:tbl>
      <w:tblPr>
        <w:tblStyle w:val="a3"/>
        <w:tblW w:w="8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074"/>
        <w:gridCol w:w="106"/>
        <w:gridCol w:w="915"/>
        <w:gridCol w:w="1251"/>
        <w:gridCol w:w="1434"/>
        <w:gridCol w:w="1068"/>
        <w:gridCol w:w="1795"/>
        <w:gridCol w:w="17"/>
      </w:tblGrid>
      <w:tr w:rsidR="00D916C6" w14:paraId="53CA482E" w14:textId="77777777" w:rsidTr="00F24850">
        <w:trPr>
          <w:trHeight w:val="464"/>
          <w:jc w:val="center"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38981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Outcome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EF426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Decision tree-compliance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514A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Number of samples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0448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Incidence of outcome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3E827F5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</w:t>
            </w:r>
          </w:p>
          <w:p w14:paraId="2F5BBCDE" w14:textId="77777777" w:rsidR="00D916C6" w:rsidRDefault="00D916C6" w:rsidP="00F24850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    Mean</w:t>
            </w:r>
          </w:p>
          <w:p w14:paraId="6D69541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(95% CI)</w:t>
            </w:r>
          </w:p>
          <w:p w14:paraId="7CCB95BF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CC4C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Adjusted OR (95% CI)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62B5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Adjusted P value</w:t>
            </w:r>
          </w:p>
        </w:tc>
      </w:tr>
      <w:tr w:rsidR="00D916C6" w14:paraId="7B64F2D7" w14:textId="77777777" w:rsidTr="00F24850">
        <w:trPr>
          <w:gridAfter w:val="1"/>
          <w:wAfter w:w="17" w:type="dxa"/>
          <w:trHeight w:val="36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</w:tcBorders>
            <w:vAlign w:val="center"/>
          </w:tcPr>
          <w:p w14:paraId="123FEBCC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HbA1c</w:t>
            </w:r>
          </w:p>
          <w:p w14:paraId="3945B7D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change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14:paraId="42AA9EE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69FD28D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2332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5C5D26A4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/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</w:tcBorders>
          </w:tcPr>
          <w:p w14:paraId="7CA03CFD" w14:textId="77777777" w:rsidR="00D916C6" w:rsidRPr="00806599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 w:rsidRPr="00D02D10">
              <w:rPr>
                <w:szCs w:val="21"/>
              </w:rPr>
              <w:t>-0.</w:t>
            </w:r>
            <w:r>
              <w:rPr>
                <w:szCs w:val="21"/>
              </w:rPr>
              <w:t>04</w:t>
            </w:r>
          </w:p>
          <w:p w14:paraId="2A50A6D4" w14:textId="1F5183C5" w:rsidR="00D916C6" w:rsidRPr="00B01C25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 w:rsidRPr="00D02D10">
              <w:rPr>
                <w:szCs w:val="21"/>
              </w:rPr>
              <w:t>(-0.</w:t>
            </w:r>
            <w:r>
              <w:rPr>
                <w:szCs w:val="21"/>
              </w:rPr>
              <w:t>11</w:t>
            </w:r>
            <w:r w:rsidRPr="00D02D10">
              <w:rPr>
                <w:szCs w:val="21"/>
              </w:rPr>
              <w:t>~ 0.</w:t>
            </w:r>
            <w:r>
              <w:rPr>
                <w:szCs w:val="21"/>
              </w:rPr>
              <w:t>03</w:t>
            </w:r>
            <w:r w:rsidRPr="0052531F">
              <w:rPr>
                <w:szCs w:val="21"/>
              </w:rPr>
              <w:t>)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14:paraId="731CE2A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</w:tcBorders>
            <w:vAlign w:val="center"/>
          </w:tcPr>
          <w:p w14:paraId="363070D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0.27</w:t>
            </w:r>
          </w:p>
        </w:tc>
      </w:tr>
      <w:tr w:rsidR="00D916C6" w14:paraId="56D10FEF" w14:textId="77777777" w:rsidTr="00F24850">
        <w:trPr>
          <w:gridAfter w:val="1"/>
          <w:wAfter w:w="17" w:type="dxa"/>
          <w:trHeight w:val="360"/>
          <w:jc w:val="center"/>
        </w:trPr>
        <w:tc>
          <w:tcPr>
            <w:tcW w:w="980" w:type="dxa"/>
            <w:vMerge/>
            <w:tcBorders>
              <w:bottom w:val="nil"/>
            </w:tcBorders>
            <w:vAlign w:val="center"/>
          </w:tcPr>
          <w:p w14:paraId="6AC5180A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2638343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5538E4B2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757</w:t>
            </w:r>
          </w:p>
        </w:tc>
        <w:tc>
          <w:tcPr>
            <w:tcW w:w="1251" w:type="dxa"/>
            <w:tcBorders>
              <w:bottom w:val="nil"/>
            </w:tcBorders>
            <w:vAlign w:val="center"/>
          </w:tcPr>
          <w:p w14:paraId="02AA6705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/</w:t>
            </w:r>
          </w:p>
        </w:tc>
        <w:tc>
          <w:tcPr>
            <w:tcW w:w="1434" w:type="dxa"/>
            <w:vMerge/>
            <w:tcBorders>
              <w:bottom w:val="nil"/>
            </w:tcBorders>
          </w:tcPr>
          <w:p w14:paraId="5E3EE2F0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vAlign w:val="center"/>
          </w:tcPr>
          <w:p w14:paraId="2D94ECE7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tcBorders>
              <w:bottom w:val="nil"/>
            </w:tcBorders>
            <w:vAlign w:val="center"/>
          </w:tcPr>
          <w:p w14:paraId="455130FC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916C6" w14:paraId="1D1C964D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 w:val="restart"/>
            <w:tcBorders>
              <w:top w:val="nil"/>
            </w:tcBorders>
            <w:vAlign w:val="center"/>
          </w:tcPr>
          <w:p w14:paraId="2D5D1C3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HbA1c &lt;7%</w:t>
            </w: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681136E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77737D6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2332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249FAC12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1985(85.1</w:t>
            </w:r>
            <w:r>
              <w:rPr>
                <w:rFonts w:hint="eastAsia"/>
                <w:color w:val="000000"/>
                <w:kern w:val="24"/>
                <w:szCs w:val="21"/>
              </w:rPr>
              <w:t>%</w:t>
            </w:r>
            <w:r>
              <w:rPr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34" w:type="dxa"/>
            <w:vMerge w:val="restart"/>
            <w:tcBorders>
              <w:top w:val="nil"/>
            </w:tcBorders>
          </w:tcPr>
          <w:p w14:paraId="1C98F08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  <w:p w14:paraId="32512C0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  <w:tc>
          <w:tcPr>
            <w:tcW w:w="1068" w:type="dxa"/>
            <w:vMerge w:val="restart"/>
            <w:tcBorders>
              <w:top w:val="nil"/>
            </w:tcBorders>
            <w:vAlign w:val="center"/>
          </w:tcPr>
          <w:p w14:paraId="6F1334C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1.32</w:t>
            </w:r>
          </w:p>
          <w:p w14:paraId="4EDD8D0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(1.1, 1.6)</w:t>
            </w:r>
          </w:p>
        </w:tc>
        <w:tc>
          <w:tcPr>
            <w:tcW w:w="1795" w:type="dxa"/>
            <w:vMerge w:val="restart"/>
            <w:tcBorders>
              <w:top w:val="nil"/>
            </w:tcBorders>
            <w:vAlign w:val="center"/>
          </w:tcPr>
          <w:p w14:paraId="2477A5B3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0.009</w:t>
            </w:r>
          </w:p>
        </w:tc>
      </w:tr>
      <w:tr w:rsidR="00D916C6" w14:paraId="13B79AC7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/>
            <w:vAlign w:val="center"/>
          </w:tcPr>
          <w:p w14:paraId="6CBECC61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6EB39F38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7BF01C7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757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45808ABF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573 (75.7%)</w:t>
            </w:r>
          </w:p>
        </w:tc>
        <w:tc>
          <w:tcPr>
            <w:tcW w:w="1434" w:type="dxa"/>
            <w:vMerge/>
          </w:tcPr>
          <w:p w14:paraId="6F579DEC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vMerge/>
            <w:vAlign w:val="center"/>
          </w:tcPr>
          <w:p w14:paraId="0F524D17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14:paraId="636423A0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916C6" w14:paraId="0A29144E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 w:val="restart"/>
            <w:vAlign w:val="center"/>
          </w:tcPr>
          <w:p w14:paraId="05B97C1E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Hypoglycemia</w:t>
            </w: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14:paraId="37DB4ABD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vAlign w:val="center"/>
          </w:tcPr>
          <w:p w14:paraId="72CF053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2360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0B07A636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76(3.2%)</w:t>
            </w:r>
          </w:p>
        </w:tc>
        <w:tc>
          <w:tcPr>
            <w:tcW w:w="1434" w:type="dxa"/>
            <w:vMerge w:val="restart"/>
          </w:tcPr>
          <w:p w14:paraId="3F80251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  <w:p w14:paraId="321B6AB3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  <w:tc>
          <w:tcPr>
            <w:tcW w:w="1068" w:type="dxa"/>
            <w:vMerge w:val="restart"/>
            <w:vAlign w:val="center"/>
          </w:tcPr>
          <w:p w14:paraId="60D92739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0.73 (0.5, 1.1)</w:t>
            </w:r>
          </w:p>
        </w:tc>
        <w:tc>
          <w:tcPr>
            <w:tcW w:w="1795" w:type="dxa"/>
            <w:vMerge w:val="restart"/>
            <w:vAlign w:val="center"/>
          </w:tcPr>
          <w:p w14:paraId="05C2998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  <w:p w14:paraId="15880E5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0.09</w:t>
            </w:r>
          </w:p>
          <w:p w14:paraId="1F9AA14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916C6" w14:paraId="72BCB5C7" w14:textId="77777777" w:rsidTr="00F24850">
        <w:trPr>
          <w:gridAfter w:val="1"/>
          <w:wAfter w:w="17" w:type="dxa"/>
          <w:trHeight w:val="464"/>
          <w:jc w:val="center"/>
        </w:trPr>
        <w:tc>
          <w:tcPr>
            <w:tcW w:w="980" w:type="dxa"/>
            <w:vMerge/>
            <w:vAlign w:val="center"/>
          </w:tcPr>
          <w:p w14:paraId="64FCB812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14:paraId="4E2E6C2C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5F8A17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771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0E56FEAB" w14:textId="77777777" w:rsidR="00D916C6" w:rsidRDefault="00D916C6" w:rsidP="00F24850">
            <w:pPr>
              <w:spacing w:line="276" w:lineRule="auto"/>
              <w:jc w:val="center"/>
              <w:rPr>
                <w:color w:val="000000"/>
                <w:kern w:val="24"/>
                <w:szCs w:val="21"/>
                <w:highlight w:val="white"/>
              </w:rPr>
            </w:pPr>
            <w:r>
              <w:rPr>
                <w:color w:val="000000"/>
                <w:kern w:val="24"/>
                <w:szCs w:val="21"/>
                <w:highlight w:val="white"/>
              </w:rPr>
              <w:t>52 (6.7%)</w:t>
            </w:r>
          </w:p>
        </w:tc>
        <w:tc>
          <w:tcPr>
            <w:tcW w:w="1434" w:type="dxa"/>
            <w:vMerge/>
          </w:tcPr>
          <w:p w14:paraId="3A748E95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068" w:type="dxa"/>
            <w:vMerge/>
            <w:vAlign w:val="center"/>
          </w:tcPr>
          <w:p w14:paraId="248EC74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14:paraId="147F4D14" w14:textId="77777777" w:rsidR="00D916C6" w:rsidRDefault="00D916C6" w:rsidP="00F24850">
            <w:pPr>
              <w:spacing w:line="276" w:lineRule="auto"/>
              <w:jc w:val="center"/>
              <w:rPr>
                <w:szCs w:val="21"/>
              </w:rPr>
            </w:pPr>
          </w:p>
        </w:tc>
      </w:tr>
    </w:tbl>
    <w:p w14:paraId="4C96985D" w14:textId="77777777" w:rsidR="00D916C6" w:rsidRPr="00402085" w:rsidRDefault="00D916C6" w:rsidP="00D916C6">
      <w:pPr>
        <w:pStyle w:val="AMIABodyText"/>
        <w:rPr>
          <w:rFonts w:ascii="MinionPro-Regular2" w:hAnsi="MinionPro-Regular2" w:cs="MinionPro-Regular2"/>
          <w:i/>
          <w:iCs/>
          <w:sz w:val="16"/>
          <w:szCs w:val="16"/>
        </w:rPr>
      </w:pPr>
      <w:r w:rsidRPr="00280724">
        <w:rPr>
          <w:rFonts w:ascii="MinionPro-Regular2" w:hAnsi="MinionPro-Regular2" w:cs="MinionPro-Regular2"/>
          <w:sz w:val="16"/>
          <w:szCs w:val="16"/>
        </w:rPr>
        <w:t>Continuous variables were summarized as means (</w:t>
      </w:r>
      <w:r>
        <w:rPr>
          <w:rFonts w:ascii="MinionPro-Regular2" w:hAnsi="MinionPro-Regular2" w:cs="MinionPro-Regular2"/>
          <w:sz w:val="16"/>
          <w:szCs w:val="16"/>
        </w:rPr>
        <w:t>95%CI</w:t>
      </w:r>
      <w:r w:rsidRPr="00280724">
        <w:rPr>
          <w:rFonts w:ascii="MinionPro-Regular2" w:hAnsi="MinionPro-Regular2" w:cs="MinionPro-Regular2"/>
          <w:sz w:val="16"/>
          <w:szCs w:val="16"/>
        </w:rPr>
        <w:t xml:space="preserve">), categorical variables were summarized as the number of patients with corresponding percentage </w:t>
      </w:r>
      <w:r w:rsidRPr="00280724">
        <w:rPr>
          <w:rFonts w:ascii="MinionPro-It" w:hAnsi="MinionPro-It" w:cs="MinionPro-It"/>
          <w:sz w:val="16"/>
          <w:szCs w:val="16"/>
        </w:rPr>
        <w:t xml:space="preserve">n </w:t>
      </w:r>
      <w:r w:rsidRPr="00280724">
        <w:rPr>
          <w:rFonts w:ascii="MinionPro-Regular2" w:hAnsi="MinionPro-Regular2" w:cs="MinionPro-Regular2"/>
          <w:sz w:val="16"/>
          <w:szCs w:val="16"/>
        </w:rPr>
        <w:t xml:space="preserve">(%). </w:t>
      </w:r>
      <w:r w:rsidRPr="00402085">
        <w:rPr>
          <w:rFonts w:ascii="MinionPro-Regular2" w:hAnsi="MinionPro-Regular2" w:cs="MinionPro-Regular2"/>
          <w:i/>
          <w:iCs/>
          <w:sz w:val="16"/>
          <w:szCs w:val="16"/>
        </w:rPr>
        <w:t>P</w:t>
      </w:r>
      <w:r w:rsidRPr="00402085">
        <w:rPr>
          <w:rFonts w:ascii="MinionPro-Regular2" w:hAnsi="MinionPro-Regular2" w:cs="MinionPro-Regular2"/>
          <w:sz w:val="16"/>
          <w:szCs w:val="16"/>
        </w:rPr>
        <w:t>&lt;0.05 was considered as statistically significant</w:t>
      </w:r>
      <w:r>
        <w:rPr>
          <w:rFonts w:ascii="MinionPro-Regular2" w:hAnsi="MinionPro-Regular2" w:cs="MinionPro-Regular2"/>
          <w:sz w:val="16"/>
          <w:szCs w:val="16"/>
        </w:rPr>
        <w:t xml:space="preserve">. </w:t>
      </w:r>
      <w:r w:rsidRPr="00806599">
        <w:rPr>
          <w:rFonts w:ascii="MinionPro-Regular2" w:hAnsi="MinionPro-Regular2" w:cs="MinionPro-Regular2"/>
          <w:i/>
          <w:iCs/>
          <w:sz w:val="16"/>
          <w:szCs w:val="16"/>
        </w:rPr>
        <w:t>Non-compliance group</w:t>
      </w:r>
      <w:r w:rsidRPr="00280724">
        <w:rPr>
          <w:rFonts w:ascii="MinionPro-Regular2" w:hAnsi="MinionPro-Regular2" w:cs="MinionPro-Regular2"/>
          <w:i/>
          <w:iCs/>
          <w:sz w:val="16"/>
          <w:szCs w:val="16"/>
        </w:rPr>
        <w:t>:</w:t>
      </w:r>
      <w:r w:rsidRPr="00280724">
        <w:t xml:space="preserve"> </w:t>
      </w:r>
      <w:r w:rsidRPr="00280724">
        <w:rPr>
          <w:rFonts w:ascii="MinionPro-Regular2" w:hAnsi="MinionPro-Regular2" w:cs="MinionPro-Regular2"/>
          <w:sz w:val="16"/>
          <w:szCs w:val="16"/>
        </w:rPr>
        <w:t>decision tree non-compliance group,</w:t>
      </w:r>
      <w:r w:rsidRPr="00806599">
        <w:rPr>
          <w:rFonts w:ascii="MinionPro-Regular2" w:hAnsi="MinionPro-Regular2" w:cs="MinionPro-Regular2"/>
          <w:i/>
          <w:iCs/>
          <w:sz w:val="16"/>
          <w:szCs w:val="16"/>
        </w:rPr>
        <w:t xml:space="preserve"> Compliance group</w:t>
      </w:r>
      <w:r w:rsidRPr="00280724">
        <w:rPr>
          <w:rFonts w:ascii="MinionPro-Regular2" w:hAnsi="MinionPro-Regular2" w:cs="MinionPro-Regular2"/>
          <w:i/>
          <w:iCs/>
          <w:sz w:val="16"/>
          <w:szCs w:val="16"/>
        </w:rPr>
        <w:t>:</w:t>
      </w:r>
      <w:r w:rsidRPr="00280724">
        <w:t xml:space="preserve"> </w:t>
      </w:r>
      <w:r w:rsidRPr="00280724">
        <w:rPr>
          <w:rFonts w:ascii="MinionPro-Regular2" w:hAnsi="MinionPro-Regular2" w:cs="MinionPro-Regular2"/>
          <w:sz w:val="16"/>
          <w:szCs w:val="16"/>
        </w:rPr>
        <w:t>decision tree compliance group.</w:t>
      </w:r>
      <w:r w:rsidRPr="00077F87">
        <w:rPr>
          <w:rFonts w:ascii="MinionPro-Regular2" w:hAnsi="MinionPro-Regular2" w:cs="MinionPro-Regular2"/>
          <w:i/>
          <w:iCs/>
          <w:sz w:val="16"/>
          <w:szCs w:val="16"/>
        </w:rPr>
        <w:t xml:space="preserve"> </w:t>
      </w:r>
      <w:r w:rsidRPr="00F830E4">
        <w:rPr>
          <w:rFonts w:ascii="MinionPro-Regular2" w:hAnsi="MinionPro-Regular2" w:cs="MinionPro-Regular2"/>
          <w:i/>
          <w:iCs/>
          <w:sz w:val="16"/>
          <w:szCs w:val="16"/>
        </w:rPr>
        <w:t>HbA1c: glycosylated</w:t>
      </w:r>
      <w:r w:rsidRPr="00F830E4">
        <w:rPr>
          <w:rFonts w:ascii="MinionPro-Regular2" w:hAnsi="MinionPro-Regular2" w:cs="MinionPro-Regular2"/>
          <w:sz w:val="16"/>
          <w:szCs w:val="16"/>
        </w:rPr>
        <w:t xml:space="preserve"> </w:t>
      </w:r>
      <w:r w:rsidRPr="00402085">
        <w:rPr>
          <w:rFonts w:ascii="MinionPro-Regular2" w:hAnsi="MinionPro-Regular2" w:cs="MinionPro-Regular2"/>
          <w:i/>
          <w:iCs/>
          <w:sz w:val="16"/>
          <w:szCs w:val="16"/>
        </w:rPr>
        <w:t>hemoglobin A1c.</w:t>
      </w:r>
    </w:p>
    <w:p w14:paraId="48601867" w14:textId="77777777" w:rsidR="00D916C6" w:rsidRDefault="00D916C6"/>
    <w:sectPr w:rsidR="00D916C6" w:rsidSect="00E0424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CF0C2" w14:textId="77777777" w:rsidR="007F0136" w:rsidRDefault="007F0136" w:rsidP="00916339">
      <w:r>
        <w:separator/>
      </w:r>
    </w:p>
  </w:endnote>
  <w:endnote w:type="continuationSeparator" w:id="0">
    <w:p w14:paraId="741AD371" w14:textId="77777777" w:rsidR="007F0136" w:rsidRDefault="007F0136" w:rsidP="0091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38229" w14:textId="77777777" w:rsidR="007F0136" w:rsidRDefault="007F0136" w:rsidP="00916339">
      <w:r>
        <w:separator/>
      </w:r>
    </w:p>
  </w:footnote>
  <w:footnote w:type="continuationSeparator" w:id="0">
    <w:p w14:paraId="64AC4471" w14:textId="77777777" w:rsidR="007F0136" w:rsidRDefault="007F0136" w:rsidP="00916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C6"/>
    <w:rsid w:val="003879D0"/>
    <w:rsid w:val="007F0136"/>
    <w:rsid w:val="00916339"/>
    <w:rsid w:val="0096515D"/>
    <w:rsid w:val="0098373C"/>
    <w:rsid w:val="00D916C6"/>
    <w:rsid w:val="00E0424D"/>
    <w:rsid w:val="00E518C4"/>
    <w:rsid w:val="00E72765"/>
    <w:rsid w:val="00F8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66B242"/>
  <w15:chartTrackingRefBased/>
  <w15:docId w15:val="{DE18FA2C-1403-944D-B749-044C8622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6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MIABodyText">
    <w:name w:val="AMIA Body Text"/>
    <w:basedOn w:val="a"/>
    <w:qFormat/>
    <w:rsid w:val="00D916C6"/>
    <w:pPr>
      <w:widowControl/>
      <w:suppressAutoHyphens/>
      <w:spacing w:after="120" w:line="259" w:lineRule="auto"/>
    </w:pPr>
    <w:rPr>
      <w:rFonts w:ascii="Times New Roman" w:eastAsiaTheme="minorEastAsia" w:hAnsi="Times New Roman"/>
      <w:kern w:val="0"/>
      <w:sz w:val="20"/>
      <w:szCs w:val="20"/>
      <w:lang w:eastAsia="en-US"/>
    </w:rPr>
  </w:style>
  <w:style w:type="table" w:styleId="a3">
    <w:name w:val="Table Grid"/>
    <w:basedOn w:val="a1"/>
    <w:uiPriority w:val="39"/>
    <w:qFormat/>
    <w:rsid w:val="00D916C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6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633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6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63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Huang, Anya /CN</cp:lastModifiedBy>
  <cp:revision>2</cp:revision>
  <dcterms:created xsi:type="dcterms:W3CDTF">2021-04-30T04:10:00Z</dcterms:created>
  <dcterms:modified xsi:type="dcterms:W3CDTF">2021-04-30T04:10:00Z</dcterms:modified>
</cp:coreProperties>
</file>