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F2C03" w14:textId="77777777" w:rsidR="009A3FF4" w:rsidRDefault="009A3FF4" w:rsidP="009A3FF4">
      <w:pPr>
        <w:pStyle w:val="ListParagraph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 Figures and Tables</w:t>
      </w:r>
    </w:p>
    <w:p w14:paraId="4B28573D" w14:textId="77777777" w:rsidR="009A3FF4" w:rsidRDefault="009A3FF4" w:rsidP="009A3FF4">
      <w:pPr>
        <w:pStyle w:val="ListParagraph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 Figure 1: Study design schematic</w:t>
      </w:r>
    </w:p>
    <w:p w14:paraId="65A7AB6E" w14:textId="77777777" w:rsidR="009A3FF4" w:rsidRDefault="009A3FF4" w:rsidP="009A3FF4">
      <w:pPr>
        <w:pStyle w:val="ListParagraph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63954C5" wp14:editId="4075EB20">
            <wp:extent cx="6739165" cy="286702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0340" cy="2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886DB" w14:textId="77777777" w:rsidR="009A3FF4" w:rsidRDefault="009A3FF4" w:rsidP="009A3FF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10A6EFB" w14:textId="77777777" w:rsidR="009A3FF4" w:rsidRDefault="009A3FF4" w:rsidP="009A3FF4">
      <w:pPr>
        <w:pStyle w:val="ListParagraph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Supplemental Figure 2: Example learning module for the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rtCGM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group—breakfast </w:t>
      </w:r>
    </w:p>
    <w:p w14:paraId="08504A8F" w14:textId="77777777" w:rsidR="009A3FF4" w:rsidRDefault="009A3FF4" w:rsidP="009A3FF4">
      <w:pPr>
        <w:pStyle w:val="ListParagraph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6C9F123" wp14:editId="0C347C46">
            <wp:extent cx="5153025" cy="6219825"/>
            <wp:effectExtent l="0" t="0" r="9525" b="952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MITTED_alternate Fig 2_12Feb202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0C59" w14:textId="77777777" w:rsidR="009A3FF4" w:rsidRDefault="009A3FF4" w:rsidP="009A3FF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C6B5A62" w14:textId="77777777" w:rsidR="009A3FF4" w:rsidRDefault="009A3FF4" w:rsidP="009A3FF4">
      <w:pPr>
        <w:pStyle w:val="ListParagraph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Supplemental Table 1: Summary of Diabetes Medications by Subject</w:t>
      </w:r>
    </w:p>
    <w:p w14:paraId="0D772B99" w14:textId="77777777" w:rsidR="009A3FF4" w:rsidRDefault="009A3FF4" w:rsidP="009A3FF4">
      <w:pPr>
        <w:adjustRightInd w:val="0"/>
        <w:rPr>
          <w:b/>
          <w:bCs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8"/>
        <w:gridCol w:w="1219"/>
        <w:gridCol w:w="1219"/>
        <w:gridCol w:w="1219"/>
      </w:tblGrid>
      <w:tr w:rsidR="009A3FF4" w14:paraId="2BB821D8" w14:textId="77777777" w:rsidTr="00EA4646">
        <w:trPr>
          <w:cantSplit/>
          <w:tblHeader/>
          <w:jc w:val="center"/>
        </w:trPr>
        <w:tc>
          <w:tcPr>
            <w:tcW w:w="278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FD03B14" w14:textId="77777777" w:rsidR="009A3FF4" w:rsidRDefault="009A3FF4" w:rsidP="00EA4646">
            <w:pPr>
              <w:keepNext/>
              <w:adjustRightInd w:val="0"/>
              <w:spacing w:before="100" w:after="100"/>
              <w:jc w:val="center"/>
              <w:rPr>
                <w:b/>
                <w:bCs/>
                <w:color w:val="000000"/>
              </w:rPr>
            </w:pPr>
            <w:bookmarkStart w:id="0" w:name="IDX"/>
            <w:bookmarkEnd w:id="0"/>
            <w:r>
              <w:rPr>
                <w:b/>
                <w:bCs/>
                <w:color w:val="000000"/>
              </w:rPr>
              <w:t>Medications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627729B8" w14:textId="77777777" w:rsidR="009A3FF4" w:rsidRDefault="009A3FF4" w:rsidP="00EA4646">
            <w:pPr>
              <w:keepNext/>
              <w:adjustRightInd w:val="0"/>
              <w:spacing w:before="100" w:after="1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CGM</w:t>
            </w:r>
            <w:r>
              <w:rPr>
                <w:b/>
                <w:bCs/>
                <w:color w:val="000000"/>
              </w:rPr>
              <w:br/>
              <w:t>(N=45)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108869ED" w14:textId="77777777" w:rsidR="009A3FF4" w:rsidRDefault="009A3FF4" w:rsidP="00EA4646">
            <w:pPr>
              <w:keepNext/>
              <w:adjustRightInd w:val="0"/>
              <w:spacing w:before="100" w:after="1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SMBG</w:t>
            </w:r>
            <w:r>
              <w:rPr>
                <w:b/>
                <w:bCs/>
                <w:color w:val="000000"/>
              </w:rPr>
              <w:br/>
              <w:t>(N=23)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C545E72" w14:textId="77777777" w:rsidR="009A3FF4" w:rsidRDefault="009A3FF4" w:rsidP="00EA4646">
            <w:pPr>
              <w:keepNext/>
              <w:adjustRightInd w:val="0"/>
              <w:spacing w:before="100" w:after="1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Overall</w:t>
            </w:r>
            <w:r>
              <w:rPr>
                <w:b/>
                <w:bCs/>
                <w:color w:val="000000"/>
              </w:rPr>
              <w:br/>
              <w:t>(N=68)</w:t>
            </w:r>
          </w:p>
        </w:tc>
      </w:tr>
      <w:tr w:rsidR="009A3FF4" w14:paraId="7CAD4676" w14:textId="77777777" w:rsidTr="00EA4646">
        <w:trPr>
          <w:cantSplit/>
          <w:jc w:val="center"/>
        </w:trPr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1F71A8F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Sulfonylureas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FC2B78B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34 (75.6%)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C080FEF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13 (56.5%)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C5825C2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47 (69.1%)</w:t>
            </w:r>
          </w:p>
        </w:tc>
      </w:tr>
      <w:tr w:rsidR="009A3FF4" w14:paraId="59E76ECE" w14:textId="77777777" w:rsidTr="00EA4646">
        <w:trPr>
          <w:cantSplit/>
          <w:jc w:val="center"/>
        </w:trPr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E75058B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DPP-4 Inhibitors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A6275E6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13 (28.9%)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E51A835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10 (43.5%)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DAEE72D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23 (33.8%)</w:t>
            </w:r>
          </w:p>
        </w:tc>
      </w:tr>
      <w:tr w:rsidR="009A3FF4" w14:paraId="0B0091E5" w14:textId="77777777" w:rsidTr="00EA4646">
        <w:trPr>
          <w:cantSplit/>
          <w:jc w:val="center"/>
        </w:trPr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E92BD4A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SGLT-2 Inhibitors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E747B4C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26 (57.8%)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5AB1462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9 (39.1%)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F39E485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35 (51.5%)</w:t>
            </w:r>
          </w:p>
        </w:tc>
      </w:tr>
      <w:tr w:rsidR="009A3FF4" w14:paraId="0C1017DB" w14:textId="77777777" w:rsidTr="00EA4646">
        <w:trPr>
          <w:cantSplit/>
          <w:jc w:val="center"/>
        </w:trPr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FE9ADEC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Alpha-glucosidase Inhibitors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2C20543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0 (0.0%)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8509C9A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0 (0.0%)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794A1CE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0 (0.0%)</w:t>
            </w:r>
          </w:p>
        </w:tc>
      </w:tr>
      <w:tr w:rsidR="009A3FF4" w14:paraId="4962AD7A" w14:textId="77777777" w:rsidTr="00EA4646">
        <w:trPr>
          <w:cantSplit/>
          <w:jc w:val="center"/>
        </w:trPr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06FF2FD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Thiazolidinediones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1C9CA39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5 (11.1%)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55FBF46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3 (13.0%)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539E713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8 (11.8%)</w:t>
            </w:r>
          </w:p>
        </w:tc>
      </w:tr>
      <w:tr w:rsidR="009A3FF4" w14:paraId="19273FA1" w14:textId="77777777" w:rsidTr="00EA4646">
        <w:trPr>
          <w:cantSplit/>
          <w:jc w:val="center"/>
        </w:trPr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9A5F89C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bookmarkStart w:id="1" w:name="_Hlk66701179"/>
            <w:r>
              <w:rPr>
                <w:color w:val="000000"/>
              </w:rPr>
              <w:t>Biguanides</w:t>
            </w:r>
            <w:bookmarkEnd w:id="1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F3F69F7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37 (82.2%)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ED0F4C8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19 (82.6%)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14B8483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56 (82.4%)</w:t>
            </w:r>
          </w:p>
        </w:tc>
      </w:tr>
      <w:tr w:rsidR="009A3FF4" w14:paraId="589C2788" w14:textId="77777777" w:rsidTr="00EA4646">
        <w:trPr>
          <w:cantSplit/>
          <w:jc w:val="center"/>
        </w:trPr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1C0B325" w14:textId="77777777" w:rsidR="009A3FF4" w:rsidRDefault="009A3FF4" w:rsidP="00EA4646">
            <w:pPr>
              <w:keepNext/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Meglitinides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8A55A00" w14:textId="77777777" w:rsidR="009A3FF4" w:rsidRDefault="009A3FF4" w:rsidP="00EA4646">
            <w:pPr>
              <w:keepNext/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0 (0.0%)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A7A7762" w14:textId="77777777" w:rsidR="009A3FF4" w:rsidRDefault="009A3FF4" w:rsidP="00EA4646">
            <w:pPr>
              <w:keepNext/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1 (4.3%)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742CC15" w14:textId="77777777" w:rsidR="009A3FF4" w:rsidRDefault="009A3FF4" w:rsidP="00EA4646">
            <w:pPr>
              <w:keepNext/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1 (1.5%)</w:t>
            </w:r>
          </w:p>
        </w:tc>
      </w:tr>
      <w:tr w:rsidR="009A3FF4" w14:paraId="127A6AD2" w14:textId="77777777" w:rsidTr="00EA4646">
        <w:trPr>
          <w:cantSplit/>
          <w:jc w:val="center"/>
        </w:trPr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9A56771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Other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97E4E7D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16 (35.6%)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D95F5BD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8 (34.8%)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D0135D1" w14:textId="77777777" w:rsidR="009A3FF4" w:rsidRDefault="009A3FF4" w:rsidP="00EA4646">
            <w:pPr>
              <w:adjustRightInd w:val="0"/>
              <w:spacing w:before="100" w:after="100"/>
              <w:jc w:val="center"/>
              <w:rPr>
                <w:color w:val="000000"/>
              </w:rPr>
            </w:pPr>
            <w:r>
              <w:rPr>
                <w:color w:val="000000"/>
              </w:rPr>
              <w:t>24 (35.3%)</w:t>
            </w:r>
          </w:p>
        </w:tc>
      </w:tr>
    </w:tbl>
    <w:p w14:paraId="7D60B03C" w14:textId="77777777" w:rsidR="009A3FF4" w:rsidRDefault="009A3FF4" w:rsidP="009A3FF4">
      <w:pPr>
        <w:pStyle w:val="ListParagraph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0155E59D" w14:textId="77777777" w:rsidR="009A3FF4" w:rsidRDefault="009A3FF4" w:rsidP="009A3FF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756563B" w14:textId="77777777" w:rsidR="009A3FF4" w:rsidRDefault="009A3FF4" w:rsidP="009A3FF4">
      <w:pPr>
        <w:pStyle w:val="ListParagraph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Supplemental Table 2: </w:t>
      </w:r>
      <w:r w:rsidRPr="00470B73">
        <w:rPr>
          <w:rFonts w:ascii="Arial" w:hAnsi="Arial" w:cs="Arial"/>
          <w:b/>
          <w:bCs/>
          <w:sz w:val="24"/>
          <w:szCs w:val="24"/>
        </w:rPr>
        <w:t xml:space="preserve">Continuous Glucose Monitoring (CGM)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470B73">
        <w:rPr>
          <w:rFonts w:ascii="Arial" w:hAnsi="Arial" w:cs="Arial"/>
          <w:b/>
          <w:bCs/>
          <w:sz w:val="24"/>
          <w:szCs w:val="24"/>
        </w:rPr>
        <w:t>oding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470B7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including for intermittent CGM use and data interpretation</w:t>
      </w:r>
    </w:p>
    <w:tbl>
      <w:tblPr>
        <w:tblStyle w:val="TableGrid"/>
        <w:tblW w:w="9577" w:type="dxa"/>
        <w:tblLook w:val="04A0" w:firstRow="1" w:lastRow="0" w:firstColumn="1" w:lastColumn="0" w:noHBand="0" w:noVBand="1"/>
      </w:tblPr>
      <w:tblGrid>
        <w:gridCol w:w="3192"/>
        <w:gridCol w:w="3192"/>
        <w:gridCol w:w="3193"/>
      </w:tblGrid>
      <w:tr w:rsidR="009A3FF4" w:rsidRPr="009A0928" w14:paraId="2C8566E1" w14:textId="77777777" w:rsidTr="00EA4646">
        <w:trPr>
          <w:trHeight w:val="551"/>
        </w:trPr>
        <w:tc>
          <w:tcPr>
            <w:tcW w:w="3192" w:type="dxa"/>
          </w:tcPr>
          <w:p w14:paraId="2636F6FE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9A0928">
              <w:rPr>
                <w:rFonts w:cstheme="minorHAnsi"/>
                <w:b/>
                <w:bCs/>
              </w:rPr>
              <w:t>CPT Code</w:t>
            </w:r>
          </w:p>
          <w:p w14:paraId="25AE403F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</w:tc>
        <w:tc>
          <w:tcPr>
            <w:tcW w:w="3192" w:type="dxa"/>
          </w:tcPr>
          <w:p w14:paraId="28E37FCA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9A0928">
              <w:rPr>
                <w:rFonts w:cstheme="minorHAnsi"/>
                <w:b/>
                <w:bCs/>
              </w:rPr>
              <w:t>Description</w:t>
            </w:r>
          </w:p>
        </w:tc>
        <w:tc>
          <w:tcPr>
            <w:tcW w:w="3193" w:type="dxa"/>
          </w:tcPr>
          <w:p w14:paraId="3AAA2620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9A0928">
              <w:rPr>
                <w:rFonts w:cstheme="minorHAnsi"/>
                <w:b/>
                <w:bCs/>
              </w:rPr>
              <w:t>Billing frequency covered</w:t>
            </w:r>
          </w:p>
        </w:tc>
      </w:tr>
      <w:tr w:rsidR="009A3FF4" w:rsidRPr="009A0928" w14:paraId="7DE0E4EA" w14:textId="77777777" w:rsidTr="00EA4646">
        <w:trPr>
          <w:trHeight w:val="551"/>
        </w:trPr>
        <w:tc>
          <w:tcPr>
            <w:tcW w:w="3192" w:type="dxa"/>
          </w:tcPr>
          <w:p w14:paraId="14C883A2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>CPT 95249</w:t>
            </w:r>
          </w:p>
        </w:tc>
        <w:tc>
          <w:tcPr>
            <w:tcW w:w="3192" w:type="dxa"/>
          </w:tcPr>
          <w:p w14:paraId="6B6E92AC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>Personal CGM - Startup/Training</w:t>
            </w:r>
          </w:p>
          <w:p w14:paraId="0BFDD2DD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</w:p>
          <w:p w14:paraId="238F1DDC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 xml:space="preserve">Ambulatory continuous glucose monitoring of interstitial tissue fluid via a subcutaneous sensor for a minimum of 72 hours; patient-provided equipment, sensor placement, hook-up, calibration of monitor, patient training, and printout of recording. </w:t>
            </w:r>
          </w:p>
        </w:tc>
        <w:tc>
          <w:tcPr>
            <w:tcW w:w="3193" w:type="dxa"/>
          </w:tcPr>
          <w:p w14:paraId="447955E4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 xml:space="preserve">Bill only once during the time period that the patient owns the device. </w:t>
            </w:r>
          </w:p>
        </w:tc>
      </w:tr>
      <w:tr w:rsidR="009A3FF4" w:rsidRPr="009A0928" w14:paraId="786BE466" w14:textId="77777777" w:rsidTr="00EA4646">
        <w:trPr>
          <w:trHeight w:val="275"/>
        </w:trPr>
        <w:tc>
          <w:tcPr>
            <w:tcW w:w="3192" w:type="dxa"/>
          </w:tcPr>
          <w:p w14:paraId="37BAE416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>CPT 95250</w:t>
            </w:r>
          </w:p>
        </w:tc>
        <w:tc>
          <w:tcPr>
            <w:tcW w:w="3192" w:type="dxa"/>
          </w:tcPr>
          <w:p w14:paraId="17CCFC3B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>Professional CGM</w:t>
            </w:r>
          </w:p>
          <w:p w14:paraId="2DF52DEA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</w:p>
          <w:p w14:paraId="31EF329D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 xml:space="preserve">Ambulatory continuous glucose monitoring of interstitial tissue fluid via a subcutaneous sensor for a minimum of 72 hours; physician or other qualified health care professional (office) provided equipment, sensor placement, hook-up, calibration of monitor, patient training, removal of sensor, and printout of recording. </w:t>
            </w:r>
          </w:p>
        </w:tc>
        <w:tc>
          <w:tcPr>
            <w:tcW w:w="3193" w:type="dxa"/>
          </w:tcPr>
          <w:p w14:paraId="40758B40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>Do not bill more than once a month.</w:t>
            </w:r>
          </w:p>
        </w:tc>
      </w:tr>
      <w:tr w:rsidR="009A3FF4" w:rsidRPr="009A0928" w14:paraId="1A8F74CA" w14:textId="77777777" w:rsidTr="00EA4646">
        <w:trPr>
          <w:trHeight w:val="263"/>
        </w:trPr>
        <w:tc>
          <w:tcPr>
            <w:tcW w:w="3192" w:type="dxa"/>
          </w:tcPr>
          <w:p w14:paraId="5E260833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>CPT 95251</w:t>
            </w:r>
          </w:p>
        </w:tc>
        <w:tc>
          <w:tcPr>
            <w:tcW w:w="3192" w:type="dxa"/>
          </w:tcPr>
          <w:p w14:paraId="74158323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>CGM Interpretation</w:t>
            </w:r>
          </w:p>
          <w:p w14:paraId="7854C428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</w:p>
          <w:p w14:paraId="66F628D7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 xml:space="preserve">Ambulatory continuous glucose monitoring of interstitial tissue fluid via a subcutaneous sensor for a minimum of 72 hours; analysis, interpretation and report. </w:t>
            </w:r>
          </w:p>
        </w:tc>
        <w:tc>
          <w:tcPr>
            <w:tcW w:w="3193" w:type="dxa"/>
          </w:tcPr>
          <w:p w14:paraId="0C89B91E" w14:textId="77777777" w:rsidR="009A3FF4" w:rsidRPr="009A0928" w:rsidRDefault="009A3FF4" w:rsidP="00EA4646">
            <w:pPr>
              <w:pStyle w:val="ListParagraph"/>
              <w:ind w:left="0"/>
              <w:rPr>
                <w:rFonts w:cstheme="minorHAnsi"/>
              </w:rPr>
            </w:pPr>
            <w:r w:rsidRPr="009A0928">
              <w:rPr>
                <w:rFonts w:cstheme="minorHAnsi"/>
              </w:rPr>
              <w:t>Do not bill more than once a month.</w:t>
            </w:r>
          </w:p>
        </w:tc>
      </w:tr>
    </w:tbl>
    <w:p w14:paraId="0C802867" w14:textId="77777777" w:rsidR="009A3FF4" w:rsidRPr="00882664" w:rsidRDefault="009A3FF4" w:rsidP="009A3FF4">
      <w:pPr>
        <w:pStyle w:val="ListParagraph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2B9AA1AE" w14:textId="77777777" w:rsidR="009A3FF4" w:rsidRDefault="009A3FF4" w:rsidP="009A3FF4"/>
    <w:p w14:paraId="38F33D3B" w14:textId="77777777" w:rsidR="0073041F" w:rsidRDefault="009A3FF4">
      <w:bookmarkStart w:id="2" w:name="_GoBack"/>
      <w:bookmarkEnd w:id="2"/>
    </w:p>
    <w:sectPr w:rsidR="00730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F4"/>
    <w:rsid w:val="002146B7"/>
    <w:rsid w:val="002258CC"/>
    <w:rsid w:val="0040069F"/>
    <w:rsid w:val="00686EAC"/>
    <w:rsid w:val="009A3FF4"/>
    <w:rsid w:val="00C2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F2B00"/>
  <w15:chartTrackingRefBased/>
  <w15:docId w15:val="{4F165207-BBE1-40B6-A55A-E3180940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A3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3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Dexcom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Puhr</dc:creator>
  <cp:keywords/>
  <dc:description/>
  <cp:lastModifiedBy>Sarah Puhr</cp:lastModifiedBy>
  <cp:revision>1</cp:revision>
  <dcterms:created xsi:type="dcterms:W3CDTF">2021-04-17T08:30:00Z</dcterms:created>
  <dcterms:modified xsi:type="dcterms:W3CDTF">2021-04-17T08:30:00Z</dcterms:modified>
</cp:coreProperties>
</file>