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4BA17" w14:textId="7C2051EA" w:rsidR="009975F1" w:rsidRPr="008374F8" w:rsidRDefault="009975F1" w:rsidP="009975F1">
      <w:pPr>
        <w:spacing w:line="480" w:lineRule="auto"/>
        <w:rPr>
          <w:rFonts w:ascii="Arial" w:hAnsi="Arial" w:cs="Arial"/>
          <w:b/>
          <w:bCs/>
          <w:sz w:val="24"/>
          <w:szCs w:val="24"/>
        </w:rPr>
      </w:pPr>
      <w:r w:rsidRPr="008374F8">
        <w:rPr>
          <w:rFonts w:ascii="Arial" w:hAnsi="Arial" w:cs="Arial"/>
          <w:b/>
          <w:bCs/>
          <w:sz w:val="24"/>
          <w:szCs w:val="24"/>
        </w:rPr>
        <w:t>Differential cost-sharing undermine</w:t>
      </w:r>
      <w:r w:rsidR="00B44C5B">
        <w:rPr>
          <w:rFonts w:ascii="Arial" w:hAnsi="Arial" w:cs="Arial"/>
          <w:b/>
          <w:bCs/>
          <w:sz w:val="24"/>
          <w:szCs w:val="24"/>
        </w:rPr>
        <w:t>s</w:t>
      </w:r>
      <w:r w:rsidRPr="008374F8">
        <w:rPr>
          <w:rFonts w:ascii="Arial" w:hAnsi="Arial" w:cs="Arial"/>
          <w:b/>
          <w:bCs/>
          <w:sz w:val="24"/>
          <w:szCs w:val="24"/>
        </w:rPr>
        <w:t xml:space="preserve"> treatment adherence to combination therapy: evidence from diabetes treatment</w:t>
      </w:r>
    </w:p>
    <w:p w14:paraId="6E22E82A" w14:textId="56532BC3" w:rsidR="00C21B54" w:rsidRPr="00F216F0" w:rsidRDefault="00C21B54" w:rsidP="0093163E">
      <w:pPr>
        <w:tabs>
          <w:tab w:val="left" w:pos="900"/>
        </w:tabs>
        <w:spacing w:line="480" w:lineRule="auto"/>
        <w:jc w:val="center"/>
        <w:rPr>
          <w:rFonts w:ascii="Arial" w:hAnsi="Arial" w:cs="Arial"/>
          <w:b/>
          <w:bCs/>
          <w:sz w:val="24"/>
          <w:szCs w:val="24"/>
        </w:rPr>
      </w:pPr>
      <w:r w:rsidRPr="00F216F0">
        <w:rPr>
          <w:rFonts w:ascii="Arial" w:hAnsi="Arial" w:cs="Arial"/>
          <w:b/>
          <w:bCs/>
          <w:sz w:val="24"/>
          <w:szCs w:val="24"/>
        </w:rPr>
        <w:t>Supplementary material</w:t>
      </w:r>
    </w:p>
    <w:p w14:paraId="21D3CB92" w14:textId="46CD96B5" w:rsidR="00C21B54" w:rsidRPr="00F216F0" w:rsidRDefault="00640E89" w:rsidP="0093163E">
      <w:pPr>
        <w:tabs>
          <w:tab w:val="left" w:pos="900"/>
        </w:tabs>
        <w:spacing w:line="480" w:lineRule="auto"/>
        <w:rPr>
          <w:rFonts w:ascii="Arial" w:hAnsi="Arial" w:cs="Arial"/>
          <w:b/>
          <w:bCs/>
          <w:sz w:val="24"/>
          <w:szCs w:val="24"/>
        </w:rPr>
      </w:pPr>
      <w:r>
        <w:rPr>
          <w:rFonts w:ascii="Arial" w:hAnsi="Arial" w:cs="Arial"/>
          <w:b/>
          <w:bCs/>
          <w:sz w:val="24"/>
          <w:szCs w:val="24"/>
        </w:rPr>
        <w:t>Medical Expenditure Panel Survey (</w:t>
      </w:r>
      <w:r w:rsidR="00C21B54" w:rsidRPr="00F216F0">
        <w:rPr>
          <w:rFonts w:ascii="Arial" w:hAnsi="Arial" w:cs="Arial"/>
          <w:b/>
          <w:bCs/>
          <w:sz w:val="24"/>
          <w:szCs w:val="24"/>
        </w:rPr>
        <w:t>MEPS</w:t>
      </w:r>
      <w:r>
        <w:rPr>
          <w:rFonts w:ascii="Arial" w:hAnsi="Arial" w:cs="Arial"/>
          <w:b/>
          <w:bCs/>
          <w:sz w:val="24"/>
          <w:szCs w:val="24"/>
        </w:rPr>
        <w:t>)</w:t>
      </w:r>
      <w:r w:rsidR="00C21B54" w:rsidRPr="00F216F0">
        <w:rPr>
          <w:rFonts w:ascii="Arial" w:hAnsi="Arial" w:cs="Arial"/>
          <w:b/>
          <w:bCs/>
          <w:sz w:val="24"/>
          <w:szCs w:val="24"/>
        </w:rPr>
        <w:t xml:space="preserve"> database</w:t>
      </w:r>
    </w:p>
    <w:p w14:paraId="7B09EFA3" w14:textId="015E2454" w:rsidR="00C21B54" w:rsidRPr="00F216F0" w:rsidRDefault="00C21B54" w:rsidP="00C21B54">
      <w:pPr>
        <w:tabs>
          <w:tab w:val="left" w:pos="900"/>
        </w:tabs>
        <w:spacing w:line="480" w:lineRule="auto"/>
        <w:rPr>
          <w:rFonts w:ascii="Arial" w:hAnsi="Arial" w:cs="Arial"/>
          <w:sz w:val="24"/>
          <w:szCs w:val="24"/>
        </w:rPr>
      </w:pPr>
      <w:r w:rsidRPr="00F216F0">
        <w:rPr>
          <w:rFonts w:ascii="Arial" w:hAnsi="Arial" w:cs="Arial"/>
          <w:sz w:val="24"/>
          <w:szCs w:val="24"/>
        </w:rPr>
        <w:t>MEPS is a nationally representative household survey that provides estimates of healthcare utilization and expenditures, health status, health insurance coverage, and sociodemographic and socioeconomic characteristics of the US population.</w:t>
      </w:r>
      <w:r w:rsidRPr="00F216F0">
        <w:rPr>
          <w:rFonts w:ascii="Arial" w:hAnsi="Arial" w:cs="Arial"/>
          <w:noProof/>
          <w:sz w:val="24"/>
          <w:szCs w:val="24"/>
          <w:vertAlign w:val="superscript"/>
        </w:rPr>
        <w:t>1</w:t>
      </w:r>
      <w:r w:rsidRPr="00F216F0">
        <w:rPr>
          <w:rFonts w:ascii="Arial" w:hAnsi="Arial" w:cs="Arial"/>
          <w:sz w:val="24"/>
          <w:szCs w:val="24"/>
        </w:rPr>
        <w:t xml:space="preserve"> Each year a new panel of households is sampled and interviewed in ﬁve survey rounds over 2.5 years to obtain annual data reﬂecting a two-year reference period.</w:t>
      </w:r>
      <w:r w:rsidRPr="00F216F0">
        <w:rPr>
          <w:rFonts w:ascii="Arial" w:hAnsi="Arial" w:cs="Arial"/>
          <w:noProof/>
          <w:sz w:val="24"/>
          <w:szCs w:val="24"/>
          <w:vertAlign w:val="superscript"/>
        </w:rPr>
        <w:t>2</w:t>
      </w:r>
      <w:r w:rsidRPr="00F216F0">
        <w:rPr>
          <w:rFonts w:ascii="Arial" w:hAnsi="Arial" w:cs="Arial"/>
          <w:sz w:val="24"/>
          <w:szCs w:val="24"/>
        </w:rPr>
        <w:t xml:space="preserve"> During each interview round, MEPS </w:t>
      </w:r>
      <w:r w:rsidR="00A36D51">
        <w:rPr>
          <w:rFonts w:ascii="Arial" w:hAnsi="Arial" w:cs="Arial"/>
          <w:sz w:val="24"/>
          <w:szCs w:val="24"/>
        </w:rPr>
        <w:t>i</w:t>
      </w:r>
      <w:r w:rsidRPr="00F216F0">
        <w:rPr>
          <w:rFonts w:ascii="Arial" w:hAnsi="Arial" w:cs="Arial"/>
          <w:sz w:val="24"/>
          <w:szCs w:val="24"/>
        </w:rPr>
        <w:t>nquires the names of drugs acquired since the last interview, number of times the drugs were obtained, and the permission to contact pharmacies. Typically, respondents use their medicine containers and receipts to answer these questions, implying accurate reporting of their medications for chronic conditions.</w:t>
      </w:r>
      <w:r w:rsidRPr="00F216F0">
        <w:rPr>
          <w:rFonts w:ascii="Arial" w:hAnsi="Arial" w:cs="Arial"/>
          <w:noProof/>
          <w:sz w:val="24"/>
          <w:szCs w:val="24"/>
          <w:vertAlign w:val="superscript"/>
        </w:rPr>
        <w:t>3</w:t>
      </w:r>
      <w:r w:rsidRPr="00F216F0">
        <w:rPr>
          <w:rFonts w:ascii="Arial" w:hAnsi="Arial" w:cs="Arial"/>
          <w:sz w:val="24"/>
          <w:szCs w:val="24"/>
        </w:rPr>
        <w:t xml:space="preserve"> Additional details about medications including </w:t>
      </w:r>
      <w:r w:rsidR="00B82964">
        <w:rPr>
          <w:rFonts w:ascii="Arial" w:hAnsi="Arial" w:cs="Arial"/>
          <w:sz w:val="24"/>
          <w:szCs w:val="24"/>
        </w:rPr>
        <w:t>out-of-pocket (</w:t>
      </w:r>
      <w:r w:rsidRPr="00F216F0">
        <w:rPr>
          <w:rFonts w:ascii="Arial" w:hAnsi="Arial" w:cs="Arial"/>
          <w:sz w:val="24"/>
          <w:szCs w:val="24"/>
        </w:rPr>
        <w:t>OOP</w:t>
      </w:r>
      <w:r w:rsidR="00B82964">
        <w:rPr>
          <w:rFonts w:ascii="Arial" w:hAnsi="Arial" w:cs="Arial"/>
          <w:sz w:val="24"/>
          <w:szCs w:val="24"/>
        </w:rPr>
        <w:t>)</w:t>
      </w:r>
      <w:r w:rsidRPr="00F216F0">
        <w:rPr>
          <w:rFonts w:ascii="Arial" w:hAnsi="Arial" w:cs="Arial"/>
          <w:sz w:val="24"/>
          <w:szCs w:val="24"/>
        </w:rPr>
        <w:t xml:space="preserve"> payments and quantities (e.g. number of pills) were obtained from pharmacies.</w:t>
      </w:r>
      <w:r w:rsidRPr="00F216F0">
        <w:rPr>
          <w:rFonts w:ascii="Arial" w:hAnsi="Arial" w:cs="Arial"/>
          <w:sz w:val="24"/>
          <w:szCs w:val="24"/>
          <w:vertAlign w:val="superscript"/>
        </w:rPr>
        <w:t>4</w:t>
      </w:r>
    </w:p>
    <w:p w14:paraId="4F487122" w14:textId="5E8D6BE0" w:rsidR="00C21B54" w:rsidRPr="00F216F0" w:rsidRDefault="009B01FA" w:rsidP="00C21B54">
      <w:pPr>
        <w:tabs>
          <w:tab w:val="left" w:pos="900"/>
        </w:tabs>
        <w:spacing w:line="480" w:lineRule="auto"/>
        <w:rPr>
          <w:rFonts w:ascii="Arial" w:hAnsi="Arial" w:cs="Arial"/>
          <w:sz w:val="24"/>
          <w:szCs w:val="24"/>
        </w:rPr>
      </w:pPr>
      <w:r w:rsidRPr="00F216F0">
        <w:rPr>
          <w:rFonts w:ascii="Arial" w:hAnsi="Arial" w:cs="Arial"/>
          <w:sz w:val="24"/>
          <w:szCs w:val="24"/>
        </w:rPr>
        <w:tab/>
        <w:t>In this analysis</w:t>
      </w:r>
      <w:r w:rsidR="00C21B54" w:rsidRPr="00F216F0">
        <w:rPr>
          <w:rFonts w:ascii="Arial" w:hAnsi="Arial" w:cs="Arial"/>
          <w:sz w:val="24"/>
          <w:szCs w:val="24"/>
        </w:rPr>
        <w:t xml:space="preserve">, </w:t>
      </w:r>
      <w:r w:rsidR="00BC1C04" w:rsidRPr="00F216F0">
        <w:rPr>
          <w:rFonts w:ascii="Arial" w:hAnsi="Arial" w:cs="Arial"/>
          <w:sz w:val="24"/>
          <w:szCs w:val="24"/>
        </w:rPr>
        <w:t xml:space="preserve">selected individuals </w:t>
      </w:r>
      <w:r w:rsidR="0029604D">
        <w:rPr>
          <w:rFonts w:ascii="Arial" w:hAnsi="Arial" w:cs="Arial"/>
          <w:sz w:val="24"/>
          <w:szCs w:val="24"/>
        </w:rPr>
        <w:t xml:space="preserve">from </w:t>
      </w:r>
      <w:r w:rsidR="00497071">
        <w:rPr>
          <w:rFonts w:ascii="Arial" w:hAnsi="Arial" w:cs="Arial"/>
          <w:sz w:val="24"/>
          <w:szCs w:val="24"/>
        </w:rPr>
        <w:t>p</w:t>
      </w:r>
      <w:r w:rsidR="00497071" w:rsidRPr="00CE77CF">
        <w:rPr>
          <w:rFonts w:ascii="Arial" w:hAnsi="Arial" w:cs="Arial"/>
          <w:sz w:val="24"/>
          <w:szCs w:val="24"/>
        </w:rPr>
        <w:t>anels 14–18</w:t>
      </w:r>
      <w:r w:rsidR="009552F3">
        <w:rPr>
          <w:rFonts w:ascii="Arial" w:hAnsi="Arial" w:cs="Arial"/>
          <w:sz w:val="24"/>
          <w:szCs w:val="24"/>
        </w:rPr>
        <w:t xml:space="preserve"> of the MEPS database</w:t>
      </w:r>
      <w:r w:rsidR="00497071" w:rsidRPr="00CE77CF">
        <w:rPr>
          <w:rFonts w:ascii="Arial" w:hAnsi="Arial" w:cs="Arial"/>
          <w:sz w:val="24"/>
          <w:szCs w:val="24"/>
        </w:rPr>
        <w:t>, spanning 2009–2013 for year one</w:t>
      </w:r>
      <w:r w:rsidR="00497071">
        <w:rPr>
          <w:rFonts w:ascii="Arial" w:hAnsi="Arial" w:cs="Arial"/>
          <w:sz w:val="24"/>
          <w:szCs w:val="24"/>
        </w:rPr>
        <w:t xml:space="preserve"> and</w:t>
      </w:r>
      <w:r w:rsidR="00497071" w:rsidRPr="00CE77CF">
        <w:rPr>
          <w:rFonts w:ascii="Arial" w:hAnsi="Arial" w:cs="Arial"/>
          <w:sz w:val="24"/>
          <w:szCs w:val="24"/>
        </w:rPr>
        <w:t xml:space="preserve"> 2010–2014 for year two</w:t>
      </w:r>
      <w:r w:rsidR="00497071">
        <w:rPr>
          <w:rFonts w:ascii="Arial" w:hAnsi="Arial" w:cs="Arial"/>
          <w:sz w:val="24"/>
          <w:szCs w:val="24"/>
        </w:rPr>
        <w:t xml:space="preserve"> </w:t>
      </w:r>
      <w:r w:rsidR="00F92AD9">
        <w:rPr>
          <w:rFonts w:ascii="Arial" w:hAnsi="Arial" w:cs="Arial"/>
          <w:sz w:val="24"/>
          <w:szCs w:val="24"/>
        </w:rPr>
        <w:t>(see Table S1 for details on sample selection)</w:t>
      </w:r>
      <w:r w:rsidR="00BC1C04" w:rsidRPr="00F216F0">
        <w:rPr>
          <w:rFonts w:ascii="Arial" w:hAnsi="Arial" w:cs="Arial"/>
          <w:sz w:val="24"/>
          <w:szCs w:val="24"/>
        </w:rPr>
        <w:t xml:space="preserve"> </w:t>
      </w:r>
      <w:r w:rsidR="00225A17" w:rsidRPr="00F216F0">
        <w:rPr>
          <w:rFonts w:ascii="Arial" w:hAnsi="Arial" w:cs="Arial"/>
          <w:sz w:val="24"/>
          <w:szCs w:val="24"/>
        </w:rPr>
        <w:t xml:space="preserve">had type 2 diabetes (T2D) which was </w:t>
      </w:r>
      <w:r w:rsidR="00C21B54" w:rsidRPr="00F216F0">
        <w:rPr>
          <w:rFonts w:ascii="Arial" w:hAnsi="Arial" w:cs="Arial"/>
          <w:sz w:val="24"/>
          <w:szCs w:val="24"/>
        </w:rPr>
        <w:t>defined based on three self-report questions: “Yes” to the ‘Do you have diabetes?’ question, and “Yes” to either “age of diagnosis 30 years or older” or “no insulin injections” for their diabetes.</w:t>
      </w:r>
    </w:p>
    <w:p w14:paraId="746D005C" w14:textId="3464A6DD" w:rsidR="001E727F" w:rsidRDefault="00F11825" w:rsidP="00C21B54">
      <w:pPr>
        <w:tabs>
          <w:tab w:val="left" w:pos="900"/>
        </w:tabs>
        <w:spacing w:line="480" w:lineRule="auto"/>
        <w:rPr>
          <w:rFonts w:ascii="Arial" w:hAnsi="Arial" w:cs="Arial"/>
          <w:b/>
          <w:bCs/>
          <w:sz w:val="24"/>
          <w:szCs w:val="24"/>
        </w:rPr>
      </w:pPr>
      <w:r>
        <w:rPr>
          <w:rFonts w:ascii="Arial" w:hAnsi="Arial" w:cs="Arial"/>
          <w:b/>
          <w:bCs/>
          <w:sz w:val="24"/>
          <w:szCs w:val="24"/>
        </w:rPr>
        <w:t xml:space="preserve">Measures of OOP </w:t>
      </w:r>
      <w:r w:rsidR="002E36E1">
        <w:rPr>
          <w:rFonts w:ascii="Arial" w:hAnsi="Arial" w:cs="Arial"/>
          <w:b/>
          <w:bCs/>
          <w:sz w:val="24"/>
          <w:szCs w:val="24"/>
        </w:rPr>
        <w:t>costs</w:t>
      </w:r>
    </w:p>
    <w:p w14:paraId="145D6B48" w14:textId="75131B9F" w:rsidR="00E01830" w:rsidRPr="00810898" w:rsidRDefault="000323F4" w:rsidP="00E01830">
      <w:pPr>
        <w:tabs>
          <w:tab w:val="left" w:pos="900"/>
        </w:tabs>
        <w:spacing w:line="480" w:lineRule="auto"/>
        <w:rPr>
          <w:rFonts w:ascii="Arial" w:hAnsi="Arial" w:cs="Arial"/>
          <w:sz w:val="24"/>
          <w:szCs w:val="24"/>
        </w:rPr>
      </w:pPr>
      <w:r>
        <w:rPr>
          <w:rFonts w:ascii="Arial" w:hAnsi="Arial" w:cs="Arial"/>
          <w:sz w:val="24"/>
          <w:szCs w:val="24"/>
        </w:rPr>
        <w:lastRenderedPageBreak/>
        <w:t>The</w:t>
      </w:r>
      <w:r w:rsidR="00E01830" w:rsidRPr="00810898">
        <w:rPr>
          <w:rFonts w:ascii="Arial" w:hAnsi="Arial" w:cs="Arial"/>
          <w:sz w:val="24"/>
          <w:szCs w:val="24"/>
        </w:rPr>
        <w:t xml:space="preserve"> OOP costs</w:t>
      </w:r>
      <w:r>
        <w:rPr>
          <w:rFonts w:ascii="Arial" w:hAnsi="Arial" w:cs="Arial"/>
          <w:sz w:val="24"/>
          <w:szCs w:val="24"/>
        </w:rPr>
        <w:t xml:space="preserve"> were first converted</w:t>
      </w:r>
      <w:r w:rsidR="00E01830" w:rsidRPr="00810898">
        <w:rPr>
          <w:rFonts w:ascii="Arial" w:hAnsi="Arial" w:cs="Arial"/>
          <w:sz w:val="24"/>
          <w:szCs w:val="24"/>
        </w:rPr>
        <w:t xml:space="preserve"> to 2014 values using the MEPS OOP expenditures guideline of the Consumer Price Index.</w:t>
      </w:r>
      <w:r w:rsidR="00E01830" w:rsidRPr="00E01830">
        <w:rPr>
          <w:rFonts w:ascii="Arial" w:hAnsi="Arial" w:cs="Arial"/>
          <w:noProof/>
          <w:sz w:val="24"/>
          <w:szCs w:val="24"/>
          <w:vertAlign w:val="superscript"/>
        </w:rPr>
        <w:t>5</w:t>
      </w:r>
      <w:r w:rsidR="00E01830" w:rsidRPr="00810898">
        <w:rPr>
          <w:rFonts w:ascii="Arial" w:hAnsi="Arial" w:cs="Arial"/>
          <w:sz w:val="24"/>
          <w:szCs w:val="24"/>
        </w:rPr>
        <w:t xml:space="preserve"> Following Miller et al,</w:t>
      </w:r>
      <w:r w:rsidR="00E01830" w:rsidRPr="00E01830">
        <w:rPr>
          <w:rFonts w:ascii="Arial" w:hAnsi="Arial" w:cs="Arial"/>
          <w:noProof/>
          <w:sz w:val="24"/>
          <w:szCs w:val="24"/>
          <w:vertAlign w:val="superscript"/>
        </w:rPr>
        <w:t>6</w:t>
      </w:r>
      <w:r w:rsidR="00E01830" w:rsidRPr="00810898">
        <w:rPr>
          <w:rFonts w:ascii="Arial" w:hAnsi="Arial" w:cs="Arial"/>
          <w:sz w:val="24"/>
          <w:szCs w:val="24"/>
        </w:rPr>
        <w:t xml:space="preserve"> the last purchase in the second year was used to calculate OOP spending per day </w:t>
      </w:r>
      <w:r w:rsidR="00E01830" w:rsidRPr="00E01830">
        <w:rPr>
          <w:rFonts w:ascii="Arial" w:hAnsi="Arial" w:cs="Arial"/>
          <w:sz w:val="24"/>
          <w:szCs w:val="24"/>
        </w:rPr>
        <w:t>supplied</w:t>
      </w:r>
      <w:r w:rsidR="00E01830" w:rsidRPr="00810898">
        <w:rPr>
          <w:rFonts w:ascii="Arial" w:hAnsi="Arial" w:cs="Arial"/>
          <w:sz w:val="24"/>
          <w:szCs w:val="24"/>
        </w:rPr>
        <w:t xml:space="preserve"> because using the last purchase minimizes the chance that the OOP spending was for paying an expense such as a deductible. After OOP cost per day was obtained for each medication, the two medications with the highest and the lowest OOP costs per day were selected for each patient. Two related measures employed in the two different analyses described below, difference in OOP costs (</w:t>
      </w:r>
      <w:r w:rsidR="00E01830">
        <w:rPr>
          <w:rFonts w:ascii="Arial" w:hAnsi="Arial" w:cs="Arial"/>
          <w:sz w:val="24"/>
          <w:szCs w:val="24"/>
        </w:rPr>
        <w:t>∆</w:t>
      </w:r>
      <w:r w:rsidR="00E01830" w:rsidRPr="00810898">
        <w:rPr>
          <w:rFonts w:ascii="Arial" w:hAnsi="Arial" w:cs="Arial"/>
          <w:sz w:val="24"/>
          <w:szCs w:val="24"/>
        </w:rPr>
        <w:t>OOP) and difference in medication possession ratio (</w:t>
      </w:r>
      <w:r w:rsidR="00E01830">
        <w:rPr>
          <w:rFonts w:ascii="Arial" w:hAnsi="Arial" w:cs="Arial"/>
          <w:sz w:val="24"/>
          <w:szCs w:val="24"/>
        </w:rPr>
        <w:t>∆</w:t>
      </w:r>
      <w:r w:rsidR="00E01830" w:rsidRPr="00810898">
        <w:rPr>
          <w:rFonts w:ascii="Arial" w:hAnsi="Arial" w:cs="Arial"/>
          <w:sz w:val="24"/>
          <w:szCs w:val="24"/>
        </w:rPr>
        <w:t xml:space="preserve">MPR), were calculated. The </w:t>
      </w:r>
      <w:r w:rsidR="00E01830">
        <w:rPr>
          <w:rFonts w:ascii="Arial" w:hAnsi="Arial" w:cs="Arial"/>
          <w:sz w:val="24"/>
          <w:szCs w:val="24"/>
        </w:rPr>
        <w:t>∆</w:t>
      </w:r>
      <w:r w:rsidR="00E01830" w:rsidRPr="00810898">
        <w:rPr>
          <w:rFonts w:ascii="Arial" w:hAnsi="Arial" w:cs="Arial"/>
          <w:sz w:val="24"/>
          <w:szCs w:val="24"/>
        </w:rPr>
        <w:t xml:space="preserve">OOP was calculated as OOP cost for the most costly medication subtracted by the OOP cost for the least costly medication. </w:t>
      </w:r>
      <w:r w:rsidR="00125DB6">
        <w:rPr>
          <w:rFonts w:ascii="Arial" w:hAnsi="Arial" w:cs="Arial"/>
          <w:sz w:val="24"/>
          <w:szCs w:val="24"/>
        </w:rPr>
        <w:t>Table S2 lists the two medications with highest and lowest OOP costs among the large ∆</w:t>
      </w:r>
      <w:r w:rsidR="00125DB6" w:rsidRPr="00810898">
        <w:rPr>
          <w:rFonts w:ascii="Arial" w:hAnsi="Arial" w:cs="Arial"/>
          <w:sz w:val="24"/>
          <w:szCs w:val="24"/>
        </w:rPr>
        <w:t>OOP</w:t>
      </w:r>
      <w:r w:rsidR="00125DB6">
        <w:rPr>
          <w:rFonts w:ascii="Arial" w:hAnsi="Arial" w:cs="Arial"/>
          <w:sz w:val="24"/>
          <w:szCs w:val="24"/>
        </w:rPr>
        <w:t xml:space="preserve"> cost subgroup. </w:t>
      </w:r>
      <w:r w:rsidR="00E01830" w:rsidRPr="00810898">
        <w:rPr>
          <w:rFonts w:ascii="Arial" w:hAnsi="Arial" w:cs="Arial"/>
          <w:sz w:val="24"/>
          <w:szCs w:val="24"/>
        </w:rPr>
        <w:t xml:space="preserve">The relative OOP cost was calculated as OOP cost for the least costly medication divided by that for the most costly medication. Due to the skewed distribution of </w:t>
      </w:r>
      <w:r w:rsidR="00E01830">
        <w:rPr>
          <w:rFonts w:ascii="Arial" w:hAnsi="Arial" w:cs="Arial"/>
          <w:sz w:val="24"/>
          <w:szCs w:val="24"/>
        </w:rPr>
        <w:t>∆</w:t>
      </w:r>
      <w:r w:rsidR="00E01830" w:rsidRPr="00810898">
        <w:rPr>
          <w:rFonts w:ascii="Arial" w:hAnsi="Arial" w:cs="Arial"/>
          <w:sz w:val="24"/>
          <w:szCs w:val="24"/>
        </w:rPr>
        <w:t xml:space="preserve">OOP and the </w:t>
      </w:r>
      <w:r w:rsidR="00E01830">
        <w:rPr>
          <w:rFonts w:ascii="Arial" w:hAnsi="Arial" w:cs="Arial"/>
          <w:sz w:val="24"/>
          <w:szCs w:val="24"/>
        </w:rPr>
        <w:t>∆</w:t>
      </w:r>
      <w:r w:rsidR="00E01830" w:rsidRPr="00810898">
        <w:rPr>
          <w:rFonts w:ascii="Arial" w:hAnsi="Arial" w:cs="Arial"/>
          <w:sz w:val="24"/>
          <w:szCs w:val="24"/>
        </w:rPr>
        <w:t xml:space="preserve">OOP cost of $0 between 10 percentile and 20 </w:t>
      </w:r>
      <w:proofErr w:type="gramStart"/>
      <w:r w:rsidR="00E01830" w:rsidRPr="00810898">
        <w:rPr>
          <w:rFonts w:ascii="Arial" w:hAnsi="Arial" w:cs="Arial"/>
          <w:sz w:val="24"/>
          <w:szCs w:val="24"/>
        </w:rPr>
        <w:t>percentile</w:t>
      </w:r>
      <w:proofErr w:type="gramEnd"/>
      <w:r w:rsidR="00E01830" w:rsidRPr="00810898">
        <w:rPr>
          <w:rFonts w:ascii="Arial" w:hAnsi="Arial" w:cs="Arial"/>
          <w:sz w:val="24"/>
          <w:szCs w:val="24"/>
        </w:rPr>
        <w:t xml:space="preserve">, we defined ten categories </w:t>
      </w:r>
      <w:r w:rsidR="001B0DFD">
        <w:rPr>
          <w:rFonts w:ascii="Arial" w:hAnsi="Arial" w:cs="Arial"/>
          <w:sz w:val="24"/>
          <w:szCs w:val="24"/>
        </w:rPr>
        <w:t>(</w:t>
      </w:r>
      <w:r w:rsidR="00E01830" w:rsidRPr="00810898">
        <w:rPr>
          <w:rFonts w:ascii="Arial" w:hAnsi="Arial" w:cs="Arial"/>
          <w:sz w:val="24"/>
          <w:szCs w:val="24"/>
        </w:rPr>
        <w:t>from least to most</w:t>
      </w:r>
      <w:r w:rsidR="001B0DFD">
        <w:rPr>
          <w:rFonts w:ascii="Arial" w:hAnsi="Arial" w:cs="Arial"/>
          <w:sz w:val="24"/>
          <w:szCs w:val="24"/>
        </w:rPr>
        <w:t>)</w:t>
      </w:r>
      <w:r w:rsidR="00E01830" w:rsidRPr="00810898">
        <w:rPr>
          <w:rFonts w:ascii="Arial" w:hAnsi="Arial" w:cs="Arial"/>
          <w:sz w:val="24"/>
          <w:szCs w:val="24"/>
        </w:rPr>
        <w:t xml:space="preserve"> as one group patients with </w:t>
      </w:r>
      <w:r w:rsidR="003153A9">
        <w:rPr>
          <w:rFonts w:ascii="Arial" w:hAnsi="Arial" w:cs="Arial"/>
          <w:sz w:val="24"/>
          <w:szCs w:val="24"/>
        </w:rPr>
        <w:t>∆</w:t>
      </w:r>
      <w:r w:rsidR="003153A9" w:rsidRPr="00810898">
        <w:rPr>
          <w:rFonts w:ascii="Arial" w:hAnsi="Arial" w:cs="Arial"/>
          <w:sz w:val="24"/>
          <w:szCs w:val="24"/>
        </w:rPr>
        <w:t xml:space="preserve">OOP </w:t>
      </w:r>
      <w:r w:rsidR="003153A9">
        <w:rPr>
          <w:rFonts w:ascii="Arial" w:hAnsi="Arial" w:cs="Arial"/>
          <w:sz w:val="24"/>
          <w:szCs w:val="24"/>
        </w:rPr>
        <w:t xml:space="preserve">of </w:t>
      </w:r>
      <w:r w:rsidR="00E01830" w:rsidRPr="00810898">
        <w:rPr>
          <w:rFonts w:ascii="Arial" w:hAnsi="Arial" w:cs="Arial"/>
          <w:sz w:val="24"/>
          <w:szCs w:val="24"/>
        </w:rPr>
        <w:t xml:space="preserve">$0, and the remaining patients broken into nine equal groups. For convenience, we use the term “decile” even though the $0 group contained more than 10% of the sample. The ten deciles were further categorized as least OOP cost difference group (Least </w:t>
      </w:r>
      <w:r w:rsidR="00E01830">
        <w:rPr>
          <w:rFonts w:ascii="Arial" w:hAnsi="Arial" w:cs="Arial"/>
          <w:sz w:val="24"/>
          <w:szCs w:val="24"/>
        </w:rPr>
        <w:t>∆</w:t>
      </w:r>
      <w:r w:rsidR="00E01830" w:rsidRPr="00810898">
        <w:rPr>
          <w:rFonts w:ascii="Arial" w:hAnsi="Arial" w:cs="Arial"/>
          <w:sz w:val="24"/>
          <w:szCs w:val="24"/>
        </w:rPr>
        <w:t xml:space="preserve">OOP), moderate OOP cost difference group (Moderate </w:t>
      </w:r>
      <w:r w:rsidR="00E01830">
        <w:rPr>
          <w:rFonts w:ascii="Arial" w:hAnsi="Arial" w:cs="Arial"/>
          <w:sz w:val="24"/>
          <w:szCs w:val="24"/>
        </w:rPr>
        <w:t>∆</w:t>
      </w:r>
      <w:r w:rsidR="00E01830" w:rsidRPr="00810898">
        <w:rPr>
          <w:rFonts w:ascii="Arial" w:hAnsi="Arial" w:cs="Arial"/>
          <w:sz w:val="24"/>
          <w:szCs w:val="24"/>
        </w:rPr>
        <w:t xml:space="preserve">OOP), and large OOP cost difference group (Large </w:t>
      </w:r>
      <w:r w:rsidR="00E01830">
        <w:rPr>
          <w:rFonts w:ascii="Arial" w:hAnsi="Arial" w:cs="Arial"/>
          <w:sz w:val="24"/>
          <w:szCs w:val="24"/>
        </w:rPr>
        <w:t>∆</w:t>
      </w:r>
      <w:r w:rsidR="00E01830" w:rsidRPr="00810898">
        <w:rPr>
          <w:rFonts w:ascii="Arial" w:hAnsi="Arial" w:cs="Arial"/>
          <w:sz w:val="24"/>
          <w:szCs w:val="24"/>
        </w:rPr>
        <w:t xml:space="preserve">OOP) with the cost difference cut-off determined post hoc </w:t>
      </w:r>
      <w:proofErr w:type="gramStart"/>
      <w:r w:rsidR="00E01830" w:rsidRPr="00810898">
        <w:rPr>
          <w:rFonts w:ascii="Arial" w:hAnsi="Arial" w:cs="Arial"/>
          <w:sz w:val="24"/>
          <w:szCs w:val="24"/>
        </w:rPr>
        <w:t>based on</w:t>
      </w:r>
      <w:proofErr w:type="gramEnd"/>
      <w:r w:rsidR="00E01830" w:rsidRPr="00810898">
        <w:rPr>
          <w:rFonts w:ascii="Arial" w:hAnsi="Arial" w:cs="Arial"/>
          <w:sz w:val="24"/>
          <w:szCs w:val="24"/>
        </w:rPr>
        <w:t xml:space="preserve"> adherence patterns.</w:t>
      </w:r>
    </w:p>
    <w:p w14:paraId="53A79B08" w14:textId="39510657" w:rsidR="00182DF8" w:rsidRPr="00F216F0" w:rsidRDefault="00182DF8" w:rsidP="00C21B54">
      <w:pPr>
        <w:tabs>
          <w:tab w:val="left" w:pos="900"/>
        </w:tabs>
        <w:spacing w:line="480" w:lineRule="auto"/>
        <w:rPr>
          <w:rFonts w:ascii="Arial" w:hAnsi="Arial" w:cs="Arial"/>
          <w:b/>
          <w:bCs/>
          <w:sz w:val="24"/>
          <w:szCs w:val="24"/>
        </w:rPr>
      </w:pPr>
      <w:r w:rsidRPr="00F216F0">
        <w:rPr>
          <w:rFonts w:ascii="Arial" w:hAnsi="Arial" w:cs="Arial"/>
          <w:b/>
          <w:bCs/>
          <w:sz w:val="24"/>
          <w:szCs w:val="24"/>
        </w:rPr>
        <w:t>Exploratory analysis to examine factors associated with the adherence status of the patients</w:t>
      </w:r>
    </w:p>
    <w:p w14:paraId="375C5888" w14:textId="0BE75AEE" w:rsidR="0069375C" w:rsidRPr="00F216F0" w:rsidRDefault="0069375C" w:rsidP="0069375C">
      <w:pPr>
        <w:spacing w:line="480" w:lineRule="auto"/>
        <w:ind w:firstLine="720"/>
        <w:rPr>
          <w:rFonts w:ascii="Arial" w:hAnsi="Arial" w:cs="Arial"/>
          <w:sz w:val="24"/>
          <w:szCs w:val="24"/>
        </w:rPr>
      </w:pPr>
      <w:r w:rsidRPr="00F216F0">
        <w:rPr>
          <w:rFonts w:ascii="Arial" w:hAnsi="Arial" w:cs="Arial"/>
          <w:sz w:val="24"/>
          <w:szCs w:val="24"/>
        </w:rPr>
        <w:lastRenderedPageBreak/>
        <w:t xml:space="preserve">The primary objective of the study was “within-patient” examination of adherence to their most and least </w:t>
      </w:r>
      <w:r w:rsidR="00E27BD7">
        <w:rPr>
          <w:rFonts w:ascii="Arial" w:hAnsi="Arial" w:cs="Arial"/>
          <w:sz w:val="24"/>
          <w:szCs w:val="24"/>
        </w:rPr>
        <w:t>costly</w:t>
      </w:r>
      <w:r w:rsidR="00E27BD7" w:rsidRPr="00F216F0">
        <w:rPr>
          <w:rFonts w:ascii="Arial" w:hAnsi="Arial" w:cs="Arial"/>
          <w:sz w:val="24"/>
          <w:szCs w:val="24"/>
        </w:rPr>
        <w:t xml:space="preserve"> </w:t>
      </w:r>
      <w:r w:rsidRPr="00F216F0">
        <w:rPr>
          <w:rFonts w:ascii="Arial" w:hAnsi="Arial" w:cs="Arial"/>
          <w:sz w:val="24"/>
          <w:szCs w:val="24"/>
        </w:rPr>
        <w:t xml:space="preserve">diabetes medications. Table </w:t>
      </w:r>
      <w:r w:rsidR="001F1B55">
        <w:rPr>
          <w:rFonts w:ascii="Arial" w:hAnsi="Arial" w:cs="Arial"/>
          <w:sz w:val="24"/>
          <w:szCs w:val="24"/>
        </w:rPr>
        <w:t>2</w:t>
      </w:r>
      <w:r w:rsidR="00B9069B">
        <w:rPr>
          <w:rFonts w:ascii="Arial" w:hAnsi="Arial" w:cs="Arial"/>
          <w:sz w:val="24"/>
          <w:szCs w:val="24"/>
        </w:rPr>
        <w:t xml:space="preserve"> in the main text</w:t>
      </w:r>
      <w:r w:rsidRPr="00F216F0">
        <w:rPr>
          <w:rFonts w:ascii="Arial" w:hAnsi="Arial" w:cs="Arial"/>
          <w:sz w:val="24"/>
          <w:szCs w:val="24"/>
        </w:rPr>
        <w:t xml:space="preserve"> provides a classification of these patients into four groups based on their adherence to these two drugs: adherent to both, adherent to neither, adherent to the most </w:t>
      </w:r>
      <w:r w:rsidR="000B69F2">
        <w:rPr>
          <w:rFonts w:ascii="Arial" w:hAnsi="Arial" w:cs="Arial"/>
          <w:sz w:val="24"/>
          <w:szCs w:val="24"/>
        </w:rPr>
        <w:t>costly</w:t>
      </w:r>
      <w:r w:rsidR="000B69F2" w:rsidRPr="00F216F0">
        <w:rPr>
          <w:rFonts w:ascii="Arial" w:hAnsi="Arial" w:cs="Arial"/>
          <w:sz w:val="24"/>
          <w:szCs w:val="24"/>
        </w:rPr>
        <w:t xml:space="preserve"> </w:t>
      </w:r>
      <w:r w:rsidRPr="00F216F0">
        <w:rPr>
          <w:rFonts w:ascii="Arial" w:hAnsi="Arial" w:cs="Arial"/>
          <w:sz w:val="24"/>
          <w:szCs w:val="24"/>
        </w:rPr>
        <w:t xml:space="preserve">medication, or adherent to the least </w:t>
      </w:r>
      <w:r w:rsidR="000B69F2">
        <w:rPr>
          <w:rFonts w:ascii="Arial" w:hAnsi="Arial" w:cs="Arial"/>
          <w:sz w:val="24"/>
          <w:szCs w:val="24"/>
        </w:rPr>
        <w:t>costly</w:t>
      </w:r>
      <w:r w:rsidR="000B69F2" w:rsidRPr="00F216F0">
        <w:rPr>
          <w:rFonts w:ascii="Arial" w:hAnsi="Arial" w:cs="Arial"/>
          <w:sz w:val="24"/>
          <w:szCs w:val="24"/>
        </w:rPr>
        <w:t xml:space="preserve"> </w:t>
      </w:r>
      <w:r w:rsidRPr="00F216F0">
        <w:rPr>
          <w:rFonts w:ascii="Arial" w:hAnsi="Arial" w:cs="Arial"/>
          <w:sz w:val="24"/>
          <w:szCs w:val="24"/>
        </w:rPr>
        <w:t xml:space="preserve">medication. We performed an exploratory analysis to investigate factors associated with this patient classification in a cross-sectional way. This </w:t>
      </w:r>
      <w:r w:rsidR="0029639E">
        <w:rPr>
          <w:rFonts w:ascii="Arial" w:hAnsi="Arial" w:cs="Arial"/>
          <w:sz w:val="24"/>
          <w:szCs w:val="24"/>
        </w:rPr>
        <w:t>wa</w:t>
      </w:r>
      <w:r w:rsidRPr="00F216F0">
        <w:rPr>
          <w:rFonts w:ascii="Arial" w:hAnsi="Arial" w:cs="Arial"/>
          <w:sz w:val="24"/>
          <w:szCs w:val="24"/>
        </w:rPr>
        <w:t>s an exploratory analysis and validation in other data sources solidif</w:t>
      </w:r>
      <w:r w:rsidR="0029639E">
        <w:rPr>
          <w:rFonts w:ascii="Arial" w:hAnsi="Arial" w:cs="Arial"/>
          <w:sz w:val="24"/>
          <w:szCs w:val="24"/>
        </w:rPr>
        <w:t>ied</w:t>
      </w:r>
      <w:r w:rsidRPr="00F216F0">
        <w:rPr>
          <w:rFonts w:ascii="Arial" w:hAnsi="Arial" w:cs="Arial"/>
          <w:sz w:val="24"/>
          <w:szCs w:val="24"/>
        </w:rPr>
        <w:t xml:space="preserve"> the findings.</w:t>
      </w:r>
    </w:p>
    <w:p w14:paraId="6CBD3C9C" w14:textId="0E302A2C" w:rsidR="0069375C" w:rsidRPr="00F216F0" w:rsidRDefault="0069375C" w:rsidP="0069375C">
      <w:pPr>
        <w:spacing w:line="480" w:lineRule="auto"/>
        <w:ind w:firstLine="720"/>
        <w:rPr>
          <w:rFonts w:ascii="Arial" w:hAnsi="Arial" w:cs="Arial"/>
          <w:sz w:val="24"/>
          <w:szCs w:val="24"/>
        </w:rPr>
      </w:pPr>
      <w:r w:rsidRPr="00F216F0">
        <w:rPr>
          <w:rFonts w:ascii="Arial" w:hAnsi="Arial" w:cs="Arial"/>
          <w:sz w:val="24"/>
          <w:szCs w:val="24"/>
        </w:rPr>
        <w:t xml:space="preserve">Initially, the four classes of patients were included in a classification tree to examine factors that are noted in Table </w:t>
      </w:r>
      <w:r w:rsidR="00E5084B">
        <w:rPr>
          <w:rFonts w:ascii="Arial" w:hAnsi="Arial" w:cs="Arial"/>
          <w:sz w:val="24"/>
          <w:szCs w:val="24"/>
        </w:rPr>
        <w:t>1</w:t>
      </w:r>
      <w:r w:rsidRPr="00F216F0">
        <w:rPr>
          <w:rFonts w:ascii="Arial" w:hAnsi="Arial" w:cs="Arial"/>
          <w:sz w:val="24"/>
          <w:szCs w:val="24"/>
        </w:rPr>
        <w:t xml:space="preserve">. The first split in the tree was whether the difference in cost was more than </w:t>
      </w:r>
      <w:r w:rsidR="003C7803">
        <w:rPr>
          <w:rFonts w:ascii="Arial" w:hAnsi="Arial" w:cs="Arial"/>
          <w:sz w:val="24"/>
          <w:szCs w:val="24"/>
        </w:rPr>
        <w:t>≥</w:t>
      </w:r>
      <w:r w:rsidR="00F71411">
        <w:rPr>
          <w:rFonts w:ascii="Arial" w:hAnsi="Arial" w:cs="Arial"/>
          <w:sz w:val="24"/>
          <w:szCs w:val="24"/>
        </w:rPr>
        <w:t>$0.</w:t>
      </w:r>
      <w:r w:rsidRPr="00F216F0">
        <w:rPr>
          <w:rFonts w:ascii="Arial" w:hAnsi="Arial" w:cs="Arial"/>
          <w:sz w:val="24"/>
          <w:szCs w:val="24"/>
        </w:rPr>
        <w:t>127 a day</w:t>
      </w:r>
      <w:r w:rsidR="00DC7EAA">
        <w:rPr>
          <w:rFonts w:ascii="Arial" w:hAnsi="Arial" w:cs="Arial"/>
          <w:sz w:val="24"/>
          <w:szCs w:val="24"/>
        </w:rPr>
        <w:t xml:space="preserve"> (Figure S1)</w:t>
      </w:r>
      <w:r w:rsidRPr="00F216F0">
        <w:rPr>
          <w:rFonts w:ascii="Arial" w:hAnsi="Arial" w:cs="Arial"/>
          <w:sz w:val="24"/>
          <w:szCs w:val="24"/>
        </w:rPr>
        <w:t>. If the difference was more than this, adherence to both medications was 27.9% and adherence to neither was 28.4%, whereas if the difference was less than the cutoff, adherence to both medications was 41.7% and adherence to neither was 15.4%.</w:t>
      </w:r>
    </w:p>
    <w:p w14:paraId="32CB1965" w14:textId="109BDA89" w:rsidR="0069375C" w:rsidRPr="00F216F0" w:rsidRDefault="0069375C" w:rsidP="0069375C">
      <w:pPr>
        <w:spacing w:line="480" w:lineRule="auto"/>
        <w:ind w:firstLine="720"/>
        <w:rPr>
          <w:rFonts w:ascii="Arial" w:hAnsi="Arial" w:cs="Arial"/>
          <w:sz w:val="24"/>
          <w:szCs w:val="24"/>
        </w:rPr>
      </w:pPr>
      <w:r w:rsidRPr="00F216F0">
        <w:rPr>
          <w:rFonts w:ascii="Arial" w:hAnsi="Arial" w:cs="Arial"/>
          <w:sz w:val="24"/>
          <w:szCs w:val="24"/>
        </w:rPr>
        <w:t>Both nodes were then split by the class of the mo</w:t>
      </w:r>
      <w:r w:rsidR="00591239">
        <w:rPr>
          <w:rFonts w:ascii="Arial" w:hAnsi="Arial" w:cs="Arial"/>
          <w:sz w:val="24"/>
          <w:szCs w:val="24"/>
        </w:rPr>
        <w:t>st costly medication</w:t>
      </w:r>
      <w:r w:rsidRPr="00F216F0">
        <w:rPr>
          <w:rFonts w:ascii="Arial" w:hAnsi="Arial" w:cs="Arial"/>
          <w:sz w:val="24"/>
          <w:szCs w:val="24"/>
        </w:rPr>
        <w:t>. The tree algorithm grouped together insulin and fixed dose combination</w:t>
      </w:r>
      <w:r w:rsidR="00ED1C61">
        <w:rPr>
          <w:rFonts w:ascii="Arial" w:hAnsi="Arial" w:cs="Arial"/>
          <w:sz w:val="24"/>
          <w:szCs w:val="24"/>
        </w:rPr>
        <w:t xml:space="preserve"> (FDC)</w:t>
      </w:r>
      <w:r w:rsidRPr="00F216F0">
        <w:rPr>
          <w:rFonts w:ascii="Arial" w:hAnsi="Arial" w:cs="Arial"/>
          <w:sz w:val="24"/>
          <w:szCs w:val="24"/>
        </w:rPr>
        <w:t xml:space="preserve"> versus the others for both splits. The main difference in the insulin/FDC group was higher rates of adherence to the mo</w:t>
      </w:r>
      <w:r w:rsidR="00ED1C61">
        <w:rPr>
          <w:rFonts w:ascii="Arial" w:hAnsi="Arial" w:cs="Arial"/>
          <w:sz w:val="24"/>
          <w:szCs w:val="24"/>
        </w:rPr>
        <w:t>st</w:t>
      </w:r>
      <w:r w:rsidRPr="00F216F0">
        <w:rPr>
          <w:rFonts w:ascii="Arial" w:hAnsi="Arial" w:cs="Arial"/>
          <w:sz w:val="24"/>
          <w:szCs w:val="24"/>
        </w:rPr>
        <w:t xml:space="preserve"> </w:t>
      </w:r>
      <w:r w:rsidR="001537AD">
        <w:rPr>
          <w:rFonts w:ascii="Arial" w:hAnsi="Arial" w:cs="Arial"/>
          <w:sz w:val="24"/>
          <w:szCs w:val="24"/>
        </w:rPr>
        <w:t>costly</w:t>
      </w:r>
      <w:r w:rsidR="001537AD" w:rsidRPr="00F216F0">
        <w:rPr>
          <w:rFonts w:ascii="Arial" w:hAnsi="Arial" w:cs="Arial"/>
          <w:sz w:val="24"/>
          <w:szCs w:val="24"/>
        </w:rPr>
        <w:t xml:space="preserve"> </w:t>
      </w:r>
      <w:r w:rsidR="00A8309F">
        <w:rPr>
          <w:rFonts w:ascii="Arial" w:hAnsi="Arial" w:cs="Arial"/>
          <w:sz w:val="24"/>
          <w:szCs w:val="24"/>
        </w:rPr>
        <w:t xml:space="preserve">medication </w:t>
      </w:r>
      <w:r w:rsidRPr="00F216F0">
        <w:rPr>
          <w:rFonts w:ascii="Arial" w:hAnsi="Arial" w:cs="Arial"/>
          <w:sz w:val="24"/>
          <w:szCs w:val="24"/>
        </w:rPr>
        <w:t xml:space="preserve">only (19.8% in the higher </w:t>
      </w:r>
      <w:r w:rsidR="00F63A09">
        <w:rPr>
          <w:rFonts w:ascii="Arial" w:hAnsi="Arial" w:cs="Arial"/>
          <w:sz w:val="24"/>
          <w:szCs w:val="24"/>
        </w:rPr>
        <w:t>∆</w:t>
      </w:r>
      <w:r w:rsidRPr="00F216F0">
        <w:rPr>
          <w:rFonts w:ascii="Arial" w:hAnsi="Arial" w:cs="Arial"/>
          <w:sz w:val="24"/>
          <w:szCs w:val="24"/>
        </w:rPr>
        <w:t xml:space="preserve">OOP cost node; 27.1% in the lower </w:t>
      </w:r>
      <w:r w:rsidR="00F63A09">
        <w:rPr>
          <w:rFonts w:ascii="Arial" w:hAnsi="Arial" w:cs="Arial"/>
          <w:sz w:val="24"/>
          <w:szCs w:val="24"/>
        </w:rPr>
        <w:t>∆</w:t>
      </w:r>
      <w:r w:rsidRPr="00F216F0">
        <w:rPr>
          <w:rFonts w:ascii="Arial" w:hAnsi="Arial" w:cs="Arial"/>
          <w:sz w:val="24"/>
          <w:szCs w:val="24"/>
        </w:rPr>
        <w:t xml:space="preserve">OOP cost node) compared to the other drug classes (8.1% in the higher </w:t>
      </w:r>
      <w:r w:rsidR="00F63A09">
        <w:rPr>
          <w:rFonts w:ascii="Arial" w:hAnsi="Arial" w:cs="Arial"/>
          <w:sz w:val="24"/>
          <w:szCs w:val="24"/>
        </w:rPr>
        <w:t>∆</w:t>
      </w:r>
      <w:r w:rsidRPr="00F216F0">
        <w:rPr>
          <w:rFonts w:ascii="Arial" w:hAnsi="Arial" w:cs="Arial"/>
          <w:sz w:val="24"/>
          <w:szCs w:val="24"/>
        </w:rPr>
        <w:t xml:space="preserve">OOP cost node; 13.5% in the lower </w:t>
      </w:r>
      <w:r w:rsidR="00F63A09">
        <w:rPr>
          <w:rFonts w:ascii="Arial" w:hAnsi="Arial" w:cs="Arial"/>
          <w:sz w:val="24"/>
          <w:szCs w:val="24"/>
        </w:rPr>
        <w:t>∆</w:t>
      </w:r>
      <w:r w:rsidRPr="00F216F0">
        <w:rPr>
          <w:rFonts w:ascii="Arial" w:hAnsi="Arial" w:cs="Arial"/>
          <w:sz w:val="24"/>
          <w:szCs w:val="24"/>
        </w:rPr>
        <w:t>OOP cost node).</w:t>
      </w:r>
    </w:p>
    <w:p w14:paraId="349A00BF" w14:textId="5BA2245D" w:rsidR="0069375C" w:rsidRPr="00F216F0" w:rsidRDefault="0069375C" w:rsidP="0069375C">
      <w:pPr>
        <w:spacing w:line="480" w:lineRule="auto"/>
        <w:ind w:firstLine="720"/>
        <w:rPr>
          <w:rFonts w:ascii="Arial" w:hAnsi="Arial" w:cs="Arial"/>
          <w:sz w:val="24"/>
          <w:szCs w:val="24"/>
        </w:rPr>
      </w:pPr>
      <w:r w:rsidRPr="00F216F0">
        <w:rPr>
          <w:rFonts w:ascii="Arial" w:hAnsi="Arial" w:cs="Arial"/>
          <w:sz w:val="24"/>
          <w:szCs w:val="24"/>
        </w:rPr>
        <w:t xml:space="preserve">CART indicated </w:t>
      </w:r>
      <w:r w:rsidR="00F63A09">
        <w:rPr>
          <w:rFonts w:ascii="Arial" w:hAnsi="Arial" w:cs="Arial"/>
          <w:sz w:val="24"/>
          <w:szCs w:val="24"/>
        </w:rPr>
        <w:t>∆</w:t>
      </w:r>
      <w:r w:rsidRPr="001D1E73">
        <w:rPr>
          <w:rFonts w:ascii="Arial" w:hAnsi="Arial" w:cs="Arial"/>
          <w:sz w:val="24"/>
          <w:szCs w:val="24"/>
        </w:rPr>
        <w:t>OOP</w:t>
      </w:r>
      <w:r w:rsidRPr="00F216F0">
        <w:rPr>
          <w:rFonts w:ascii="Arial" w:hAnsi="Arial" w:cs="Arial"/>
          <w:sz w:val="24"/>
          <w:szCs w:val="24"/>
        </w:rPr>
        <w:t xml:space="preserve"> cost, but we also </w:t>
      </w:r>
      <w:r w:rsidR="005F519C">
        <w:rPr>
          <w:rFonts w:ascii="Arial" w:hAnsi="Arial" w:cs="Arial"/>
          <w:sz w:val="24"/>
          <w:szCs w:val="24"/>
        </w:rPr>
        <w:t>a</w:t>
      </w:r>
      <w:r w:rsidR="00AD0804">
        <w:rPr>
          <w:rFonts w:ascii="Arial" w:hAnsi="Arial" w:cs="Arial"/>
          <w:sz w:val="24"/>
          <w:szCs w:val="24"/>
        </w:rPr>
        <w:t xml:space="preserve">ttempted to find </w:t>
      </w:r>
      <w:r w:rsidRPr="00F216F0">
        <w:rPr>
          <w:rFonts w:ascii="Arial" w:hAnsi="Arial" w:cs="Arial"/>
          <w:sz w:val="24"/>
          <w:szCs w:val="24"/>
        </w:rPr>
        <w:t xml:space="preserve">the optimal ratio of costs to discriminate among these groups. </w:t>
      </w:r>
      <w:r w:rsidR="00022096">
        <w:rPr>
          <w:rFonts w:ascii="Arial" w:hAnsi="Arial" w:cs="Arial"/>
          <w:sz w:val="24"/>
          <w:szCs w:val="24"/>
        </w:rPr>
        <w:t>To find the ratio</w:t>
      </w:r>
      <w:r w:rsidR="00972227">
        <w:rPr>
          <w:rFonts w:ascii="Arial" w:hAnsi="Arial" w:cs="Arial"/>
          <w:sz w:val="24"/>
          <w:szCs w:val="24"/>
        </w:rPr>
        <w:t>, we utilized methodology</w:t>
      </w:r>
      <w:r w:rsidR="00B7290F">
        <w:rPr>
          <w:rFonts w:ascii="Arial" w:hAnsi="Arial" w:cs="Arial"/>
          <w:sz w:val="24"/>
          <w:szCs w:val="24"/>
        </w:rPr>
        <w:t xml:space="preserve"> from the </w:t>
      </w:r>
      <w:r w:rsidRPr="00F216F0">
        <w:rPr>
          <w:rFonts w:ascii="Arial" w:hAnsi="Arial" w:cs="Arial"/>
          <w:sz w:val="24"/>
          <w:szCs w:val="24"/>
        </w:rPr>
        <w:t xml:space="preserve">morphometrics </w:t>
      </w:r>
      <w:r w:rsidR="00005C22">
        <w:rPr>
          <w:rFonts w:ascii="Arial" w:hAnsi="Arial" w:cs="Arial"/>
          <w:sz w:val="24"/>
          <w:szCs w:val="24"/>
        </w:rPr>
        <w:t>(</w:t>
      </w:r>
      <w:r w:rsidR="00FC3D14">
        <w:rPr>
          <w:rFonts w:ascii="Arial" w:hAnsi="Arial" w:cs="Arial"/>
          <w:sz w:val="24"/>
          <w:szCs w:val="24"/>
        </w:rPr>
        <w:t xml:space="preserve">the </w:t>
      </w:r>
      <w:r w:rsidR="00005C22">
        <w:rPr>
          <w:rFonts w:ascii="Arial" w:hAnsi="Arial" w:cs="Arial"/>
          <w:sz w:val="24"/>
          <w:szCs w:val="24"/>
        </w:rPr>
        <w:t xml:space="preserve">analysis </w:t>
      </w:r>
      <w:r w:rsidR="008E0F8A">
        <w:rPr>
          <w:rFonts w:ascii="Arial" w:hAnsi="Arial" w:cs="Arial"/>
          <w:sz w:val="24"/>
          <w:szCs w:val="24"/>
        </w:rPr>
        <w:t xml:space="preserve">of body size and </w:t>
      </w:r>
      <w:r w:rsidR="00FC3D14">
        <w:rPr>
          <w:rFonts w:ascii="Arial" w:hAnsi="Arial" w:cs="Arial"/>
          <w:sz w:val="24"/>
          <w:szCs w:val="24"/>
        </w:rPr>
        <w:t>shape</w:t>
      </w:r>
      <w:r w:rsidR="00005C22">
        <w:rPr>
          <w:rFonts w:ascii="Arial" w:hAnsi="Arial" w:cs="Arial"/>
          <w:sz w:val="24"/>
          <w:szCs w:val="24"/>
        </w:rPr>
        <w:t xml:space="preserve">) </w:t>
      </w:r>
      <w:r w:rsidRPr="00F216F0">
        <w:rPr>
          <w:rFonts w:ascii="Arial" w:hAnsi="Arial" w:cs="Arial"/>
          <w:sz w:val="24"/>
          <w:szCs w:val="24"/>
        </w:rPr>
        <w:t>literature to find optimal ratios</w:t>
      </w:r>
      <w:r w:rsidR="005B6021">
        <w:rPr>
          <w:rFonts w:ascii="Arial" w:hAnsi="Arial" w:cs="Arial"/>
          <w:sz w:val="24"/>
          <w:szCs w:val="24"/>
        </w:rPr>
        <w:t>,</w:t>
      </w:r>
      <w:r w:rsidR="004E4FA8" w:rsidRPr="004E4FA8">
        <w:rPr>
          <w:rFonts w:ascii="Arial" w:hAnsi="Arial" w:cs="Arial"/>
          <w:noProof/>
          <w:sz w:val="24"/>
          <w:szCs w:val="24"/>
          <w:vertAlign w:val="superscript"/>
        </w:rPr>
        <w:t>7</w:t>
      </w:r>
      <w:r w:rsidRPr="00F216F0">
        <w:rPr>
          <w:rFonts w:ascii="Arial" w:hAnsi="Arial" w:cs="Arial"/>
          <w:sz w:val="24"/>
          <w:szCs w:val="24"/>
        </w:rPr>
        <w:t xml:space="preserve"> because costs and body measurements have common qualities, </w:t>
      </w:r>
      <w:r w:rsidRPr="00F216F0">
        <w:rPr>
          <w:rFonts w:ascii="Arial" w:hAnsi="Arial" w:cs="Arial"/>
          <w:sz w:val="24"/>
          <w:szCs w:val="24"/>
        </w:rPr>
        <w:lastRenderedPageBreak/>
        <w:t xml:space="preserve">particularly the need to logarithm-transform. Due to the log transform, the concept is to use canonical discriminant functions, and the most positive and least positive factor loadings will be the variables to choose for the optimal ratios. We performed such an analysis with five independent variables: total OOP of the most </w:t>
      </w:r>
      <w:r w:rsidR="006E5403">
        <w:rPr>
          <w:rFonts w:ascii="Arial" w:hAnsi="Arial" w:cs="Arial"/>
          <w:sz w:val="24"/>
          <w:szCs w:val="24"/>
        </w:rPr>
        <w:t>costly</w:t>
      </w:r>
      <w:r w:rsidRPr="00F216F0">
        <w:rPr>
          <w:rFonts w:ascii="Arial" w:hAnsi="Arial" w:cs="Arial"/>
          <w:sz w:val="24"/>
          <w:szCs w:val="24"/>
        </w:rPr>
        <w:t xml:space="preserve"> medication, total OOP of the least </w:t>
      </w:r>
      <w:r w:rsidR="006E5403">
        <w:rPr>
          <w:rFonts w:ascii="Arial" w:hAnsi="Arial" w:cs="Arial"/>
          <w:sz w:val="24"/>
          <w:szCs w:val="24"/>
        </w:rPr>
        <w:t>costly</w:t>
      </w:r>
      <w:r w:rsidRPr="00F216F0">
        <w:rPr>
          <w:rFonts w:ascii="Arial" w:hAnsi="Arial" w:cs="Arial"/>
          <w:sz w:val="24"/>
          <w:szCs w:val="24"/>
        </w:rPr>
        <w:t xml:space="preserve"> medication, per day OOP of the most </w:t>
      </w:r>
      <w:r w:rsidR="006E5403">
        <w:rPr>
          <w:rFonts w:ascii="Arial" w:hAnsi="Arial" w:cs="Arial"/>
          <w:sz w:val="24"/>
          <w:szCs w:val="24"/>
        </w:rPr>
        <w:t>costly</w:t>
      </w:r>
      <w:r w:rsidRPr="00F216F0">
        <w:rPr>
          <w:rFonts w:ascii="Arial" w:hAnsi="Arial" w:cs="Arial"/>
          <w:sz w:val="24"/>
          <w:szCs w:val="24"/>
        </w:rPr>
        <w:t xml:space="preserve"> medication, per day OOP of the least </w:t>
      </w:r>
      <w:r w:rsidR="006E5403">
        <w:rPr>
          <w:rFonts w:ascii="Arial" w:hAnsi="Arial" w:cs="Arial"/>
          <w:sz w:val="24"/>
          <w:szCs w:val="24"/>
        </w:rPr>
        <w:t>costly</w:t>
      </w:r>
      <w:r w:rsidRPr="00F216F0">
        <w:rPr>
          <w:rFonts w:ascii="Arial" w:hAnsi="Arial" w:cs="Arial"/>
          <w:sz w:val="24"/>
          <w:szCs w:val="24"/>
        </w:rPr>
        <w:t xml:space="preserve"> medication, and yearly family income. This approach was used to determine whether per day or total OOP cost was more discriminatory or the groups, and whether the ratio should include family income. The results indicated that per day OOP of the least </w:t>
      </w:r>
      <w:r w:rsidR="003A2953">
        <w:rPr>
          <w:rFonts w:ascii="Arial" w:hAnsi="Arial" w:cs="Arial"/>
          <w:sz w:val="24"/>
          <w:szCs w:val="24"/>
        </w:rPr>
        <w:t>costly</w:t>
      </w:r>
      <w:r w:rsidRPr="00F216F0">
        <w:rPr>
          <w:rFonts w:ascii="Arial" w:hAnsi="Arial" w:cs="Arial"/>
          <w:sz w:val="24"/>
          <w:szCs w:val="24"/>
        </w:rPr>
        <w:t xml:space="preserve"> medication had by far the most negative loading, and family income did not surpass the positive loading of per day OOP of the most </w:t>
      </w:r>
      <w:r w:rsidR="006E5403">
        <w:rPr>
          <w:rFonts w:ascii="Arial" w:hAnsi="Arial" w:cs="Arial"/>
          <w:sz w:val="24"/>
          <w:szCs w:val="24"/>
        </w:rPr>
        <w:t>costly</w:t>
      </w:r>
      <w:r w:rsidRPr="00F216F0">
        <w:rPr>
          <w:rFonts w:ascii="Arial" w:hAnsi="Arial" w:cs="Arial"/>
          <w:sz w:val="24"/>
          <w:szCs w:val="24"/>
        </w:rPr>
        <w:t xml:space="preserve"> medication, so the ratio of least to most costly </w:t>
      </w:r>
      <w:r w:rsidR="003234A2">
        <w:rPr>
          <w:rFonts w:ascii="Arial" w:hAnsi="Arial" w:cs="Arial"/>
          <w:sz w:val="24"/>
          <w:szCs w:val="24"/>
        </w:rPr>
        <w:t xml:space="preserve">medication </w:t>
      </w:r>
      <w:r w:rsidRPr="00F216F0">
        <w:rPr>
          <w:rFonts w:ascii="Arial" w:hAnsi="Arial" w:cs="Arial"/>
          <w:sz w:val="24"/>
          <w:szCs w:val="24"/>
        </w:rPr>
        <w:t xml:space="preserve">was chosen as the ratio to take into the multinomial logistic regression </w:t>
      </w:r>
      <w:r w:rsidR="00E418D1">
        <w:rPr>
          <w:rFonts w:ascii="Arial" w:hAnsi="Arial" w:cs="Arial"/>
          <w:sz w:val="24"/>
          <w:szCs w:val="24"/>
        </w:rPr>
        <w:t>described in</w:t>
      </w:r>
      <w:r w:rsidR="00E418D1" w:rsidRPr="00F216F0">
        <w:rPr>
          <w:rFonts w:ascii="Arial" w:hAnsi="Arial" w:cs="Arial"/>
          <w:sz w:val="24"/>
          <w:szCs w:val="24"/>
        </w:rPr>
        <w:t xml:space="preserve"> </w:t>
      </w:r>
      <w:r w:rsidRPr="00E418D1">
        <w:rPr>
          <w:rFonts w:ascii="Arial" w:hAnsi="Arial" w:cs="Arial"/>
          <w:sz w:val="24"/>
          <w:szCs w:val="24"/>
        </w:rPr>
        <w:t xml:space="preserve">Table </w:t>
      </w:r>
      <w:r w:rsidR="00902A6A">
        <w:rPr>
          <w:rFonts w:ascii="Arial" w:hAnsi="Arial" w:cs="Arial"/>
          <w:sz w:val="24"/>
          <w:szCs w:val="24"/>
        </w:rPr>
        <w:t>2</w:t>
      </w:r>
      <w:r w:rsidRPr="00F216F0">
        <w:rPr>
          <w:rFonts w:ascii="Arial" w:hAnsi="Arial" w:cs="Arial"/>
          <w:sz w:val="24"/>
          <w:szCs w:val="24"/>
        </w:rPr>
        <w:t>, rather than ratios of total OOP and family income.</w:t>
      </w:r>
    </w:p>
    <w:p w14:paraId="131B7D0D" w14:textId="7199D4E0" w:rsidR="0069375C" w:rsidRDefault="0069375C" w:rsidP="0069375C">
      <w:pPr>
        <w:spacing w:line="480" w:lineRule="auto"/>
        <w:ind w:firstLine="720"/>
        <w:rPr>
          <w:rFonts w:ascii="Arial" w:hAnsi="Arial" w:cs="Arial"/>
          <w:sz w:val="24"/>
          <w:szCs w:val="24"/>
        </w:rPr>
      </w:pPr>
      <w:r w:rsidRPr="00F216F0">
        <w:rPr>
          <w:rFonts w:ascii="Arial" w:hAnsi="Arial" w:cs="Arial"/>
          <w:sz w:val="24"/>
          <w:szCs w:val="24"/>
        </w:rPr>
        <w:t xml:space="preserve">Figure </w:t>
      </w:r>
      <w:r w:rsidR="00A42FAB">
        <w:rPr>
          <w:rFonts w:ascii="Arial" w:hAnsi="Arial" w:cs="Arial"/>
          <w:sz w:val="24"/>
          <w:szCs w:val="24"/>
        </w:rPr>
        <w:t>S</w:t>
      </w:r>
      <w:r w:rsidRPr="00F216F0">
        <w:rPr>
          <w:rFonts w:ascii="Arial" w:hAnsi="Arial" w:cs="Arial"/>
          <w:sz w:val="24"/>
          <w:szCs w:val="24"/>
        </w:rPr>
        <w:t xml:space="preserve">2 illustrates the relationships among the four variables in the multinomial model with adherence behavior class. The most costly medication being insulin or FDC was associated with lower low/high OOP ratio (i.e., large cost differences among medications), higher total OOP cost/day, and lower SF-12 PCS score (i.e. poorer health). Particularly for patients whose most costly medication </w:t>
      </w:r>
      <w:proofErr w:type="gramStart"/>
      <w:r w:rsidRPr="00F216F0">
        <w:rPr>
          <w:rFonts w:ascii="Arial" w:hAnsi="Arial" w:cs="Arial"/>
          <w:sz w:val="24"/>
          <w:szCs w:val="24"/>
        </w:rPr>
        <w:t>were</w:t>
      </w:r>
      <w:proofErr w:type="gramEnd"/>
      <w:r w:rsidRPr="00F216F0">
        <w:rPr>
          <w:rFonts w:ascii="Arial" w:hAnsi="Arial" w:cs="Arial"/>
          <w:sz w:val="24"/>
          <w:szCs w:val="24"/>
        </w:rPr>
        <w:t xml:space="preserve"> not insulin or FDC, the ratios of low/high OOP cost for all four behavior types were all higher than those who were on insulin/FDC, as illustrated in Figure </w:t>
      </w:r>
      <w:r w:rsidR="006E5403">
        <w:rPr>
          <w:rFonts w:ascii="Arial" w:hAnsi="Arial" w:cs="Arial"/>
          <w:sz w:val="24"/>
          <w:szCs w:val="24"/>
        </w:rPr>
        <w:t>S2</w:t>
      </w:r>
      <w:r w:rsidRPr="00F216F0">
        <w:rPr>
          <w:rFonts w:ascii="Arial" w:hAnsi="Arial" w:cs="Arial"/>
          <w:sz w:val="24"/>
          <w:szCs w:val="24"/>
        </w:rPr>
        <w:t>a. The patients</w:t>
      </w:r>
      <w:r w:rsidR="003F62C2">
        <w:rPr>
          <w:rFonts w:ascii="Arial" w:hAnsi="Arial" w:cs="Arial"/>
          <w:sz w:val="24"/>
          <w:szCs w:val="24"/>
        </w:rPr>
        <w:t xml:space="preserve"> who</w:t>
      </w:r>
      <w:r w:rsidRPr="00F216F0">
        <w:rPr>
          <w:rFonts w:ascii="Arial" w:hAnsi="Arial" w:cs="Arial"/>
          <w:sz w:val="24"/>
          <w:szCs w:val="24"/>
        </w:rPr>
        <w:t xml:space="preserve"> only adher</w:t>
      </w:r>
      <w:r w:rsidR="003F62C2">
        <w:rPr>
          <w:rFonts w:ascii="Arial" w:hAnsi="Arial" w:cs="Arial"/>
          <w:sz w:val="24"/>
          <w:szCs w:val="24"/>
        </w:rPr>
        <w:t>ed</w:t>
      </w:r>
      <w:r w:rsidRPr="00F216F0">
        <w:rPr>
          <w:rFonts w:ascii="Arial" w:hAnsi="Arial" w:cs="Arial"/>
          <w:sz w:val="24"/>
          <w:szCs w:val="24"/>
        </w:rPr>
        <w:t xml:space="preserve"> to the least costly medication were, on average, paying three more times for their most costly medication, whereas those adherent to other non-insulin/FDC </w:t>
      </w:r>
      <w:r w:rsidR="006E5403">
        <w:rPr>
          <w:rFonts w:ascii="Arial" w:hAnsi="Arial" w:cs="Arial"/>
          <w:sz w:val="24"/>
          <w:szCs w:val="24"/>
        </w:rPr>
        <w:t xml:space="preserve">medication </w:t>
      </w:r>
      <w:r w:rsidRPr="00F216F0">
        <w:rPr>
          <w:rFonts w:ascii="Arial" w:hAnsi="Arial" w:cs="Arial"/>
          <w:sz w:val="24"/>
          <w:szCs w:val="24"/>
        </w:rPr>
        <w:t>on average pa</w:t>
      </w:r>
      <w:r w:rsidR="00F904BC">
        <w:rPr>
          <w:rFonts w:ascii="Arial" w:hAnsi="Arial" w:cs="Arial"/>
          <w:sz w:val="24"/>
          <w:szCs w:val="24"/>
        </w:rPr>
        <w:t>id</w:t>
      </w:r>
      <w:r w:rsidRPr="00F216F0">
        <w:rPr>
          <w:rFonts w:ascii="Arial" w:hAnsi="Arial" w:cs="Arial"/>
          <w:sz w:val="24"/>
          <w:szCs w:val="24"/>
        </w:rPr>
        <w:t xml:space="preserve"> about two times or less for their most costly medication. Note the relationship of this group</w:t>
      </w:r>
      <w:r w:rsidR="004F4749">
        <w:rPr>
          <w:rFonts w:ascii="Arial" w:hAnsi="Arial" w:cs="Arial"/>
          <w:sz w:val="24"/>
          <w:szCs w:val="24"/>
        </w:rPr>
        <w:t xml:space="preserve"> (those with insulin/FDC as the </w:t>
      </w:r>
      <w:r w:rsidR="004F4749">
        <w:rPr>
          <w:rFonts w:ascii="Arial" w:hAnsi="Arial" w:cs="Arial"/>
          <w:sz w:val="24"/>
          <w:szCs w:val="24"/>
        </w:rPr>
        <w:lastRenderedPageBreak/>
        <w:t>most costly medication)</w:t>
      </w:r>
      <w:r w:rsidRPr="00F216F0">
        <w:rPr>
          <w:rFonts w:ascii="Arial" w:hAnsi="Arial" w:cs="Arial"/>
          <w:sz w:val="24"/>
          <w:szCs w:val="24"/>
        </w:rPr>
        <w:t xml:space="preserve"> to the others below the dashed line in Figure </w:t>
      </w:r>
      <w:r w:rsidR="004F4749">
        <w:rPr>
          <w:rFonts w:ascii="Arial" w:hAnsi="Arial" w:cs="Arial"/>
          <w:sz w:val="24"/>
          <w:szCs w:val="24"/>
        </w:rPr>
        <w:t>S2</w:t>
      </w:r>
      <w:r w:rsidRPr="00F216F0">
        <w:rPr>
          <w:rFonts w:ascii="Arial" w:hAnsi="Arial" w:cs="Arial"/>
          <w:sz w:val="24"/>
          <w:szCs w:val="24"/>
        </w:rPr>
        <w:t>d is distinguished by their low ratio of least costly to most costly medication.</w:t>
      </w:r>
    </w:p>
    <w:p w14:paraId="544F3B8B" w14:textId="77777777" w:rsidR="002D437F" w:rsidRPr="009F09AF" w:rsidRDefault="002D437F" w:rsidP="002D437F">
      <w:pPr>
        <w:rPr>
          <w:rFonts w:ascii="Arial" w:hAnsi="Arial" w:cs="Arial"/>
          <w:b/>
          <w:bCs/>
          <w:sz w:val="24"/>
          <w:szCs w:val="24"/>
        </w:rPr>
      </w:pPr>
      <w:r w:rsidRPr="009F09AF">
        <w:rPr>
          <w:rFonts w:ascii="Arial" w:hAnsi="Arial" w:cs="Arial"/>
          <w:b/>
          <w:bCs/>
          <w:sz w:val="24"/>
          <w:szCs w:val="24"/>
        </w:rPr>
        <w:t>References</w:t>
      </w:r>
    </w:p>
    <w:p w14:paraId="7EAC238D" w14:textId="0A2B40EA"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t>1.</w:t>
      </w:r>
      <w:r w:rsidRPr="00343D1A">
        <w:rPr>
          <w:rFonts w:ascii="Arial" w:hAnsi="Arial" w:cs="Arial"/>
          <w:sz w:val="24"/>
          <w:szCs w:val="24"/>
        </w:rPr>
        <w:tab/>
        <w:t xml:space="preserve">Medical Expenditure Panel Survey. </w:t>
      </w:r>
      <w:hyperlink r:id="rId10" w:history="1">
        <w:r w:rsidR="005435F3" w:rsidRPr="00D6401E">
          <w:rPr>
            <w:rStyle w:val="Hyperlink"/>
            <w:rFonts w:ascii="Arial" w:hAnsi="Arial" w:cs="Arial"/>
            <w:sz w:val="24"/>
            <w:szCs w:val="24"/>
          </w:rPr>
          <w:t>https://meps.ahrq.gov</w:t>
        </w:r>
      </w:hyperlink>
      <w:r w:rsidRPr="00343D1A">
        <w:rPr>
          <w:rFonts w:ascii="Arial" w:hAnsi="Arial" w:cs="Arial"/>
          <w:sz w:val="24"/>
          <w:szCs w:val="24"/>
        </w:rPr>
        <w:t>.</w:t>
      </w:r>
      <w:r w:rsidR="005435F3">
        <w:rPr>
          <w:rFonts w:ascii="Arial" w:hAnsi="Arial" w:cs="Arial"/>
          <w:sz w:val="24"/>
          <w:szCs w:val="24"/>
        </w:rPr>
        <w:t xml:space="preserve"> </w:t>
      </w:r>
      <w:r w:rsidR="005435F3" w:rsidRPr="00343D1A">
        <w:rPr>
          <w:rFonts w:ascii="Arial" w:hAnsi="Arial" w:cs="Arial"/>
          <w:sz w:val="24"/>
          <w:szCs w:val="24"/>
        </w:rPr>
        <w:t xml:space="preserve">Accessed </w:t>
      </w:r>
      <w:r w:rsidR="005435F3">
        <w:rPr>
          <w:rFonts w:ascii="Arial" w:hAnsi="Arial" w:cs="Arial"/>
          <w:sz w:val="24"/>
          <w:szCs w:val="24"/>
        </w:rPr>
        <w:t>January</w:t>
      </w:r>
      <w:r w:rsidR="005435F3" w:rsidRPr="00343D1A">
        <w:rPr>
          <w:rFonts w:ascii="Arial" w:hAnsi="Arial" w:cs="Arial"/>
          <w:sz w:val="24"/>
          <w:szCs w:val="24"/>
        </w:rPr>
        <w:t xml:space="preserve"> </w:t>
      </w:r>
      <w:r w:rsidR="005435F3">
        <w:rPr>
          <w:rFonts w:ascii="Arial" w:hAnsi="Arial" w:cs="Arial"/>
          <w:sz w:val="24"/>
          <w:szCs w:val="24"/>
        </w:rPr>
        <w:t>1</w:t>
      </w:r>
      <w:r w:rsidR="005435F3" w:rsidRPr="00343D1A">
        <w:rPr>
          <w:rFonts w:ascii="Arial" w:hAnsi="Arial" w:cs="Arial"/>
          <w:sz w:val="24"/>
          <w:szCs w:val="24"/>
        </w:rPr>
        <w:t>, 20</w:t>
      </w:r>
      <w:r w:rsidR="005435F3">
        <w:rPr>
          <w:rFonts w:ascii="Arial" w:hAnsi="Arial" w:cs="Arial"/>
          <w:sz w:val="24"/>
          <w:szCs w:val="24"/>
        </w:rPr>
        <w:t>21</w:t>
      </w:r>
      <w:r w:rsidR="005435F3" w:rsidRPr="00343D1A">
        <w:rPr>
          <w:rFonts w:ascii="Arial" w:hAnsi="Arial" w:cs="Arial"/>
          <w:sz w:val="24"/>
          <w:szCs w:val="24"/>
        </w:rPr>
        <w:t>.</w:t>
      </w:r>
    </w:p>
    <w:p w14:paraId="2CDCD32E" w14:textId="53E11221"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t>2.</w:t>
      </w:r>
      <w:r w:rsidRPr="00343D1A">
        <w:rPr>
          <w:rFonts w:ascii="Arial" w:hAnsi="Arial" w:cs="Arial"/>
          <w:sz w:val="24"/>
          <w:szCs w:val="24"/>
        </w:rPr>
        <w:tab/>
        <w:t xml:space="preserve">Design and methods of the medical expenditure panel survey household component. Rockville (MD): Agency for Health Care Policy and Research. (MEPS Methodology Report No. 1). 1997. </w:t>
      </w:r>
      <w:hyperlink r:id="rId11" w:anchor=":~:text=Design%20and%20Methods%20of%20the%20Medical%20Expenditure%20Panel,wide%20variety%20of%20users%20in%20a%20cost-effective%20manner" w:history="1">
        <w:r w:rsidR="00425C71" w:rsidRPr="00D6401E">
          <w:rPr>
            <w:rStyle w:val="Hyperlink"/>
            <w:rFonts w:ascii="Arial" w:hAnsi="Arial" w:cs="Arial"/>
            <w:sz w:val="24"/>
            <w:szCs w:val="24"/>
          </w:rPr>
          <w:t>https://meps.ahrq.gov/data_files/publications/mr1/mr1.pdf#:~:text=Design%20and%20Methods%20of%20the%20Medical%20Expenditure%20Panel,wide%20variety%20of%20users%20in%20a%20cost-effective%20manner</w:t>
        </w:r>
      </w:hyperlink>
      <w:r w:rsidRPr="00343D1A">
        <w:rPr>
          <w:rFonts w:ascii="Arial" w:hAnsi="Arial" w:cs="Arial"/>
          <w:sz w:val="24"/>
          <w:szCs w:val="24"/>
        </w:rPr>
        <w:t>.</w:t>
      </w:r>
      <w:r w:rsidR="00425C71">
        <w:rPr>
          <w:rFonts w:ascii="Arial" w:hAnsi="Arial" w:cs="Arial"/>
          <w:sz w:val="24"/>
          <w:szCs w:val="24"/>
        </w:rPr>
        <w:t xml:space="preserve"> </w:t>
      </w:r>
      <w:r w:rsidR="00425C71" w:rsidRPr="00343D1A">
        <w:rPr>
          <w:rFonts w:ascii="Arial" w:hAnsi="Arial" w:cs="Arial"/>
          <w:sz w:val="24"/>
          <w:szCs w:val="24"/>
        </w:rPr>
        <w:t xml:space="preserve">Accessed </w:t>
      </w:r>
      <w:r w:rsidR="00425C71">
        <w:rPr>
          <w:rFonts w:ascii="Arial" w:hAnsi="Arial" w:cs="Arial"/>
          <w:sz w:val="24"/>
          <w:szCs w:val="24"/>
        </w:rPr>
        <w:t>January</w:t>
      </w:r>
      <w:r w:rsidR="00425C71" w:rsidRPr="00343D1A">
        <w:rPr>
          <w:rFonts w:ascii="Arial" w:hAnsi="Arial" w:cs="Arial"/>
          <w:sz w:val="24"/>
          <w:szCs w:val="24"/>
        </w:rPr>
        <w:t xml:space="preserve"> </w:t>
      </w:r>
      <w:r w:rsidR="00425C71">
        <w:rPr>
          <w:rFonts w:ascii="Arial" w:hAnsi="Arial" w:cs="Arial"/>
          <w:sz w:val="24"/>
          <w:szCs w:val="24"/>
        </w:rPr>
        <w:t>1</w:t>
      </w:r>
      <w:r w:rsidR="00425C71" w:rsidRPr="00343D1A">
        <w:rPr>
          <w:rFonts w:ascii="Arial" w:hAnsi="Arial" w:cs="Arial"/>
          <w:sz w:val="24"/>
          <w:szCs w:val="24"/>
        </w:rPr>
        <w:t>, 20</w:t>
      </w:r>
      <w:r w:rsidR="00425C71">
        <w:rPr>
          <w:rFonts w:ascii="Arial" w:hAnsi="Arial" w:cs="Arial"/>
          <w:sz w:val="24"/>
          <w:szCs w:val="24"/>
        </w:rPr>
        <w:t>21</w:t>
      </w:r>
      <w:r w:rsidR="00425C71" w:rsidRPr="00343D1A">
        <w:rPr>
          <w:rFonts w:ascii="Arial" w:hAnsi="Arial" w:cs="Arial"/>
          <w:sz w:val="24"/>
          <w:szCs w:val="24"/>
        </w:rPr>
        <w:t>.</w:t>
      </w:r>
    </w:p>
    <w:p w14:paraId="2E9E6866" w14:textId="77777777"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t>3.</w:t>
      </w:r>
      <w:r w:rsidRPr="00343D1A">
        <w:rPr>
          <w:rFonts w:ascii="Arial" w:hAnsi="Arial" w:cs="Arial"/>
          <w:sz w:val="24"/>
          <w:szCs w:val="24"/>
        </w:rPr>
        <w:tab/>
        <w:t xml:space="preserve">Hill SC, Zuvekas SH, Zodet MW. Implications of the accuracy of MEPS prescription drug data for health services research. </w:t>
      </w:r>
      <w:r w:rsidRPr="00343D1A">
        <w:rPr>
          <w:rFonts w:ascii="Arial" w:hAnsi="Arial" w:cs="Arial"/>
          <w:i/>
          <w:sz w:val="24"/>
          <w:szCs w:val="24"/>
        </w:rPr>
        <w:t xml:space="preserve">Inquiry. </w:t>
      </w:r>
      <w:r w:rsidRPr="00343D1A">
        <w:rPr>
          <w:rFonts w:ascii="Arial" w:hAnsi="Arial" w:cs="Arial"/>
          <w:sz w:val="24"/>
          <w:szCs w:val="24"/>
        </w:rPr>
        <w:t>2011;48(3):242-259.</w:t>
      </w:r>
    </w:p>
    <w:p w14:paraId="0E17DEFC" w14:textId="6A60BAEC"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t>4.</w:t>
      </w:r>
      <w:r w:rsidRPr="00343D1A">
        <w:rPr>
          <w:rFonts w:ascii="Arial" w:hAnsi="Arial" w:cs="Arial"/>
          <w:sz w:val="24"/>
          <w:szCs w:val="24"/>
        </w:rPr>
        <w:tab/>
        <w:t xml:space="preserve">Outpatient prescription drugs: Data collection and editing in the 2011 Medical Expenditure Panel Survey. Methodology Report No. 29. Agency for Healthcare Research and Quality, Rockville, MD; 2014. </w:t>
      </w:r>
      <w:hyperlink r:id="rId12" w:history="1">
        <w:r w:rsidR="00425C71" w:rsidRPr="00D6401E">
          <w:rPr>
            <w:rStyle w:val="Hyperlink"/>
            <w:rFonts w:ascii="Arial" w:hAnsi="Arial" w:cs="Arial"/>
            <w:sz w:val="24"/>
            <w:szCs w:val="24"/>
          </w:rPr>
          <w:t>http://meps.ahrq.gov/mepsweb/data_files/publications/mr29/mr29.pdf</w:t>
        </w:r>
      </w:hyperlink>
      <w:r w:rsidRPr="00343D1A">
        <w:rPr>
          <w:rFonts w:ascii="Arial" w:hAnsi="Arial" w:cs="Arial"/>
          <w:sz w:val="24"/>
          <w:szCs w:val="24"/>
        </w:rPr>
        <w:t xml:space="preserve">. Accessed </w:t>
      </w:r>
      <w:r w:rsidR="00425C71">
        <w:rPr>
          <w:rFonts w:ascii="Arial" w:hAnsi="Arial" w:cs="Arial"/>
          <w:sz w:val="24"/>
          <w:szCs w:val="24"/>
        </w:rPr>
        <w:t>January</w:t>
      </w:r>
      <w:r w:rsidRPr="00343D1A">
        <w:rPr>
          <w:rFonts w:ascii="Arial" w:hAnsi="Arial" w:cs="Arial"/>
          <w:sz w:val="24"/>
          <w:szCs w:val="24"/>
        </w:rPr>
        <w:t xml:space="preserve"> </w:t>
      </w:r>
      <w:r w:rsidR="00425C71">
        <w:rPr>
          <w:rFonts w:ascii="Arial" w:hAnsi="Arial" w:cs="Arial"/>
          <w:sz w:val="24"/>
          <w:szCs w:val="24"/>
        </w:rPr>
        <w:t>1</w:t>
      </w:r>
      <w:r w:rsidRPr="00343D1A">
        <w:rPr>
          <w:rFonts w:ascii="Arial" w:hAnsi="Arial" w:cs="Arial"/>
          <w:sz w:val="24"/>
          <w:szCs w:val="24"/>
        </w:rPr>
        <w:t>, 20</w:t>
      </w:r>
      <w:r w:rsidR="00183CC8">
        <w:rPr>
          <w:rFonts w:ascii="Arial" w:hAnsi="Arial" w:cs="Arial"/>
          <w:sz w:val="24"/>
          <w:szCs w:val="24"/>
        </w:rPr>
        <w:t>21</w:t>
      </w:r>
      <w:r w:rsidRPr="00343D1A">
        <w:rPr>
          <w:rFonts w:ascii="Arial" w:hAnsi="Arial" w:cs="Arial"/>
          <w:sz w:val="24"/>
          <w:szCs w:val="24"/>
        </w:rPr>
        <w:t>.</w:t>
      </w:r>
    </w:p>
    <w:p w14:paraId="44D2196D" w14:textId="77777777"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t>5.</w:t>
      </w:r>
      <w:r w:rsidRPr="00343D1A">
        <w:rPr>
          <w:rFonts w:ascii="Arial" w:hAnsi="Arial" w:cs="Arial"/>
          <w:sz w:val="24"/>
          <w:szCs w:val="24"/>
        </w:rPr>
        <w:tab/>
        <w:t xml:space="preserve">Dunn A, Grosse SD, Zuvekas SH. Adjusting Health Expenditures for Inflation: A Review of Measures for Health Services Research in the United States. </w:t>
      </w:r>
      <w:r w:rsidRPr="00343D1A">
        <w:rPr>
          <w:rFonts w:ascii="Arial" w:hAnsi="Arial" w:cs="Arial"/>
          <w:i/>
          <w:sz w:val="24"/>
          <w:szCs w:val="24"/>
        </w:rPr>
        <w:t xml:space="preserve">Health Serv Res. </w:t>
      </w:r>
      <w:r w:rsidRPr="00343D1A">
        <w:rPr>
          <w:rFonts w:ascii="Arial" w:hAnsi="Arial" w:cs="Arial"/>
          <w:sz w:val="24"/>
          <w:szCs w:val="24"/>
        </w:rPr>
        <w:t>2018;53(1):175-196.</w:t>
      </w:r>
    </w:p>
    <w:p w14:paraId="4B26470F" w14:textId="77777777" w:rsidR="002D437F" w:rsidRPr="00343D1A" w:rsidRDefault="002D437F" w:rsidP="002D437F">
      <w:pPr>
        <w:pStyle w:val="EndNoteBibliography"/>
        <w:spacing w:after="0" w:line="480" w:lineRule="auto"/>
        <w:ind w:left="720" w:hanging="720"/>
        <w:rPr>
          <w:rFonts w:ascii="Arial" w:hAnsi="Arial" w:cs="Arial"/>
          <w:sz w:val="24"/>
          <w:szCs w:val="24"/>
        </w:rPr>
      </w:pPr>
      <w:r w:rsidRPr="00343D1A">
        <w:rPr>
          <w:rFonts w:ascii="Arial" w:hAnsi="Arial" w:cs="Arial"/>
          <w:sz w:val="24"/>
          <w:szCs w:val="24"/>
        </w:rPr>
        <w:lastRenderedPageBreak/>
        <w:t>6.</w:t>
      </w:r>
      <w:r w:rsidRPr="00343D1A">
        <w:rPr>
          <w:rFonts w:ascii="Arial" w:hAnsi="Arial" w:cs="Arial"/>
          <w:sz w:val="24"/>
          <w:szCs w:val="24"/>
        </w:rPr>
        <w:tab/>
        <w:t xml:space="preserve">Miller GE, Sarpong EM, Hill SC. Does increased adherence to medications change health care financial burdens for adults with diabetes? </w:t>
      </w:r>
      <w:r w:rsidRPr="00343D1A">
        <w:rPr>
          <w:rFonts w:ascii="Arial" w:hAnsi="Arial" w:cs="Arial"/>
          <w:i/>
          <w:sz w:val="24"/>
          <w:szCs w:val="24"/>
        </w:rPr>
        <w:t xml:space="preserve">J Diabetes. </w:t>
      </w:r>
      <w:r w:rsidRPr="00343D1A">
        <w:rPr>
          <w:rFonts w:ascii="Arial" w:hAnsi="Arial" w:cs="Arial"/>
          <w:sz w:val="24"/>
          <w:szCs w:val="24"/>
        </w:rPr>
        <w:t>2015;7(6):872-880.</w:t>
      </w:r>
    </w:p>
    <w:p w14:paraId="1680E9D6" w14:textId="77777777" w:rsidR="002D437F" w:rsidRPr="00343D1A" w:rsidRDefault="002D437F" w:rsidP="002D437F">
      <w:pPr>
        <w:pStyle w:val="EndNoteBibliography"/>
        <w:spacing w:line="480" w:lineRule="auto"/>
        <w:ind w:left="720" w:hanging="720"/>
        <w:rPr>
          <w:rFonts w:ascii="Arial" w:hAnsi="Arial" w:cs="Arial"/>
          <w:sz w:val="24"/>
          <w:szCs w:val="24"/>
        </w:rPr>
      </w:pPr>
      <w:r w:rsidRPr="00343D1A">
        <w:rPr>
          <w:rFonts w:ascii="Arial" w:hAnsi="Arial" w:cs="Arial"/>
          <w:sz w:val="24"/>
          <w:szCs w:val="24"/>
        </w:rPr>
        <w:t>7.</w:t>
      </w:r>
      <w:r w:rsidRPr="00343D1A">
        <w:rPr>
          <w:rFonts w:ascii="Arial" w:hAnsi="Arial" w:cs="Arial"/>
          <w:sz w:val="24"/>
          <w:szCs w:val="24"/>
        </w:rPr>
        <w:tab/>
        <w:t xml:space="preserve">Baur H, Leuenberger C. Analysis of ratios in multivariate morphometry. </w:t>
      </w:r>
      <w:r w:rsidRPr="00343D1A">
        <w:rPr>
          <w:rFonts w:ascii="Arial" w:hAnsi="Arial" w:cs="Arial"/>
          <w:i/>
          <w:sz w:val="24"/>
          <w:szCs w:val="24"/>
        </w:rPr>
        <w:t xml:space="preserve">Syst Biol. </w:t>
      </w:r>
      <w:r w:rsidRPr="00343D1A">
        <w:rPr>
          <w:rFonts w:ascii="Arial" w:hAnsi="Arial" w:cs="Arial"/>
          <w:sz w:val="24"/>
          <w:szCs w:val="24"/>
        </w:rPr>
        <w:t>2011;60(6):813-825.</w:t>
      </w:r>
    </w:p>
    <w:p w14:paraId="53B465FE" w14:textId="77777777" w:rsidR="00DB7329" w:rsidRDefault="00DB7329">
      <w:pPr>
        <w:rPr>
          <w:rFonts w:ascii="Times New Roman" w:hAnsi="Times New Roman" w:cs="Times New Roman"/>
          <w:b/>
          <w:bCs/>
          <w:sz w:val="24"/>
          <w:szCs w:val="24"/>
        </w:rPr>
        <w:sectPr w:rsidR="00DB7329">
          <w:headerReference w:type="default" r:id="rId13"/>
          <w:footerReference w:type="default" r:id="rId14"/>
          <w:pgSz w:w="11906" w:h="16838"/>
          <w:pgMar w:top="1440" w:right="1440" w:bottom="1440" w:left="1440" w:header="708" w:footer="708" w:gutter="0"/>
          <w:cols w:space="708"/>
          <w:docGrid w:linePitch="360"/>
        </w:sectPr>
      </w:pPr>
    </w:p>
    <w:p w14:paraId="32D30DB4" w14:textId="56C91815" w:rsidR="00D11DA9" w:rsidRPr="00E15D94" w:rsidRDefault="00D11DA9" w:rsidP="00403386">
      <w:pPr>
        <w:spacing w:line="480" w:lineRule="auto"/>
        <w:rPr>
          <w:rFonts w:ascii="Arial" w:hAnsi="Arial" w:cs="Arial"/>
          <w:sz w:val="24"/>
          <w:szCs w:val="24"/>
        </w:rPr>
      </w:pPr>
      <w:r>
        <w:rPr>
          <w:rFonts w:ascii="Arial" w:hAnsi="Arial" w:cs="Arial"/>
          <w:b/>
          <w:bCs/>
          <w:sz w:val="24"/>
          <w:szCs w:val="24"/>
        </w:rPr>
        <w:lastRenderedPageBreak/>
        <w:t>Table S</w:t>
      </w:r>
      <w:r w:rsidRPr="00E15D94">
        <w:rPr>
          <w:rFonts w:ascii="Arial" w:hAnsi="Arial" w:cs="Arial"/>
          <w:b/>
          <w:bCs/>
          <w:sz w:val="24"/>
          <w:szCs w:val="24"/>
        </w:rPr>
        <w:t>1.</w:t>
      </w:r>
      <w:r w:rsidRPr="00E15D94">
        <w:rPr>
          <w:rFonts w:ascii="Arial" w:hAnsi="Arial" w:cs="Arial"/>
          <w:sz w:val="24"/>
          <w:szCs w:val="24"/>
        </w:rPr>
        <w:t xml:space="preserve"> Attrition for sample selection</w:t>
      </w:r>
      <w:r>
        <w:rPr>
          <w:rFonts w:ascii="Arial" w:hAnsi="Arial" w:cs="Arial"/>
          <w:sz w:val="24"/>
          <w:szCs w:val="24"/>
        </w:rPr>
        <w:t xml:space="preserve"> from MEPS database.</w:t>
      </w:r>
    </w:p>
    <w:tbl>
      <w:tblPr>
        <w:tblStyle w:val="PlainTable21"/>
        <w:tblW w:w="0" w:type="auto"/>
        <w:tblLook w:val="04A0" w:firstRow="1" w:lastRow="0" w:firstColumn="1" w:lastColumn="0" w:noHBand="0" w:noVBand="1"/>
      </w:tblPr>
      <w:tblGrid>
        <w:gridCol w:w="5245"/>
        <w:gridCol w:w="851"/>
        <w:gridCol w:w="1429"/>
      </w:tblGrid>
      <w:tr w:rsidR="00D11DA9" w:rsidRPr="00F55390" w14:paraId="3D07D730" w14:textId="77777777" w:rsidTr="0045618C">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245" w:type="dxa"/>
            <w:tcBorders>
              <w:top w:val="single" w:sz="8" w:space="0" w:color="auto"/>
              <w:bottom w:val="single" w:sz="8" w:space="0" w:color="auto"/>
            </w:tcBorders>
          </w:tcPr>
          <w:p w14:paraId="65C17CDE" w14:textId="77777777" w:rsidR="00D11DA9" w:rsidRPr="00F55390" w:rsidRDefault="00D11DA9" w:rsidP="00403386">
            <w:pPr>
              <w:tabs>
                <w:tab w:val="left" w:pos="900"/>
              </w:tabs>
              <w:spacing w:line="480" w:lineRule="auto"/>
              <w:rPr>
                <w:rFonts w:ascii="Arial" w:hAnsi="Arial" w:cs="Arial"/>
                <w:sz w:val="20"/>
                <w:szCs w:val="20"/>
              </w:rPr>
            </w:pPr>
            <w:r w:rsidRPr="00F55390">
              <w:rPr>
                <w:rFonts w:ascii="Arial" w:hAnsi="Arial" w:cs="Arial"/>
                <w:sz w:val="20"/>
                <w:szCs w:val="20"/>
              </w:rPr>
              <w:t>Criteria</w:t>
            </w:r>
          </w:p>
        </w:tc>
        <w:tc>
          <w:tcPr>
            <w:tcW w:w="851" w:type="dxa"/>
            <w:tcBorders>
              <w:top w:val="single" w:sz="8" w:space="0" w:color="auto"/>
              <w:bottom w:val="single" w:sz="8" w:space="0" w:color="auto"/>
            </w:tcBorders>
            <w:vAlign w:val="center"/>
          </w:tcPr>
          <w:p w14:paraId="4AE03F9E" w14:textId="77777777" w:rsidR="00D11DA9" w:rsidRPr="00F55390" w:rsidRDefault="00D11DA9" w:rsidP="00403386">
            <w:pPr>
              <w:tabs>
                <w:tab w:val="left" w:pos="900"/>
              </w:tabs>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390">
              <w:rPr>
                <w:rFonts w:ascii="Arial" w:hAnsi="Arial" w:cs="Arial"/>
                <w:sz w:val="20"/>
                <w:szCs w:val="20"/>
              </w:rPr>
              <w:t>n</w:t>
            </w:r>
          </w:p>
        </w:tc>
        <w:tc>
          <w:tcPr>
            <w:tcW w:w="1429" w:type="dxa"/>
            <w:tcBorders>
              <w:top w:val="single" w:sz="8" w:space="0" w:color="auto"/>
              <w:bottom w:val="single" w:sz="8" w:space="0" w:color="auto"/>
            </w:tcBorders>
            <w:vAlign w:val="center"/>
          </w:tcPr>
          <w:p w14:paraId="17F56A9D" w14:textId="77777777" w:rsidR="00D11DA9" w:rsidRPr="00F55390" w:rsidRDefault="00D11DA9" w:rsidP="00403386">
            <w:pPr>
              <w:tabs>
                <w:tab w:val="left" w:pos="900"/>
              </w:tabs>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55390">
              <w:rPr>
                <w:rFonts w:ascii="Arial" w:hAnsi="Arial" w:cs="Arial"/>
                <w:sz w:val="20"/>
                <w:szCs w:val="20"/>
              </w:rPr>
              <w:t>Weighted n</w:t>
            </w:r>
          </w:p>
        </w:tc>
      </w:tr>
      <w:tr w:rsidR="00D11DA9" w:rsidRPr="00F55390" w14:paraId="620C49E1" w14:textId="77777777" w:rsidTr="0045618C">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5245" w:type="dxa"/>
            <w:tcBorders>
              <w:top w:val="single" w:sz="8" w:space="0" w:color="auto"/>
              <w:bottom w:val="nil"/>
            </w:tcBorders>
            <w:vAlign w:val="center"/>
          </w:tcPr>
          <w:p w14:paraId="70D71138"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Total MEPS participants during 2009-2013</w:t>
            </w:r>
          </w:p>
        </w:tc>
        <w:tc>
          <w:tcPr>
            <w:tcW w:w="851" w:type="dxa"/>
            <w:tcBorders>
              <w:top w:val="single" w:sz="8" w:space="0" w:color="auto"/>
              <w:bottom w:val="nil"/>
            </w:tcBorders>
            <w:vAlign w:val="center"/>
          </w:tcPr>
          <w:p w14:paraId="05BC87CF"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83,911</w:t>
            </w:r>
          </w:p>
        </w:tc>
        <w:tc>
          <w:tcPr>
            <w:tcW w:w="1429" w:type="dxa"/>
            <w:tcBorders>
              <w:top w:val="single" w:sz="8" w:space="0" w:color="auto"/>
              <w:bottom w:val="nil"/>
            </w:tcBorders>
            <w:vAlign w:val="center"/>
          </w:tcPr>
          <w:p w14:paraId="2CB2CA6C"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316.9 million</w:t>
            </w:r>
          </w:p>
        </w:tc>
      </w:tr>
      <w:tr w:rsidR="00D11DA9" w:rsidRPr="00F55390" w14:paraId="6AF5683A" w14:textId="77777777" w:rsidTr="0045618C">
        <w:trPr>
          <w:trHeight w:val="212"/>
        </w:trPr>
        <w:tc>
          <w:tcPr>
            <w:cnfStyle w:val="001000000000" w:firstRow="0" w:lastRow="0" w:firstColumn="1" w:lastColumn="0" w:oddVBand="0" w:evenVBand="0" w:oddHBand="0" w:evenHBand="0" w:firstRowFirstColumn="0" w:firstRowLastColumn="0" w:lastRowFirstColumn="0" w:lastRowLastColumn="0"/>
            <w:tcW w:w="7525" w:type="dxa"/>
            <w:gridSpan w:val="3"/>
            <w:tcBorders>
              <w:top w:val="nil"/>
              <w:bottom w:val="nil"/>
            </w:tcBorders>
            <w:vAlign w:val="center"/>
          </w:tcPr>
          <w:p w14:paraId="0C7B22DE" w14:textId="77777777" w:rsidR="00D11DA9" w:rsidRPr="00F55390" w:rsidRDefault="00D11DA9" w:rsidP="00403386">
            <w:pPr>
              <w:tabs>
                <w:tab w:val="left" w:pos="900"/>
              </w:tabs>
              <w:spacing w:line="480" w:lineRule="auto"/>
              <w:rPr>
                <w:rFonts w:ascii="Arial" w:hAnsi="Arial" w:cs="Arial"/>
                <w:sz w:val="20"/>
                <w:szCs w:val="20"/>
              </w:rPr>
            </w:pPr>
            <w:r>
              <w:rPr>
                <w:rFonts w:ascii="Arial" w:hAnsi="Arial" w:cs="Arial"/>
                <w:sz w:val="20"/>
                <w:szCs w:val="20"/>
              </w:rPr>
              <w:t xml:space="preserve">                               </w:t>
            </w:r>
            <w:r w:rsidRPr="00F55390">
              <w:rPr>
                <w:rFonts w:ascii="Arial" w:hAnsi="Arial" w:cs="Arial"/>
                <w:sz w:val="20"/>
                <w:szCs w:val="20"/>
              </w:rPr>
              <w:t>↓</w:t>
            </w:r>
          </w:p>
        </w:tc>
      </w:tr>
      <w:tr w:rsidR="00D11DA9" w:rsidRPr="00F55390" w14:paraId="0C45D292" w14:textId="77777777" w:rsidTr="0045618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245" w:type="dxa"/>
            <w:tcBorders>
              <w:top w:val="nil"/>
              <w:bottom w:val="nil"/>
            </w:tcBorders>
            <w:vAlign w:val="center"/>
          </w:tcPr>
          <w:p w14:paraId="63AC6125"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Individuals participating for entire two years</w:t>
            </w:r>
          </w:p>
        </w:tc>
        <w:tc>
          <w:tcPr>
            <w:tcW w:w="851" w:type="dxa"/>
            <w:tcBorders>
              <w:top w:val="nil"/>
              <w:bottom w:val="nil"/>
            </w:tcBorders>
            <w:vAlign w:val="center"/>
          </w:tcPr>
          <w:p w14:paraId="6717ADD1"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77,191</w:t>
            </w:r>
          </w:p>
        </w:tc>
        <w:tc>
          <w:tcPr>
            <w:tcW w:w="1429" w:type="dxa"/>
            <w:tcBorders>
              <w:top w:val="nil"/>
              <w:bottom w:val="nil"/>
            </w:tcBorders>
            <w:vAlign w:val="center"/>
          </w:tcPr>
          <w:p w14:paraId="127421EA"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292.2 million</w:t>
            </w:r>
          </w:p>
        </w:tc>
      </w:tr>
      <w:tr w:rsidR="00D11DA9" w:rsidRPr="00F55390" w14:paraId="76AC524D" w14:textId="77777777" w:rsidTr="0045618C">
        <w:trPr>
          <w:trHeight w:val="221"/>
        </w:trPr>
        <w:tc>
          <w:tcPr>
            <w:cnfStyle w:val="001000000000" w:firstRow="0" w:lastRow="0" w:firstColumn="1" w:lastColumn="0" w:oddVBand="0" w:evenVBand="0" w:oddHBand="0" w:evenHBand="0" w:firstRowFirstColumn="0" w:firstRowLastColumn="0" w:lastRowFirstColumn="0" w:lastRowLastColumn="0"/>
            <w:tcW w:w="7525" w:type="dxa"/>
            <w:gridSpan w:val="3"/>
            <w:tcBorders>
              <w:top w:val="nil"/>
              <w:bottom w:val="nil"/>
            </w:tcBorders>
            <w:vAlign w:val="center"/>
          </w:tcPr>
          <w:p w14:paraId="6DABE63B" w14:textId="77777777" w:rsidR="00D11DA9" w:rsidRPr="00F55390" w:rsidRDefault="00D11DA9" w:rsidP="00403386">
            <w:pPr>
              <w:tabs>
                <w:tab w:val="left" w:pos="900"/>
              </w:tabs>
              <w:spacing w:line="480" w:lineRule="auto"/>
              <w:rPr>
                <w:rFonts w:ascii="Arial" w:hAnsi="Arial" w:cs="Arial"/>
                <w:b w:val="0"/>
                <w:sz w:val="20"/>
                <w:szCs w:val="20"/>
              </w:rPr>
            </w:pPr>
            <w:r>
              <w:rPr>
                <w:rFonts w:ascii="Arial" w:hAnsi="Arial" w:cs="Arial"/>
                <w:b w:val="0"/>
                <w:sz w:val="20"/>
                <w:szCs w:val="20"/>
              </w:rPr>
              <w:t xml:space="preserve">                               </w:t>
            </w:r>
            <w:r w:rsidRPr="00F55390">
              <w:rPr>
                <w:rFonts w:ascii="Arial" w:hAnsi="Arial" w:cs="Arial"/>
                <w:b w:val="0"/>
                <w:sz w:val="20"/>
                <w:szCs w:val="20"/>
              </w:rPr>
              <w:t>↓</w:t>
            </w:r>
          </w:p>
        </w:tc>
      </w:tr>
      <w:tr w:rsidR="00D11DA9" w:rsidRPr="00F55390" w14:paraId="71518AA9" w14:textId="77777777" w:rsidTr="0045618C">
        <w:trPr>
          <w:cnfStyle w:val="000000100000" w:firstRow="0" w:lastRow="0" w:firstColumn="0" w:lastColumn="0" w:oddVBand="0" w:evenVBand="0" w:oddHBand="1"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5245" w:type="dxa"/>
            <w:tcBorders>
              <w:top w:val="nil"/>
              <w:bottom w:val="nil"/>
            </w:tcBorders>
            <w:vAlign w:val="center"/>
          </w:tcPr>
          <w:p w14:paraId="4BDE5154"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Individuals identified as having T2D</w:t>
            </w:r>
          </w:p>
        </w:tc>
        <w:tc>
          <w:tcPr>
            <w:tcW w:w="851" w:type="dxa"/>
            <w:tcBorders>
              <w:top w:val="nil"/>
              <w:bottom w:val="nil"/>
            </w:tcBorders>
            <w:vAlign w:val="center"/>
          </w:tcPr>
          <w:p w14:paraId="2AE2D903"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5,323</w:t>
            </w:r>
          </w:p>
        </w:tc>
        <w:tc>
          <w:tcPr>
            <w:tcW w:w="1429" w:type="dxa"/>
            <w:tcBorders>
              <w:top w:val="nil"/>
              <w:bottom w:val="nil"/>
            </w:tcBorders>
            <w:vAlign w:val="center"/>
          </w:tcPr>
          <w:p w14:paraId="5BAC053B"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18,894,413</w:t>
            </w:r>
          </w:p>
        </w:tc>
      </w:tr>
      <w:tr w:rsidR="00D11DA9" w:rsidRPr="00F55390" w14:paraId="4B09D7BD" w14:textId="77777777" w:rsidTr="0045618C">
        <w:trPr>
          <w:trHeight w:val="221"/>
        </w:trPr>
        <w:tc>
          <w:tcPr>
            <w:cnfStyle w:val="001000000000" w:firstRow="0" w:lastRow="0" w:firstColumn="1" w:lastColumn="0" w:oddVBand="0" w:evenVBand="0" w:oddHBand="0" w:evenHBand="0" w:firstRowFirstColumn="0" w:firstRowLastColumn="0" w:lastRowFirstColumn="0" w:lastRowLastColumn="0"/>
            <w:tcW w:w="7525" w:type="dxa"/>
            <w:gridSpan w:val="3"/>
            <w:tcBorders>
              <w:top w:val="nil"/>
              <w:bottom w:val="nil"/>
            </w:tcBorders>
            <w:vAlign w:val="center"/>
          </w:tcPr>
          <w:p w14:paraId="60417A9E" w14:textId="77777777" w:rsidR="00D11DA9" w:rsidRPr="00F55390" w:rsidRDefault="00D11DA9" w:rsidP="00403386">
            <w:pPr>
              <w:tabs>
                <w:tab w:val="left" w:pos="900"/>
              </w:tabs>
              <w:spacing w:line="480" w:lineRule="auto"/>
              <w:rPr>
                <w:rFonts w:ascii="Arial" w:hAnsi="Arial" w:cs="Arial"/>
                <w:b w:val="0"/>
                <w:sz w:val="20"/>
                <w:szCs w:val="20"/>
              </w:rPr>
            </w:pPr>
            <w:r>
              <w:rPr>
                <w:rFonts w:ascii="Arial" w:hAnsi="Arial" w:cs="Arial"/>
                <w:b w:val="0"/>
                <w:sz w:val="20"/>
                <w:szCs w:val="20"/>
              </w:rPr>
              <w:t xml:space="preserve">                               </w:t>
            </w:r>
            <w:r w:rsidRPr="00F55390">
              <w:rPr>
                <w:rFonts w:ascii="Arial" w:hAnsi="Arial" w:cs="Arial"/>
                <w:b w:val="0"/>
                <w:sz w:val="20"/>
                <w:szCs w:val="20"/>
              </w:rPr>
              <w:t>↓</w:t>
            </w:r>
          </w:p>
        </w:tc>
      </w:tr>
      <w:tr w:rsidR="00D11DA9" w:rsidRPr="00F55390" w14:paraId="5355611E" w14:textId="77777777" w:rsidTr="0045618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5245" w:type="dxa"/>
            <w:tcBorders>
              <w:top w:val="nil"/>
              <w:bottom w:val="nil"/>
            </w:tcBorders>
            <w:vAlign w:val="center"/>
          </w:tcPr>
          <w:p w14:paraId="53A64D6B"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 xml:space="preserve">Individuals who obtained &gt;2 classes of diabetes therapy drugs in the first </w:t>
            </w:r>
            <w:proofErr w:type="spellStart"/>
            <w:r w:rsidRPr="00F55390">
              <w:rPr>
                <w:rFonts w:ascii="Arial" w:hAnsi="Arial" w:cs="Arial"/>
                <w:b w:val="0"/>
                <w:sz w:val="20"/>
                <w:szCs w:val="20"/>
              </w:rPr>
              <w:t>year</w:t>
            </w:r>
            <w:r>
              <w:rPr>
                <w:rFonts w:ascii="Arial" w:hAnsi="Arial" w:cs="Arial"/>
                <w:b w:val="0"/>
                <w:sz w:val="20"/>
                <w:szCs w:val="20"/>
                <w:vertAlign w:val="superscript"/>
              </w:rPr>
              <w:t>a</w:t>
            </w:r>
            <w:proofErr w:type="spellEnd"/>
          </w:p>
        </w:tc>
        <w:tc>
          <w:tcPr>
            <w:tcW w:w="851" w:type="dxa"/>
            <w:tcBorders>
              <w:top w:val="nil"/>
              <w:bottom w:val="nil"/>
            </w:tcBorders>
            <w:vAlign w:val="center"/>
          </w:tcPr>
          <w:p w14:paraId="2DF4E0F5"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1,928</w:t>
            </w:r>
          </w:p>
        </w:tc>
        <w:tc>
          <w:tcPr>
            <w:tcW w:w="1429" w:type="dxa"/>
            <w:tcBorders>
              <w:top w:val="nil"/>
              <w:bottom w:val="nil"/>
            </w:tcBorders>
            <w:vAlign w:val="center"/>
          </w:tcPr>
          <w:p w14:paraId="2666DDBD"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6,898,003</w:t>
            </w:r>
          </w:p>
        </w:tc>
      </w:tr>
      <w:tr w:rsidR="00D11DA9" w:rsidRPr="00F55390" w14:paraId="5B5CCC1D" w14:textId="77777777" w:rsidTr="0045618C">
        <w:trPr>
          <w:trHeight w:val="221"/>
        </w:trPr>
        <w:tc>
          <w:tcPr>
            <w:cnfStyle w:val="001000000000" w:firstRow="0" w:lastRow="0" w:firstColumn="1" w:lastColumn="0" w:oddVBand="0" w:evenVBand="0" w:oddHBand="0" w:evenHBand="0" w:firstRowFirstColumn="0" w:firstRowLastColumn="0" w:lastRowFirstColumn="0" w:lastRowLastColumn="0"/>
            <w:tcW w:w="7525" w:type="dxa"/>
            <w:gridSpan w:val="3"/>
            <w:tcBorders>
              <w:top w:val="nil"/>
              <w:bottom w:val="nil"/>
            </w:tcBorders>
            <w:vAlign w:val="center"/>
          </w:tcPr>
          <w:p w14:paraId="0D7BA45A" w14:textId="77777777" w:rsidR="00D11DA9" w:rsidRPr="00F55390" w:rsidRDefault="00D11DA9" w:rsidP="00403386">
            <w:pPr>
              <w:tabs>
                <w:tab w:val="left" w:pos="900"/>
              </w:tabs>
              <w:spacing w:line="480" w:lineRule="auto"/>
              <w:rPr>
                <w:rFonts w:ascii="Arial" w:hAnsi="Arial" w:cs="Arial"/>
                <w:b w:val="0"/>
                <w:sz w:val="20"/>
                <w:szCs w:val="20"/>
              </w:rPr>
            </w:pPr>
            <w:r>
              <w:rPr>
                <w:rFonts w:ascii="Arial" w:hAnsi="Arial" w:cs="Arial"/>
                <w:b w:val="0"/>
                <w:sz w:val="20"/>
                <w:szCs w:val="20"/>
              </w:rPr>
              <w:t xml:space="preserve">                               </w:t>
            </w:r>
            <w:r w:rsidRPr="00F55390">
              <w:rPr>
                <w:rFonts w:ascii="Arial" w:hAnsi="Arial" w:cs="Arial"/>
                <w:b w:val="0"/>
                <w:sz w:val="20"/>
                <w:szCs w:val="20"/>
              </w:rPr>
              <w:t>↓</w:t>
            </w:r>
          </w:p>
        </w:tc>
      </w:tr>
      <w:tr w:rsidR="00D11DA9" w:rsidRPr="00F55390" w14:paraId="041757E3" w14:textId="77777777" w:rsidTr="0045618C">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245" w:type="dxa"/>
            <w:tcBorders>
              <w:top w:val="nil"/>
              <w:bottom w:val="nil"/>
            </w:tcBorders>
            <w:vAlign w:val="center"/>
          </w:tcPr>
          <w:p w14:paraId="120F4FF3"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Individuals who used only the medicines from the same drug classes in the second year</w:t>
            </w:r>
          </w:p>
        </w:tc>
        <w:tc>
          <w:tcPr>
            <w:tcW w:w="851" w:type="dxa"/>
            <w:tcBorders>
              <w:top w:val="nil"/>
              <w:bottom w:val="nil"/>
            </w:tcBorders>
            <w:vAlign w:val="center"/>
          </w:tcPr>
          <w:p w14:paraId="707AE7D4"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1,192</w:t>
            </w:r>
          </w:p>
        </w:tc>
        <w:tc>
          <w:tcPr>
            <w:tcW w:w="1429" w:type="dxa"/>
            <w:tcBorders>
              <w:top w:val="nil"/>
              <w:bottom w:val="nil"/>
            </w:tcBorders>
            <w:vAlign w:val="center"/>
          </w:tcPr>
          <w:p w14:paraId="361CA5F4"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55390">
              <w:rPr>
                <w:rFonts w:ascii="Arial" w:hAnsi="Arial" w:cs="Arial"/>
                <w:sz w:val="20"/>
                <w:szCs w:val="20"/>
              </w:rPr>
              <w:t>4,306,111</w:t>
            </w:r>
          </w:p>
        </w:tc>
      </w:tr>
      <w:tr w:rsidR="00D11DA9" w:rsidRPr="00F55390" w14:paraId="454654B2" w14:textId="77777777" w:rsidTr="0045618C">
        <w:trPr>
          <w:trHeight w:val="212"/>
        </w:trPr>
        <w:tc>
          <w:tcPr>
            <w:cnfStyle w:val="001000000000" w:firstRow="0" w:lastRow="0" w:firstColumn="1" w:lastColumn="0" w:oddVBand="0" w:evenVBand="0" w:oddHBand="0" w:evenHBand="0" w:firstRowFirstColumn="0" w:firstRowLastColumn="0" w:lastRowFirstColumn="0" w:lastRowLastColumn="0"/>
            <w:tcW w:w="7525" w:type="dxa"/>
            <w:gridSpan w:val="3"/>
            <w:tcBorders>
              <w:top w:val="nil"/>
              <w:bottom w:val="nil"/>
            </w:tcBorders>
            <w:vAlign w:val="center"/>
          </w:tcPr>
          <w:p w14:paraId="0E935591" w14:textId="77777777" w:rsidR="00D11DA9" w:rsidRPr="00F55390" w:rsidRDefault="00D11DA9" w:rsidP="00403386">
            <w:pPr>
              <w:tabs>
                <w:tab w:val="left" w:pos="900"/>
              </w:tabs>
              <w:spacing w:line="480" w:lineRule="auto"/>
              <w:rPr>
                <w:rFonts w:ascii="Arial" w:hAnsi="Arial" w:cs="Arial"/>
                <w:b w:val="0"/>
                <w:sz w:val="20"/>
                <w:szCs w:val="20"/>
              </w:rPr>
            </w:pPr>
            <w:r>
              <w:rPr>
                <w:rFonts w:ascii="Arial" w:hAnsi="Arial" w:cs="Arial"/>
                <w:b w:val="0"/>
                <w:sz w:val="20"/>
                <w:szCs w:val="20"/>
              </w:rPr>
              <w:t xml:space="preserve">                               </w:t>
            </w:r>
            <w:r w:rsidRPr="00F55390">
              <w:rPr>
                <w:rFonts w:ascii="Arial" w:hAnsi="Arial" w:cs="Arial"/>
                <w:b w:val="0"/>
                <w:sz w:val="20"/>
                <w:szCs w:val="20"/>
              </w:rPr>
              <w:t>↓</w:t>
            </w:r>
          </w:p>
        </w:tc>
      </w:tr>
      <w:tr w:rsidR="00D11DA9" w:rsidRPr="00F55390" w14:paraId="0371DFD9" w14:textId="77777777" w:rsidTr="0045618C">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5245" w:type="dxa"/>
            <w:tcBorders>
              <w:top w:val="nil"/>
              <w:bottom w:val="single" w:sz="8" w:space="0" w:color="auto"/>
            </w:tcBorders>
            <w:vAlign w:val="center"/>
          </w:tcPr>
          <w:p w14:paraId="362C1345" w14:textId="77777777" w:rsidR="00D11DA9" w:rsidRPr="00F55390" w:rsidRDefault="00D11DA9" w:rsidP="00403386">
            <w:pPr>
              <w:tabs>
                <w:tab w:val="left" w:pos="900"/>
              </w:tabs>
              <w:spacing w:line="480" w:lineRule="auto"/>
              <w:rPr>
                <w:rFonts w:ascii="Arial" w:hAnsi="Arial" w:cs="Arial"/>
                <w:b w:val="0"/>
                <w:sz w:val="20"/>
                <w:szCs w:val="20"/>
              </w:rPr>
            </w:pPr>
            <w:r w:rsidRPr="00F55390">
              <w:rPr>
                <w:rFonts w:ascii="Arial" w:hAnsi="Arial" w:cs="Arial"/>
                <w:b w:val="0"/>
                <w:sz w:val="20"/>
                <w:szCs w:val="20"/>
              </w:rPr>
              <w:t xml:space="preserve">Individuals who had both ‘Days’ </w:t>
            </w:r>
            <w:proofErr w:type="spellStart"/>
            <w:r w:rsidRPr="00F55390">
              <w:rPr>
                <w:rFonts w:ascii="Arial" w:hAnsi="Arial" w:cs="Arial"/>
                <w:b w:val="0"/>
                <w:sz w:val="20"/>
                <w:szCs w:val="20"/>
              </w:rPr>
              <w:t>Supply</w:t>
            </w:r>
            <w:r>
              <w:rPr>
                <w:rFonts w:ascii="Arial" w:hAnsi="Arial" w:cs="Arial"/>
                <w:b w:val="0"/>
                <w:sz w:val="20"/>
                <w:szCs w:val="20"/>
                <w:vertAlign w:val="superscript"/>
              </w:rPr>
              <w:t>b</w:t>
            </w:r>
            <w:proofErr w:type="spellEnd"/>
            <w:r w:rsidRPr="00F55390">
              <w:rPr>
                <w:rFonts w:ascii="Arial" w:hAnsi="Arial" w:cs="Arial"/>
                <w:b w:val="0"/>
                <w:sz w:val="20"/>
                <w:szCs w:val="20"/>
              </w:rPr>
              <w:t>’ and ‘Out-of-pocket costs’ for at least 2 medications for the entire year</w:t>
            </w:r>
          </w:p>
        </w:tc>
        <w:tc>
          <w:tcPr>
            <w:tcW w:w="851" w:type="dxa"/>
            <w:tcBorders>
              <w:top w:val="nil"/>
              <w:bottom w:val="single" w:sz="8" w:space="0" w:color="auto"/>
            </w:tcBorders>
            <w:vAlign w:val="center"/>
          </w:tcPr>
          <w:p w14:paraId="53EC1967"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55390">
              <w:rPr>
                <w:rFonts w:ascii="Arial" w:hAnsi="Arial" w:cs="Arial"/>
                <w:b/>
                <w:sz w:val="20"/>
                <w:szCs w:val="20"/>
              </w:rPr>
              <w:t>1,189</w:t>
            </w:r>
          </w:p>
        </w:tc>
        <w:tc>
          <w:tcPr>
            <w:tcW w:w="1429" w:type="dxa"/>
            <w:tcBorders>
              <w:top w:val="nil"/>
              <w:bottom w:val="single" w:sz="8" w:space="0" w:color="auto"/>
            </w:tcBorders>
            <w:vAlign w:val="center"/>
          </w:tcPr>
          <w:p w14:paraId="23976E5E" w14:textId="77777777" w:rsidR="00D11DA9" w:rsidRPr="00F55390" w:rsidRDefault="00D11DA9" w:rsidP="00403386">
            <w:pPr>
              <w:tabs>
                <w:tab w:val="left" w:pos="900"/>
              </w:tabs>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F55390">
              <w:rPr>
                <w:rFonts w:ascii="Arial" w:hAnsi="Arial" w:cs="Arial"/>
                <w:b/>
                <w:sz w:val="20"/>
                <w:szCs w:val="20"/>
              </w:rPr>
              <w:t>4,294,336</w:t>
            </w:r>
          </w:p>
        </w:tc>
      </w:tr>
    </w:tbl>
    <w:p w14:paraId="42A53730" w14:textId="77E357D5" w:rsidR="00D11DA9" w:rsidRPr="00AD4D8A" w:rsidRDefault="00D11DA9" w:rsidP="00403386">
      <w:pPr>
        <w:tabs>
          <w:tab w:val="left" w:pos="900"/>
        </w:tabs>
        <w:spacing w:line="480" w:lineRule="auto"/>
        <w:rPr>
          <w:rFonts w:ascii="Arial" w:hAnsi="Arial" w:cs="Arial"/>
          <w:sz w:val="24"/>
          <w:szCs w:val="24"/>
          <w:lang w:val="en-IN"/>
        </w:rPr>
      </w:pPr>
      <w:proofErr w:type="spellStart"/>
      <w:r w:rsidRPr="00F55390">
        <w:rPr>
          <w:rFonts w:ascii="Arial" w:hAnsi="Arial" w:cs="Arial"/>
          <w:sz w:val="24"/>
          <w:szCs w:val="24"/>
          <w:vertAlign w:val="superscript"/>
        </w:rPr>
        <w:t>a</w:t>
      </w:r>
      <w:r w:rsidRPr="00F55390">
        <w:rPr>
          <w:rFonts w:ascii="Arial" w:hAnsi="Arial" w:cs="Arial"/>
          <w:sz w:val="24"/>
          <w:szCs w:val="24"/>
        </w:rPr>
        <w:t>Drug</w:t>
      </w:r>
      <w:proofErr w:type="spellEnd"/>
      <w:r w:rsidRPr="00F55390">
        <w:rPr>
          <w:rFonts w:ascii="Arial" w:hAnsi="Arial" w:cs="Arial"/>
          <w:sz w:val="24"/>
          <w:szCs w:val="24"/>
        </w:rPr>
        <w:t xml:space="preserve"> classes were identified using Multum Lexicon therapeutic codes for Sub-Sub-Class. Individuals were chosen only if they took each of the two medication for at least two rounds during that year. </w:t>
      </w:r>
      <w:proofErr w:type="spellStart"/>
      <w:r w:rsidRPr="00F55390">
        <w:rPr>
          <w:rFonts w:ascii="Arial" w:hAnsi="Arial" w:cs="Arial"/>
          <w:bCs/>
          <w:sz w:val="24"/>
          <w:szCs w:val="24"/>
          <w:vertAlign w:val="superscript"/>
        </w:rPr>
        <w:t>b</w:t>
      </w:r>
      <w:r w:rsidRPr="00F55390">
        <w:rPr>
          <w:rFonts w:ascii="Arial" w:hAnsi="Arial" w:cs="Arial"/>
          <w:sz w:val="24"/>
          <w:szCs w:val="24"/>
        </w:rPr>
        <w:t>Days</w:t>
      </w:r>
      <w:proofErr w:type="spellEnd"/>
      <w:r w:rsidRPr="00F55390">
        <w:rPr>
          <w:rFonts w:ascii="Arial" w:hAnsi="Arial" w:cs="Arial"/>
          <w:sz w:val="24"/>
          <w:szCs w:val="24"/>
        </w:rPr>
        <w:t xml:space="preserve"> Supply was either recorded in the data or imputed by NDC median.</w:t>
      </w:r>
      <w:r w:rsidR="00B1106C">
        <w:rPr>
          <w:rFonts w:ascii="Arial" w:hAnsi="Arial" w:cs="Arial"/>
          <w:sz w:val="24"/>
          <w:szCs w:val="24"/>
        </w:rPr>
        <w:t>T2D=Type 2 diabetes</w:t>
      </w:r>
    </w:p>
    <w:p w14:paraId="00B6A37B" w14:textId="77777777" w:rsidR="00C86C80" w:rsidRDefault="00C86C80">
      <w:pPr>
        <w:rPr>
          <w:rFonts w:ascii="Arial" w:hAnsi="Arial" w:cs="Arial"/>
          <w:b/>
          <w:bCs/>
          <w:sz w:val="24"/>
          <w:szCs w:val="24"/>
        </w:rPr>
        <w:sectPr w:rsidR="00C86C80">
          <w:pgSz w:w="11906" w:h="16838"/>
          <w:pgMar w:top="1440" w:right="1440" w:bottom="1440" w:left="1440" w:header="708" w:footer="708" w:gutter="0"/>
          <w:cols w:space="708"/>
          <w:docGrid w:linePitch="360"/>
        </w:sectPr>
        <w:pPrChange w:id="0" w:author="Shirin Ghodke" w:date="2021-01-27T21:33:00Z">
          <w:pPr>
            <w:spacing w:line="480" w:lineRule="auto"/>
          </w:pPr>
        </w:pPrChange>
      </w:pPr>
    </w:p>
    <w:p w14:paraId="7D89AFA5" w14:textId="1454B5F4" w:rsidR="00C86C80" w:rsidRPr="00CC72C8" w:rsidRDefault="00C86C80" w:rsidP="006A3B8D">
      <w:pPr>
        <w:spacing w:line="480" w:lineRule="auto"/>
        <w:rPr>
          <w:rFonts w:ascii="Arial" w:hAnsi="Arial" w:cs="Arial"/>
          <w:sz w:val="24"/>
          <w:szCs w:val="24"/>
        </w:rPr>
      </w:pPr>
      <w:r>
        <w:rPr>
          <w:rFonts w:ascii="Arial" w:hAnsi="Arial" w:cs="Arial"/>
          <w:b/>
          <w:bCs/>
          <w:sz w:val="24"/>
          <w:szCs w:val="24"/>
        </w:rPr>
        <w:lastRenderedPageBreak/>
        <w:t>Table S2.</w:t>
      </w:r>
      <w:r w:rsidR="00CC72C8">
        <w:rPr>
          <w:rFonts w:ascii="Arial" w:hAnsi="Arial" w:cs="Arial"/>
          <w:b/>
          <w:bCs/>
          <w:sz w:val="24"/>
          <w:szCs w:val="24"/>
        </w:rPr>
        <w:t xml:space="preserve"> </w:t>
      </w:r>
      <w:r w:rsidR="002937DC" w:rsidRPr="002937DC">
        <w:rPr>
          <w:rFonts w:ascii="Arial" w:hAnsi="Arial" w:cs="Arial"/>
          <w:sz w:val="24"/>
          <w:szCs w:val="24"/>
        </w:rPr>
        <w:t>Top five m</w:t>
      </w:r>
      <w:r w:rsidR="00CC72C8" w:rsidRPr="002937DC">
        <w:rPr>
          <w:rFonts w:ascii="Arial" w:hAnsi="Arial" w:cs="Arial"/>
          <w:sz w:val="24"/>
          <w:szCs w:val="24"/>
        </w:rPr>
        <w:t>edications</w:t>
      </w:r>
      <w:r w:rsidR="00CC72C8">
        <w:rPr>
          <w:rFonts w:ascii="Arial" w:hAnsi="Arial" w:cs="Arial"/>
          <w:sz w:val="24"/>
          <w:szCs w:val="24"/>
        </w:rPr>
        <w:t xml:space="preserve"> </w:t>
      </w:r>
      <w:r w:rsidR="00983A3B">
        <w:rPr>
          <w:rFonts w:ascii="Arial" w:hAnsi="Arial" w:cs="Arial"/>
          <w:sz w:val="24"/>
          <w:szCs w:val="24"/>
        </w:rPr>
        <w:t>comprising</w:t>
      </w:r>
      <w:r w:rsidR="00CC72C8">
        <w:rPr>
          <w:rFonts w:ascii="Arial" w:hAnsi="Arial" w:cs="Arial"/>
          <w:sz w:val="24"/>
          <w:szCs w:val="24"/>
        </w:rPr>
        <w:t xml:space="preserve"> </w:t>
      </w:r>
      <w:r w:rsidR="00D218FF">
        <w:rPr>
          <w:rFonts w:ascii="Arial" w:hAnsi="Arial" w:cs="Arial"/>
          <w:sz w:val="24"/>
          <w:szCs w:val="24"/>
        </w:rPr>
        <w:t xml:space="preserve">the highest and lowest </w:t>
      </w:r>
      <w:r w:rsidR="000E3BA2">
        <w:rPr>
          <w:rFonts w:ascii="Arial" w:hAnsi="Arial" w:cs="Arial"/>
          <w:sz w:val="24"/>
          <w:szCs w:val="24"/>
        </w:rPr>
        <w:t xml:space="preserve">out-of-pocket </w:t>
      </w:r>
      <w:r w:rsidR="00983A3B">
        <w:rPr>
          <w:rFonts w:ascii="Arial" w:hAnsi="Arial" w:cs="Arial"/>
          <w:sz w:val="24"/>
          <w:szCs w:val="24"/>
        </w:rPr>
        <w:t>cost</w:t>
      </w:r>
      <w:r w:rsidR="00FE3068">
        <w:rPr>
          <w:rFonts w:ascii="Arial" w:hAnsi="Arial" w:cs="Arial"/>
          <w:sz w:val="24"/>
          <w:szCs w:val="24"/>
        </w:rPr>
        <w:t xml:space="preserve"> drug classes among the large ∆</w:t>
      </w:r>
      <w:r w:rsidR="00FE3068" w:rsidRPr="00810898">
        <w:rPr>
          <w:rFonts w:ascii="Arial" w:hAnsi="Arial" w:cs="Arial"/>
          <w:sz w:val="24"/>
          <w:szCs w:val="24"/>
        </w:rPr>
        <w:t>OOP</w:t>
      </w:r>
      <w:r w:rsidR="00FE3068">
        <w:rPr>
          <w:rFonts w:ascii="Arial" w:hAnsi="Arial" w:cs="Arial"/>
          <w:sz w:val="24"/>
          <w:szCs w:val="24"/>
        </w:rPr>
        <w:t xml:space="preserve"> subgroup</w:t>
      </w:r>
      <w:r w:rsidR="00300160">
        <w:rPr>
          <w:rFonts w:ascii="Arial" w:hAnsi="Arial" w:cs="Arial"/>
          <w:sz w:val="24"/>
          <w:szCs w:val="24"/>
        </w:rPr>
        <w:t xml:space="preserve"> (during second year in MEPS database)</w:t>
      </w:r>
      <w:r w:rsidR="00FE3068">
        <w:rPr>
          <w:rFonts w:ascii="Arial" w:hAnsi="Arial" w:cs="Arial"/>
          <w:sz w:val="24"/>
          <w:szCs w:val="24"/>
        </w:rPr>
        <w:t>.</w:t>
      </w:r>
    </w:p>
    <w:tbl>
      <w:tblPr>
        <w:tblStyle w:val="TableGrid"/>
        <w:tblW w:w="9140" w:type="dxa"/>
        <w:tblLook w:val="04A0" w:firstRow="1" w:lastRow="0" w:firstColumn="1" w:lastColumn="0" w:noHBand="0" w:noVBand="1"/>
      </w:tblPr>
      <w:tblGrid>
        <w:gridCol w:w="3351"/>
        <w:gridCol w:w="1219"/>
        <w:gridCol w:w="3344"/>
        <w:gridCol w:w="1226"/>
      </w:tblGrid>
      <w:tr w:rsidR="00EA0E42" w:rsidRPr="006A3B8D" w14:paraId="764BE6BA" w14:textId="77777777" w:rsidTr="006A3B8D">
        <w:trPr>
          <w:trHeight w:val="505"/>
        </w:trPr>
        <w:tc>
          <w:tcPr>
            <w:tcW w:w="4570" w:type="dxa"/>
            <w:gridSpan w:val="2"/>
            <w:tcBorders>
              <w:top w:val="single" w:sz="8" w:space="0" w:color="auto"/>
              <w:left w:val="nil"/>
              <w:bottom w:val="single" w:sz="8" w:space="0" w:color="auto"/>
            </w:tcBorders>
          </w:tcPr>
          <w:p w14:paraId="60C197F7" w14:textId="129A6B34" w:rsidR="00EA0E42" w:rsidRPr="006A3B8D" w:rsidRDefault="00EA0E42" w:rsidP="006A3B8D">
            <w:pPr>
              <w:spacing w:line="480" w:lineRule="auto"/>
              <w:jc w:val="center"/>
              <w:rPr>
                <w:rFonts w:ascii="Arial" w:hAnsi="Arial" w:cs="Arial"/>
                <w:b/>
                <w:bCs/>
                <w:sz w:val="20"/>
                <w:szCs w:val="20"/>
              </w:rPr>
            </w:pPr>
            <w:r w:rsidRPr="006A3B8D">
              <w:rPr>
                <w:rFonts w:ascii="Arial" w:hAnsi="Arial" w:cs="Arial"/>
                <w:b/>
                <w:bCs/>
                <w:sz w:val="20"/>
                <w:szCs w:val="20"/>
              </w:rPr>
              <w:t>Highest OOP medication based on cost/</w:t>
            </w:r>
            <w:proofErr w:type="spellStart"/>
            <w:r w:rsidRPr="006A3B8D">
              <w:rPr>
                <w:rFonts w:ascii="Arial" w:hAnsi="Arial" w:cs="Arial"/>
                <w:b/>
                <w:bCs/>
                <w:sz w:val="20"/>
                <w:szCs w:val="20"/>
              </w:rPr>
              <w:t>days</w:t>
            </w:r>
            <w:proofErr w:type="spellEnd"/>
            <w:r w:rsidRPr="006A3B8D">
              <w:rPr>
                <w:rFonts w:ascii="Arial" w:hAnsi="Arial" w:cs="Arial"/>
                <w:b/>
                <w:bCs/>
                <w:sz w:val="20"/>
                <w:szCs w:val="20"/>
              </w:rPr>
              <w:t xml:space="preserve"> supply</w:t>
            </w:r>
          </w:p>
        </w:tc>
        <w:tc>
          <w:tcPr>
            <w:tcW w:w="4570" w:type="dxa"/>
            <w:gridSpan w:val="2"/>
            <w:tcBorders>
              <w:top w:val="single" w:sz="8" w:space="0" w:color="auto"/>
              <w:bottom w:val="single" w:sz="8" w:space="0" w:color="auto"/>
              <w:right w:val="nil"/>
            </w:tcBorders>
          </w:tcPr>
          <w:p w14:paraId="713AC2B1" w14:textId="43FC5086" w:rsidR="00EA0E42" w:rsidRPr="006A3B8D" w:rsidRDefault="00EA0E42" w:rsidP="006A3B8D">
            <w:pPr>
              <w:spacing w:line="480" w:lineRule="auto"/>
              <w:jc w:val="center"/>
              <w:rPr>
                <w:rFonts w:ascii="Arial" w:hAnsi="Arial" w:cs="Arial"/>
                <w:b/>
                <w:bCs/>
                <w:sz w:val="20"/>
                <w:szCs w:val="20"/>
              </w:rPr>
            </w:pPr>
            <w:r w:rsidRPr="006A3B8D">
              <w:rPr>
                <w:rFonts w:ascii="Arial" w:hAnsi="Arial" w:cs="Arial"/>
                <w:b/>
                <w:bCs/>
                <w:sz w:val="20"/>
                <w:szCs w:val="20"/>
              </w:rPr>
              <w:t>Lowest OOP medication based on cost/</w:t>
            </w:r>
            <w:proofErr w:type="spellStart"/>
            <w:r w:rsidRPr="006A3B8D">
              <w:rPr>
                <w:rFonts w:ascii="Arial" w:hAnsi="Arial" w:cs="Arial"/>
                <w:b/>
                <w:bCs/>
                <w:sz w:val="20"/>
                <w:szCs w:val="20"/>
              </w:rPr>
              <w:t>days</w:t>
            </w:r>
            <w:proofErr w:type="spellEnd"/>
            <w:r w:rsidRPr="006A3B8D">
              <w:rPr>
                <w:rFonts w:ascii="Arial" w:hAnsi="Arial" w:cs="Arial"/>
                <w:b/>
                <w:bCs/>
                <w:sz w:val="20"/>
                <w:szCs w:val="20"/>
              </w:rPr>
              <w:t xml:space="preserve"> supply</w:t>
            </w:r>
          </w:p>
        </w:tc>
      </w:tr>
      <w:tr w:rsidR="004434A1" w:rsidRPr="006A3B8D" w14:paraId="28D6C795" w14:textId="77777777" w:rsidTr="006A3B8D">
        <w:trPr>
          <w:trHeight w:val="262"/>
        </w:trPr>
        <w:tc>
          <w:tcPr>
            <w:tcW w:w="3351" w:type="dxa"/>
            <w:tcBorders>
              <w:top w:val="single" w:sz="8" w:space="0" w:color="auto"/>
              <w:left w:val="nil"/>
              <w:bottom w:val="single" w:sz="4" w:space="0" w:color="auto"/>
              <w:right w:val="nil"/>
            </w:tcBorders>
          </w:tcPr>
          <w:p w14:paraId="1132B895" w14:textId="3EAAF008" w:rsidR="004434A1" w:rsidRPr="006A3B8D" w:rsidRDefault="004434A1" w:rsidP="006A3B8D">
            <w:pPr>
              <w:spacing w:line="480" w:lineRule="auto"/>
              <w:jc w:val="center"/>
              <w:rPr>
                <w:rFonts w:ascii="Arial" w:hAnsi="Arial" w:cs="Arial"/>
                <w:b/>
                <w:bCs/>
                <w:sz w:val="20"/>
                <w:szCs w:val="20"/>
              </w:rPr>
            </w:pPr>
            <w:r w:rsidRPr="006A3B8D">
              <w:rPr>
                <w:rFonts w:ascii="Arial" w:hAnsi="Arial" w:cs="Arial"/>
                <w:b/>
                <w:bCs/>
                <w:sz w:val="20"/>
                <w:szCs w:val="20"/>
              </w:rPr>
              <w:t>Medication</w:t>
            </w:r>
          </w:p>
        </w:tc>
        <w:tc>
          <w:tcPr>
            <w:tcW w:w="1219" w:type="dxa"/>
            <w:tcBorders>
              <w:top w:val="single" w:sz="8" w:space="0" w:color="auto"/>
              <w:left w:val="nil"/>
              <w:bottom w:val="single" w:sz="4" w:space="0" w:color="auto"/>
            </w:tcBorders>
          </w:tcPr>
          <w:p w14:paraId="61DFF974" w14:textId="3EC7454A" w:rsidR="004434A1" w:rsidRPr="006A3B8D" w:rsidRDefault="004434A1" w:rsidP="006A3B8D">
            <w:pPr>
              <w:spacing w:line="480" w:lineRule="auto"/>
              <w:jc w:val="center"/>
              <w:rPr>
                <w:rFonts w:ascii="Arial" w:hAnsi="Arial" w:cs="Arial"/>
                <w:b/>
                <w:bCs/>
                <w:sz w:val="20"/>
                <w:szCs w:val="20"/>
              </w:rPr>
            </w:pPr>
            <w:r w:rsidRPr="006A3B8D">
              <w:rPr>
                <w:rFonts w:ascii="Arial" w:hAnsi="Arial" w:cs="Arial"/>
                <w:b/>
                <w:bCs/>
                <w:sz w:val="20"/>
                <w:szCs w:val="20"/>
              </w:rPr>
              <w:t>Percent</w:t>
            </w:r>
          </w:p>
        </w:tc>
        <w:tc>
          <w:tcPr>
            <w:tcW w:w="3344" w:type="dxa"/>
            <w:tcBorders>
              <w:top w:val="single" w:sz="8" w:space="0" w:color="auto"/>
              <w:bottom w:val="single" w:sz="4" w:space="0" w:color="auto"/>
              <w:right w:val="nil"/>
            </w:tcBorders>
          </w:tcPr>
          <w:p w14:paraId="6871C25C" w14:textId="17D1B16B" w:rsidR="004434A1" w:rsidRPr="006A3B8D" w:rsidRDefault="004434A1" w:rsidP="006A3B8D">
            <w:pPr>
              <w:spacing w:line="480" w:lineRule="auto"/>
              <w:jc w:val="center"/>
              <w:rPr>
                <w:rFonts w:ascii="Arial" w:hAnsi="Arial" w:cs="Arial"/>
                <w:b/>
                <w:bCs/>
                <w:sz w:val="20"/>
                <w:szCs w:val="20"/>
              </w:rPr>
            </w:pPr>
            <w:r w:rsidRPr="006A3B8D">
              <w:rPr>
                <w:rFonts w:ascii="Arial" w:hAnsi="Arial" w:cs="Arial"/>
                <w:b/>
                <w:bCs/>
                <w:sz w:val="20"/>
                <w:szCs w:val="20"/>
              </w:rPr>
              <w:t>Medication</w:t>
            </w:r>
          </w:p>
        </w:tc>
        <w:tc>
          <w:tcPr>
            <w:tcW w:w="1226" w:type="dxa"/>
            <w:tcBorders>
              <w:top w:val="single" w:sz="8" w:space="0" w:color="auto"/>
              <w:left w:val="nil"/>
              <w:bottom w:val="single" w:sz="4" w:space="0" w:color="auto"/>
              <w:right w:val="nil"/>
            </w:tcBorders>
          </w:tcPr>
          <w:p w14:paraId="6F3A40D9" w14:textId="629008E5" w:rsidR="004434A1" w:rsidRPr="006A3B8D" w:rsidRDefault="004434A1" w:rsidP="006A3B8D">
            <w:pPr>
              <w:spacing w:line="480" w:lineRule="auto"/>
              <w:jc w:val="center"/>
              <w:rPr>
                <w:rFonts w:ascii="Arial" w:hAnsi="Arial" w:cs="Arial"/>
                <w:b/>
                <w:bCs/>
                <w:sz w:val="20"/>
                <w:szCs w:val="20"/>
              </w:rPr>
            </w:pPr>
            <w:r w:rsidRPr="006A3B8D">
              <w:rPr>
                <w:rFonts w:ascii="Arial" w:hAnsi="Arial" w:cs="Arial"/>
                <w:b/>
                <w:bCs/>
                <w:sz w:val="20"/>
                <w:szCs w:val="20"/>
              </w:rPr>
              <w:t>Percent</w:t>
            </w:r>
          </w:p>
        </w:tc>
      </w:tr>
      <w:tr w:rsidR="004434A1" w:rsidRPr="006A3B8D" w14:paraId="0B486844" w14:textId="77777777" w:rsidTr="006A3B8D">
        <w:trPr>
          <w:trHeight w:val="251"/>
        </w:trPr>
        <w:tc>
          <w:tcPr>
            <w:tcW w:w="3351" w:type="dxa"/>
            <w:tcBorders>
              <w:left w:val="nil"/>
              <w:bottom w:val="nil"/>
              <w:right w:val="nil"/>
            </w:tcBorders>
          </w:tcPr>
          <w:p w14:paraId="58DF5319" w14:textId="665A8FEF"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Insulin glargine</w:t>
            </w:r>
          </w:p>
        </w:tc>
        <w:tc>
          <w:tcPr>
            <w:tcW w:w="1219" w:type="dxa"/>
            <w:tcBorders>
              <w:left w:val="nil"/>
              <w:bottom w:val="nil"/>
            </w:tcBorders>
          </w:tcPr>
          <w:p w14:paraId="0A83C4B8" w14:textId="52DB6344"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18.6</w:t>
            </w:r>
          </w:p>
        </w:tc>
        <w:tc>
          <w:tcPr>
            <w:tcW w:w="3344" w:type="dxa"/>
            <w:tcBorders>
              <w:bottom w:val="nil"/>
              <w:right w:val="nil"/>
            </w:tcBorders>
          </w:tcPr>
          <w:p w14:paraId="7C1E8A20" w14:textId="1FD697B5" w:rsidR="004434A1" w:rsidRPr="006A3B8D" w:rsidRDefault="003B12DE" w:rsidP="006A3B8D">
            <w:pPr>
              <w:spacing w:line="480" w:lineRule="auto"/>
              <w:jc w:val="center"/>
              <w:rPr>
                <w:rFonts w:ascii="Arial" w:hAnsi="Arial" w:cs="Arial"/>
                <w:sz w:val="20"/>
                <w:szCs w:val="20"/>
              </w:rPr>
            </w:pPr>
            <w:r w:rsidRPr="006A3B8D">
              <w:rPr>
                <w:rFonts w:ascii="Arial" w:hAnsi="Arial" w:cs="Arial"/>
                <w:sz w:val="20"/>
                <w:szCs w:val="20"/>
              </w:rPr>
              <w:t>Metformin</w:t>
            </w:r>
          </w:p>
        </w:tc>
        <w:tc>
          <w:tcPr>
            <w:tcW w:w="1226" w:type="dxa"/>
            <w:tcBorders>
              <w:left w:val="nil"/>
              <w:bottom w:val="nil"/>
              <w:right w:val="nil"/>
            </w:tcBorders>
          </w:tcPr>
          <w:p w14:paraId="3AA5F22C" w14:textId="6A64FDE5" w:rsidR="004434A1" w:rsidRPr="006A3B8D" w:rsidRDefault="007C2E27" w:rsidP="006A3B8D">
            <w:pPr>
              <w:spacing w:line="480" w:lineRule="auto"/>
              <w:jc w:val="center"/>
              <w:rPr>
                <w:rFonts w:ascii="Arial" w:hAnsi="Arial" w:cs="Arial"/>
                <w:sz w:val="20"/>
                <w:szCs w:val="20"/>
              </w:rPr>
            </w:pPr>
            <w:r w:rsidRPr="006A3B8D">
              <w:rPr>
                <w:rFonts w:ascii="Arial" w:hAnsi="Arial" w:cs="Arial"/>
                <w:sz w:val="20"/>
                <w:szCs w:val="20"/>
              </w:rPr>
              <w:t>49.6</w:t>
            </w:r>
          </w:p>
        </w:tc>
      </w:tr>
      <w:tr w:rsidR="004434A1" w:rsidRPr="006A3B8D" w14:paraId="4FC7B7B4" w14:textId="77777777" w:rsidTr="006A3B8D">
        <w:trPr>
          <w:trHeight w:val="251"/>
        </w:trPr>
        <w:tc>
          <w:tcPr>
            <w:tcW w:w="3351" w:type="dxa"/>
            <w:tcBorders>
              <w:top w:val="nil"/>
              <w:left w:val="nil"/>
              <w:bottom w:val="nil"/>
              <w:right w:val="nil"/>
            </w:tcBorders>
          </w:tcPr>
          <w:p w14:paraId="73D4A9DA" w14:textId="708F4C9F"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Sitagliptin</w:t>
            </w:r>
          </w:p>
        </w:tc>
        <w:tc>
          <w:tcPr>
            <w:tcW w:w="1219" w:type="dxa"/>
            <w:tcBorders>
              <w:top w:val="nil"/>
              <w:left w:val="nil"/>
              <w:bottom w:val="nil"/>
            </w:tcBorders>
          </w:tcPr>
          <w:p w14:paraId="40851664" w14:textId="35396C2F"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17.6</w:t>
            </w:r>
          </w:p>
        </w:tc>
        <w:tc>
          <w:tcPr>
            <w:tcW w:w="3344" w:type="dxa"/>
            <w:tcBorders>
              <w:top w:val="nil"/>
              <w:bottom w:val="nil"/>
              <w:right w:val="nil"/>
            </w:tcBorders>
          </w:tcPr>
          <w:p w14:paraId="4CB8E074" w14:textId="51B88681" w:rsidR="004434A1" w:rsidRPr="006A3B8D" w:rsidRDefault="003B12DE" w:rsidP="006A3B8D">
            <w:pPr>
              <w:spacing w:line="480" w:lineRule="auto"/>
              <w:jc w:val="center"/>
              <w:rPr>
                <w:rFonts w:ascii="Arial" w:hAnsi="Arial" w:cs="Arial"/>
                <w:sz w:val="20"/>
                <w:szCs w:val="20"/>
              </w:rPr>
            </w:pPr>
            <w:r w:rsidRPr="006A3B8D">
              <w:rPr>
                <w:rFonts w:ascii="Arial" w:hAnsi="Arial" w:cs="Arial"/>
                <w:sz w:val="20"/>
                <w:szCs w:val="20"/>
              </w:rPr>
              <w:t>Glipizide</w:t>
            </w:r>
          </w:p>
        </w:tc>
        <w:tc>
          <w:tcPr>
            <w:tcW w:w="1226" w:type="dxa"/>
            <w:tcBorders>
              <w:top w:val="nil"/>
              <w:left w:val="nil"/>
              <w:bottom w:val="nil"/>
              <w:right w:val="nil"/>
            </w:tcBorders>
          </w:tcPr>
          <w:p w14:paraId="6B87B215" w14:textId="2FB74E10" w:rsidR="004434A1" w:rsidRPr="006A3B8D" w:rsidRDefault="007C2E27" w:rsidP="006A3B8D">
            <w:pPr>
              <w:spacing w:line="480" w:lineRule="auto"/>
              <w:jc w:val="center"/>
              <w:rPr>
                <w:rFonts w:ascii="Arial" w:hAnsi="Arial" w:cs="Arial"/>
                <w:sz w:val="20"/>
                <w:szCs w:val="20"/>
              </w:rPr>
            </w:pPr>
            <w:r w:rsidRPr="006A3B8D">
              <w:rPr>
                <w:rFonts w:ascii="Arial" w:hAnsi="Arial" w:cs="Arial"/>
                <w:sz w:val="20"/>
                <w:szCs w:val="20"/>
              </w:rPr>
              <w:t>15.1</w:t>
            </w:r>
          </w:p>
        </w:tc>
      </w:tr>
      <w:tr w:rsidR="004434A1" w:rsidRPr="006A3B8D" w14:paraId="43BE8FB2" w14:textId="77777777" w:rsidTr="006A3B8D">
        <w:trPr>
          <w:trHeight w:val="251"/>
        </w:trPr>
        <w:tc>
          <w:tcPr>
            <w:tcW w:w="3351" w:type="dxa"/>
            <w:tcBorders>
              <w:top w:val="nil"/>
              <w:left w:val="nil"/>
              <w:bottom w:val="nil"/>
              <w:right w:val="nil"/>
            </w:tcBorders>
          </w:tcPr>
          <w:p w14:paraId="3BDF59C5" w14:textId="400E44D8"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Pioglitazone</w:t>
            </w:r>
          </w:p>
        </w:tc>
        <w:tc>
          <w:tcPr>
            <w:tcW w:w="1219" w:type="dxa"/>
            <w:tcBorders>
              <w:top w:val="nil"/>
              <w:left w:val="nil"/>
              <w:bottom w:val="nil"/>
            </w:tcBorders>
          </w:tcPr>
          <w:p w14:paraId="0283AB31" w14:textId="75475D8D"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15.0</w:t>
            </w:r>
          </w:p>
        </w:tc>
        <w:tc>
          <w:tcPr>
            <w:tcW w:w="3344" w:type="dxa"/>
            <w:tcBorders>
              <w:top w:val="nil"/>
              <w:bottom w:val="nil"/>
              <w:right w:val="nil"/>
            </w:tcBorders>
          </w:tcPr>
          <w:p w14:paraId="104B3B5D" w14:textId="323ADB0B" w:rsidR="004434A1" w:rsidRPr="006A3B8D" w:rsidRDefault="003B12DE" w:rsidP="006A3B8D">
            <w:pPr>
              <w:spacing w:line="480" w:lineRule="auto"/>
              <w:jc w:val="center"/>
              <w:rPr>
                <w:rFonts w:ascii="Arial" w:hAnsi="Arial" w:cs="Arial"/>
                <w:sz w:val="20"/>
                <w:szCs w:val="20"/>
              </w:rPr>
            </w:pPr>
            <w:r w:rsidRPr="006A3B8D">
              <w:rPr>
                <w:rFonts w:ascii="Arial" w:hAnsi="Arial" w:cs="Arial"/>
                <w:sz w:val="20"/>
                <w:szCs w:val="20"/>
              </w:rPr>
              <w:t>Glimepiride</w:t>
            </w:r>
          </w:p>
        </w:tc>
        <w:tc>
          <w:tcPr>
            <w:tcW w:w="1226" w:type="dxa"/>
            <w:tcBorders>
              <w:top w:val="nil"/>
              <w:left w:val="nil"/>
              <w:bottom w:val="nil"/>
              <w:right w:val="nil"/>
            </w:tcBorders>
          </w:tcPr>
          <w:p w14:paraId="313119FB" w14:textId="0460C03C" w:rsidR="004434A1" w:rsidRPr="006A3B8D" w:rsidRDefault="007C2E27" w:rsidP="006A3B8D">
            <w:pPr>
              <w:spacing w:line="480" w:lineRule="auto"/>
              <w:jc w:val="center"/>
              <w:rPr>
                <w:rFonts w:ascii="Arial" w:hAnsi="Arial" w:cs="Arial"/>
                <w:sz w:val="20"/>
                <w:szCs w:val="20"/>
              </w:rPr>
            </w:pPr>
            <w:r w:rsidRPr="006A3B8D">
              <w:rPr>
                <w:rFonts w:ascii="Arial" w:hAnsi="Arial" w:cs="Arial"/>
                <w:sz w:val="20"/>
                <w:szCs w:val="20"/>
              </w:rPr>
              <w:t>13.8</w:t>
            </w:r>
          </w:p>
        </w:tc>
      </w:tr>
      <w:tr w:rsidR="003853B3" w:rsidRPr="006A3B8D" w14:paraId="12F69931" w14:textId="77777777" w:rsidTr="006A3B8D">
        <w:trPr>
          <w:trHeight w:val="82"/>
        </w:trPr>
        <w:tc>
          <w:tcPr>
            <w:tcW w:w="3351" w:type="dxa"/>
            <w:tcBorders>
              <w:top w:val="nil"/>
              <w:left w:val="nil"/>
              <w:bottom w:val="nil"/>
              <w:right w:val="nil"/>
            </w:tcBorders>
          </w:tcPr>
          <w:p w14:paraId="009B6D85" w14:textId="6C32B260"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Insulin human isophane (NPH)</w:t>
            </w:r>
          </w:p>
        </w:tc>
        <w:tc>
          <w:tcPr>
            <w:tcW w:w="1219" w:type="dxa"/>
            <w:tcBorders>
              <w:top w:val="nil"/>
              <w:left w:val="nil"/>
              <w:bottom w:val="nil"/>
            </w:tcBorders>
          </w:tcPr>
          <w:p w14:paraId="65C5303A" w14:textId="6C5CB5D2"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12.6</w:t>
            </w:r>
          </w:p>
        </w:tc>
        <w:tc>
          <w:tcPr>
            <w:tcW w:w="3344" w:type="dxa"/>
            <w:tcBorders>
              <w:top w:val="nil"/>
              <w:bottom w:val="nil"/>
              <w:right w:val="nil"/>
            </w:tcBorders>
          </w:tcPr>
          <w:p w14:paraId="58D801A7" w14:textId="1B1DE42B" w:rsidR="004434A1" w:rsidRPr="006A3B8D" w:rsidRDefault="003B12DE" w:rsidP="006A3B8D">
            <w:pPr>
              <w:spacing w:line="480" w:lineRule="auto"/>
              <w:jc w:val="center"/>
              <w:rPr>
                <w:rFonts w:ascii="Arial" w:hAnsi="Arial" w:cs="Arial"/>
                <w:sz w:val="20"/>
                <w:szCs w:val="20"/>
              </w:rPr>
            </w:pPr>
            <w:r w:rsidRPr="006A3B8D">
              <w:rPr>
                <w:rFonts w:ascii="Arial" w:hAnsi="Arial" w:cs="Arial"/>
                <w:sz w:val="20"/>
                <w:szCs w:val="20"/>
              </w:rPr>
              <w:t>Glyburide</w:t>
            </w:r>
          </w:p>
        </w:tc>
        <w:tc>
          <w:tcPr>
            <w:tcW w:w="1226" w:type="dxa"/>
            <w:tcBorders>
              <w:top w:val="nil"/>
              <w:left w:val="nil"/>
              <w:bottom w:val="nil"/>
              <w:right w:val="nil"/>
            </w:tcBorders>
          </w:tcPr>
          <w:p w14:paraId="71C44E23" w14:textId="54413D75" w:rsidR="004434A1" w:rsidRPr="006A3B8D" w:rsidRDefault="007C2E27" w:rsidP="006A3B8D">
            <w:pPr>
              <w:spacing w:line="480" w:lineRule="auto"/>
              <w:jc w:val="center"/>
              <w:rPr>
                <w:rFonts w:ascii="Arial" w:hAnsi="Arial" w:cs="Arial"/>
                <w:sz w:val="20"/>
                <w:szCs w:val="20"/>
              </w:rPr>
            </w:pPr>
            <w:r w:rsidRPr="006A3B8D">
              <w:rPr>
                <w:rFonts w:ascii="Arial" w:hAnsi="Arial" w:cs="Arial"/>
                <w:sz w:val="20"/>
                <w:szCs w:val="20"/>
              </w:rPr>
              <w:t>9.6</w:t>
            </w:r>
          </w:p>
        </w:tc>
      </w:tr>
      <w:tr w:rsidR="004434A1" w:rsidRPr="006A3B8D" w14:paraId="027F4C3C" w14:textId="77777777" w:rsidTr="006A3B8D">
        <w:trPr>
          <w:trHeight w:val="72"/>
        </w:trPr>
        <w:tc>
          <w:tcPr>
            <w:tcW w:w="3351" w:type="dxa"/>
            <w:tcBorders>
              <w:top w:val="nil"/>
              <w:left w:val="nil"/>
              <w:bottom w:val="single" w:sz="8" w:space="0" w:color="auto"/>
              <w:right w:val="nil"/>
            </w:tcBorders>
          </w:tcPr>
          <w:p w14:paraId="195FA5AD" w14:textId="6BAE709D"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Liraglutide</w:t>
            </w:r>
          </w:p>
        </w:tc>
        <w:tc>
          <w:tcPr>
            <w:tcW w:w="1219" w:type="dxa"/>
            <w:tcBorders>
              <w:top w:val="nil"/>
              <w:left w:val="nil"/>
              <w:bottom w:val="single" w:sz="8" w:space="0" w:color="auto"/>
            </w:tcBorders>
          </w:tcPr>
          <w:p w14:paraId="05638C28" w14:textId="5A639E6F" w:rsidR="004434A1" w:rsidRPr="006A3B8D" w:rsidRDefault="004434A1" w:rsidP="006A3B8D">
            <w:pPr>
              <w:spacing w:line="480" w:lineRule="auto"/>
              <w:jc w:val="center"/>
              <w:rPr>
                <w:rFonts w:ascii="Arial" w:hAnsi="Arial" w:cs="Arial"/>
                <w:sz w:val="20"/>
                <w:szCs w:val="20"/>
              </w:rPr>
            </w:pPr>
            <w:r w:rsidRPr="006A3B8D">
              <w:rPr>
                <w:rFonts w:ascii="Arial" w:hAnsi="Arial" w:cs="Arial"/>
                <w:sz w:val="20"/>
                <w:szCs w:val="20"/>
              </w:rPr>
              <w:t>6.6</w:t>
            </w:r>
          </w:p>
        </w:tc>
        <w:tc>
          <w:tcPr>
            <w:tcW w:w="3344" w:type="dxa"/>
            <w:tcBorders>
              <w:top w:val="nil"/>
              <w:bottom w:val="single" w:sz="8" w:space="0" w:color="auto"/>
              <w:right w:val="nil"/>
            </w:tcBorders>
          </w:tcPr>
          <w:p w14:paraId="570497BF" w14:textId="40024AE4" w:rsidR="004434A1" w:rsidRPr="006A3B8D" w:rsidRDefault="00100712" w:rsidP="006A3B8D">
            <w:pPr>
              <w:spacing w:line="480" w:lineRule="auto"/>
              <w:jc w:val="center"/>
              <w:rPr>
                <w:rFonts w:ascii="Arial" w:hAnsi="Arial" w:cs="Arial"/>
                <w:sz w:val="20"/>
                <w:szCs w:val="20"/>
              </w:rPr>
            </w:pPr>
            <w:r w:rsidRPr="006A3B8D">
              <w:rPr>
                <w:rFonts w:ascii="Arial" w:hAnsi="Arial" w:cs="Arial"/>
                <w:sz w:val="20"/>
                <w:szCs w:val="20"/>
              </w:rPr>
              <w:t>Insulin human isophane (NPH)</w:t>
            </w:r>
          </w:p>
        </w:tc>
        <w:tc>
          <w:tcPr>
            <w:tcW w:w="1226" w:type="dxa"/>
            <w:tcBorders>
              <w:top w:val="nil"/>
              <w:left w:val="nil"/>
              <w:bottom w:val="single" w:sz="8" w:space="0" w:color="auto"/>
              <w:right w:val="nil"/>
            </w:tcBorders>
          </w:tcPr>
          <w:p w14:paraId="663E6396" w14:textId="2210F50F" w:rsidR="004434A1" w:rsidRPr="006A3B8D" w:rsidRDefault="007C2E27" w:rsidP="006A3B8D">
            <w:pPr>
              <w:spacing w:line="480" w:lineRule="auto"/>
              <w:jc w:val="center"/>
              <w:rPr>
                <w:rFonts w:ascii="Arial" w:hAnsi="Arial" w:cs="Arial"/>
                <w:sz w:val="20"/>
                <w:szCs w:val="20"/>
              </w:rPr>
            </w:pPr>
            <w:r w:rsidRPr="006A3B8D">
              <w:rPr>
                <w:rFonts w:ascii="Arial" w:hAnsi="Arial" w:cs="Arial"/>
                <w:sz w:val="20"/>
                <w:szCs w:val="20"/>
              </w:rPr>
              <w:t>3.1</w:t>
            </w:r>
          </w:p>
        </w:tc>
      </w:tr>
    </w:tbl>
    <w:p w14:paraId="2C51D7F5" w14:textId="0C4EC31E" w:rsidR="00F9292E" w:rsidRPr="00F9292E" w:rsidRDefault="00F9292E" w:rsidP="006A3B8D">
      <w:pPr>
        <w:spacing w:line="480" w:lineRule="auto"/>
        <w:rPr>
          <w:rFonts w:ascii="Arial" w:hAnsi="Arial" w:cs="Arial"/>
          <w:sz w:val="24"/>
          <w:szCs w:val="24"/>
        </w:rPr>
      </w:pPr>
      <w:r w:rsidRPr="00F9292E">
        <w:rPr>
          <w:rFonts w:ascii="Arial" w:hAnsi="Arial" w:cs="Arial"/>
          <w:sz w:val="24"/>
          <w:szCs w:val="24"/>
        </w:rPr>
        <w:t xml:space="preserve">Abbreviation: </w:t>
      </w:r>
      <w:r w:rsidR="00F71411">
        <w:rPr>
          <w:rFonts w:ascii="Arial" w:hAnsi="Arial" w:cs="Arial"/>
          <w:sz w:val="24"/>
          <w:szCs w:val="24"/>
        </w:rPr>
        <w:t xml:space="preserve">MEPS = </w:t>
      </w:r>
      <w:r w:rsidR="00E85EAB">
        <w:rPr>
          <w:rFonts w:ascii="Arial" w:hAnsi="Arial" w:cs="Arial"/>
          <w:sz w:val="24"/>
          <w:szCs w:val="24"/>
        </w:rPr>
        <w:t>Medical Expenditure Panel Survey</w:t>
      </w:r>
      <w:r w:rsidR="00F71411">
        <w:rPr>
          <w:rFonts w:ascii="Arial" w:hAnsi="Arial" w:cs="Arial"/>
          <w:sz w:val="24"/>
          <w:szCs w:val="24"/>
        </w:rPr>
        <w:t xml:space="preserve">; </w:t>
      </w:r>
      <w:r w:rsidRPr="00F9292E">
        <w:rPr>
          <w:rFonts w:ascii="Arial" w:hAnsi="Arial" w:cs="Arial"/>
          <w:sz w:val="24"/>
          <w:szCs w:val="24"/>
        </w:rPr>
        <w:t>OOP = out-of-pocket.</w:t>
      </w:r>
    </w:p>
    <w:p w14:paraId="16B570DF" w14:textId="31170566" w:rsidR="00F75817" w:rsidRDefault="00F75817" w:rsidP="00DB7329">
      <w:pPr>
        <w:spacing w:line="480" w:lineRule="auto"/>
        <w:rPr>
          <w:rFonts w:ascii="Arial" w:hAnsi="Arial" w:cs="Arial"/>
          <w:b/>
          <w:bCs/>
          <w:sz w:val="24"/>
          <w:szCs w:val="24"/>
        </w:rPr>
        <w:sectPr w:rsidR="00F75817">
          <w:pgSz w:w="11906" w:h="16838"/>
          <w:pgMar w:top="1440" w:right="1440" w:bottom="1440" w:left="1440" w:header="708" w:footer="708" w:gutter="0"/>
          <w:cols w:space="708"/>
          <w:docGrid w:linePitch="360"/>
        </w:sectPr>
      </w:pPr>
    </w:p>
    <w:p w14:paraId="47092BE0" w14:textId="463FD1DE" w:rsidR="00DB7329" w:rsidRPr="006E5403" w:rsidRDefault="00DB7329" w:rsidP="00DB7329">
      <w:pPr>
        <w:spacing w:line="480" w:lineRule="auto"/>
        <w:rPr>
          <w:rFonts w:ascii="Arial" w:hAnsi="Arial" w:cs="Arial"/>
          <w:sz w:val="24"/>
          <w:szCs w:val="24"/>
        </w:rPr>
      </w:pPr>
      <w:r w:rsidRPr="006E5403">
        <w:rPr>
          <w:rFonts w:ascii="Arial" w:hAnsi="Arial" w:cs="Arial"/>
          <w:b/>
          <w:bCs/>
          <w:sz w:val="24"/>
          <w:szCs w:val="24"/>
        </w:rPr>
        <w:lastRenderedPageBreak/>
        <w:t>Figure S1:</w:t>
      </w:r>
      <w:r w:rsidRPr="006E5403">
        <w:rPr>
          <w:rFonts w:ascii="Arial" w:hAnsi="Arial" w:cs="Arial"/>
          <w:sz w:val="24"/>
          <w:szCs w:val="24"/>
        </w:rPr>
        <w:t xml:space="preserve"> Classification tree with dependent variable of adherence status to the most </w:t>
      </w:r>
      <w:r w:rsidR="003A2953">
        <w:rPr>
          <w:rFonts w:ascii="Arial" w:hAnsi="Arial" w:cs="Arial"/>
          <w:sz w:val="24"/>
          <w:szCs w:val="24"/>
        </w:rPr>
        <w:t>costly</w:t>
      </w:r>
      <w:r w:rsidRPr="006E5403">
        <w:rPr>
          <w:rFonts w:ascii="Arial" w:hAnsi="Arial" w:cs="Arial"/>
          <w:sz w:val="24"/>
          <w:szCs w:val="24"/>
        </w:rPr>
        <w:t xml:space="preserve"> and least </w:t>
      </w:r>
      <w:r w:rsidR="003A2953">
        <w:rPr>
          <w:rFonts w:ascii="Arial" w:hAnsi="Arial" w:cs="Arial"/>
          <w:sz w:val="24"/>
          <w:szCs w:val="24"/>
        </w:rPr>
        <w:t>costly</w:t>
      </w:r>
      <w:r w:rsidRPr="006E5403">
        <w:rPr>
          <w:rFonts w:ascii="Arial" w:hAnsi="Arial" w:cs="Arial"/>
          <w:sz w:val="24"/>
          <w:szCs w:val="24"/>
        </w:rPr>
        <w:t xml:space="preserve"> medication.</w:t>
      </w:r>
    </w:p>
    <w:p w14:paraId="7F94A856" w14:textId="605DAB6E" w:rsidR="00DB7329" w:rsidRDefault="00831D41" w:rsidP="00F57160">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AB0D04" wp14:editId="00BB1FFC">
            <wp:extent cx="6018710" cy="3060700"/>
            <wp:effectExtent l="0" t="0" r="1270" b="6350"/>
            <wp:docPr id="3"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alenda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20957" cy="3061843"/>
                    </a:xfrm>
                    <a:prstGeom prst="rect">
                      <a:avLst/>
                    </a:prstGeom>
                  </pic:spPr>
                </pic:pic>
              </a:graphicData>
            </a:graphic>
          </wp:inline>
        </w:drawing>
      </w:r>
    </w:p>
    <w:p w14:paraId="04868C2E" w14:textId="053C2E56" w:rsidR="009D76CD" w:rsidRPr="009D76CD" w:rsidRDefault="009D76CD" w:rsidP="00F57160">
      <w:pPr>
        <w:spacing w:line="480" w:lineRule="auto"/>
        <w:jc w:val="both"/>
        <w:rPr>
          <w:rFonts w:ascii="Arial" w:hAnsi="Arial" w:cs="Arial"/>
          <w:sz w:val="24"/>
          <w:szCs w:val="24"/>
        </w:rPr>
      </w:pPr>
      <w:r w:rsidRPr="009D76CD">
        <w:rPr>
          <w:rFonts w:ascii="Arial" w:hAnsi="Arial" w:cs="Arial"/>
          <w:sz w:val="24"/>
          <w:szCs w:val="24"/>
        </w:rPr>
        <w:t>Abbreviations: FDC = fixed dose combination</w:t>
      </w:r>
      <w:r w:rsidR="006F5087">
        <w:rPr>
          <w:rFonts w:ascii="Arial" w:hAnsi="Arial" w:cs="Arial"/>
          <w:sz w:val="24"/>
          <w:szCs w:val="24"/>
        </w:rPr>
        <w:t xml:space="preserve">; </w:t>
      </w:r>
      <w:r w:rsidR="00D6182E" w:rsidRPr="00D6182E">
        <w:rPr>
          <w:rFonts w:ascii="Arial" w:hAnsi="Arial" w:cs="Arial"/>
          <w:sz w:val="24"/>
          <w:szCs w:val="24"/>
        </w:rPr>
        <w:t>n = number of MEPS participants in each category</w:t>
      </w:r>
      <w:r w:rsidR="00D6182E">
        <w:rPr>
          <w:rFonts w:ascii="Arial" w:hAnsi="Arial" w:cs="Arial"/>
          <w:sz w:val="24"/>
          <w:szCs w:val="24"/>
        </w:rPr>
        <w:t xml:space="preserve">; </w:t>
      </w:r>
      <w:r w:rsidR="006F5087">
        <w:rPr>
          <w:rFonts w:ascii="Arial" w:hAnsi="Arial" w:cs="Arial"/>
          <w:sz w:val="24"/>
          <w:szCs w:val="24"/>
        </w:rPr>
        <w:t>OOP = out-of-pocket</w:t>
      </w:r>
      <w:r w:rsidR="004E388D">
        <w:rPr>
          <w:rFonts w:ascii="Arial" w:hAnsi="Arial" w:cs="Arial"/>
          <w:sz w:val="24"/>
          <w:szCs w:val="24"/>
        </w:rPr>
        <w:t>.</w:t>
      </w:r>
    </w:p>
    <w:p w14:paraId="106CF55A" w14:textId="77777777" w:rsidR="00DB7329" w:rsidRDefault="00DB7329" w:rsidP="00DB7329">
      <w:pPr>
        <w:rPr>
          <w:rFonts w:ascii="Times New Roman" w:hAnsi="Times New Roman" w:cs="Times New Roman"/>
          <w:sz w:val="24"/>
          <w:szCs w:val="24"/>
        </w:rPr>
      </w:pPr>
      <w:r>
        <w:rPr>
          <w:rFonts w:ascii="Times New Roman" w:hAnsi="Times New Roman" w:cs="Times New Roman"/>
          <w:sz w:val="24"/>
          <w:szCs w:val="24"/>
        </w:rPr>
        <w:br w:type="page"/>
      </w:r>
    </w:p>
    <w:p w14:paraId="3F0D390A" w14:textId="3CBC76AB" w:rsidR="00DB7329" w:rsidRPr="006E5403" w:rsidRDefault="00DB7329" w:rsidP="00904476">
      <w:pPr>
        <w:rPr>
          <w:rFonts w:ascii="Arial" w:hAnsi="Arial" w:cs="Arial"/>
          <w:sz w:val="24"/>
          <w:szCs w:val="24"/>
        </w:rPr>
      </w:pPr>
      <w:r w:rsidRPr="006E5403">
        <w:rPr>
          <w:rFonts w:ascii="Arial" w:hAnsi="Arial" w:cs="Arial"/>
          <w:b/>
          <w:bCs/>
          <w:sz w:val="24"/>
          <w:szCs w:val="24"/>
        </w:rPr>
        <w:lastRenderedPageBreak/>
        <w:t xml:space="preserve">Figure </w:t>
      </w:r>
      <w:r w:rsidR="00904476" w:rsidRPr="006E5403">
        <w:rPr>
          <w:rFonts w:ascii="Arial" w:hAnsi="Arial" w:cs="Arial"/>
          <w:b/>
          <w:bCs/>
          <w:sz w:val="24"/>
          <w:szCs w:val="24"/>
        </w:rPr>
        <w:t>S</w:t>
      </w:r>
      <w:r w:rsidRPr="006E5403">
        <w:rPr>
          <w:rFonts w:ascii="Arial" w:hAnsi="Arial" w:cs="Arial"/>
          <w:b/>
          <w:bCs/>
          <w:sz w:val="24"/>
          <w:szCs w:val="24"/>
        </w:rPr>
        <w:t>2.</w:t>
      </w:r>
      <w:r w:rsidRPr="006E5403">
        <w:rPr>
          <w:rFonts w:ascii="Arial" w:hAnsi="Arial" w:cs="Arial"/>
          <w:sz w:val="24"/>
          <w:szCs w:val="24"/>
        </w:rPr>
        <w:t xml:space="preserve"> Means of three variables that relate to the four adherence groups</w:t>
      </w:r>
      <w:r w:rsidR="00964C09">
        <w:rPr>
          <w:rFonts w:ascii="Arial" w:hAnsi="Arial" w:cs="Arial"/>
          <w:sz w:val="24"/>
          <w:szCs w:val="24"/>
        </w:rPr>
        <w:t>.</w:t>
      </w:r>
    </w:p>
    <w:p w14:paraId="5B3312F0" w14:textId="2C9611DD" w:rsidR="00DB7329" w:rsidRDefault="00535CD0" w:rsidP="00DB7329">
      <w:pPr>
        <w:rPr>
          <w:noProof/>
        </w:rPr>
      </w:pPr>
      <w:r>
        <w:rPr>
          <w:noProof/>
        </w:rPr>
        <w:drawing>
          <wp:inline distT="0" distB="0" distL="0" distR="0" wp14:anchorId="14381611" wp14:editId="04AD7A60">
            <wp:extent cx="6229894" cy="3676783"/>
            <wp:effectExtent l="0" t="0" r="0" b="0"/>
            <wp:docPr id="5" name="Picture 5" descr="Graphical user interface, chart, application,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 application, ba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46896" cy="3686818"/>
                    </a:xfrm>
                    <a:prstGeom prst="rect">
                      <a:avLst/>
                    </a:prstGeom>
                  </pic:spPr>
                </pic:pic>
              </a:graphicData>
            </a:graphic>
          </wp:inline>
        </w:drawing>
      </w:r>
    </w:p>
    <w:p w14:paraId="13150FB3" w14:textId="43D9561B" w:rsidR="00DB7329" w:rsidRDefault="00DB7329" w:rsidP="00DB7329">
      <w:pPr>
        <w:rPr>
          <w:rFonts w:ascii="Arial" w:hAnsi="Arial" w:cs="Arial"/>
          <w:sz w:val="24"/>
          <w:szCs w:val="24"/>
        </w:rPr>
      </w:pPr>
      <w:r w:rsidRPr="006E5403">
        <w:rPr>
          <w:rFonts w:ascii="Arial" w:hAnsi="Arial" w:cs="Arial"/>
          <w:b/>
          <w:sz w:val="24"/>
          <w:szCs w:val="24"/>
        </w:rPr>
        <w:t>Note:</w:t>
      </w:r>
      <w:r w:rsidRPr="006E5403">
        <w:rPr>
          <w:rFonts w:ascii="Arial" w:hAnsi="Arial" w:cs="Arial"/>
          <w:sz w:val="24"/>
          <w:szCs w:val="24"/>
        </w:rPr>
        <w:t xml:space="preserve"> </w:t>
      </w:r>
      <w:r w:rsidR="00FA62C1">
        <w:rPr>
          <w:rFonts w:ascii="Arial" w:hAnsi="Arial" w:cs="Arial"/>
          <w:sz w:val="24"/>
          <w:szCs w:val="24"/>
        </w:rPr>
        <w:t xml:space="preserve">For subfigure b and d, </w:t>
      </w:r>
      <w:r w:rsidRPr="006E5403">
        <w:rPr>
          <w:rFonts w:ascii="Arial" w:hAnsi="Arial" w:cs="Arial"/>
          <w:sz w:val="24"/>
          <w:szCs w:val="24"/>
        </w:rPr>
        <w:t>OOP cost/day total is geometric mean.</w:t>
      </w:r>
    </w:p>
    <w:p w14:paraId="339EDE2A" w14:textId="16F46380" w:rsidR="00C21B54" w:rsidRDefault="0063126E" w:rsidP="002D437F">
      <w:r>
        <w:rPr>
          <w:rFonts w:ascii="Arial" w:hAnsi="Arial" w:cs="Arial"/>
          <w:sz w:val="24"/>
          <w:szCs w:val="24"/>
        </w:rPr>
        <w:t xml:space="preserve">Abbreviation: </w:t>
      </w:r>
      <w:r w:rsidR="009D783E">
        <w:rPr>
          <w:rFonts w:ascii="Arial" w:hAnsi="Arial" w:cs="Arial"/>
          <w:sz w:val="24"/>
          <w:szCs w:val="24"/>
        </w:rPr>
        <w:t xml:space="preserve">FDC = </w:t>
      </w:r>
      <w:r w:rsidR="00CB56E3">
        <w:rPr>
          <w:rFonts w:ascii="Arial" w:hAnsi="Arial" w:cs="Arial"/>
          <w:sz w:val="24"/>
          <w:szCs w:val="24"/>
        </w:rPr>
        <w:t>fixed-dose combination; OOP = out-of-pocket</w:t>
      </w:r>
    </w:p>
    <w:sectPr w:rsidR="00C21B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C3CCC" w14:textId="77777777" w:rsidR="00A46E54" w:rsidRDefault="00A46E54" w:rsidP="007E6C80">
      <w:pPr>
        <w:spacing w:after="0" w:line="240" w:lineRule="auto"/>
      </w:pPr>
      <w:r>
        <w:separator/>
      </w:r>
    </w:p>
  </w:endnote>
  <w:endnote w:type="continuationSeparator" w:id="0">
    <w:p w14:paraId="30DCCC0D" w14:textId="77777777" w:rsidR="00A46E54" w:rsidRDefault="00A46E54" w:rsidP="007E6C80">
      <w:pPr>
        <w:spacing w:after="0" w:line="240" w:lineRule="auto"/>
      </w:pPr>
      <w:r>
        <w:continuationSeparator/>
      </w:r>
    </w:p>
  </w:endnote>
  <w:endnote w:type="continuationNotice" w:id="1">
    <w:p w14:paraId="31927E39" w14:textId="77777777" w:rsidR="00A46E54" w:rsidRDefault="00A46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30768"/>
      <w:docPartObj>
        <w:docPartGallery w:val="Page Numbers (Bottom of Page)"/>
        <w:docPartUnique/>
      </w:docPartObj>
    </w:sdtPr>
    <w:sdtEndPr>
      <w:rPr>
        <w:rFonts w:ascii="Arial" w:hAnsi="Arial" w:cs="Arial"/>
        <w:noProof/>
        <w:sz w:val="24"/>
        <w:szCs w:val="24"/>
      </w:rPr>
    </w:sdtEndPr>
    <w:sdtContent>
      <w:p w14:paraId="04B4235C" w14:textId="2C776782" w:rsidR="007E6C80" w:rsidRPr="007E6C80" w:rsidRDefault="007E6C80">
        <w:pPr>
          <w:pStyle w:val="Footer"/>
          <w:jc w:val="right"/>
          <w:rPr>
            <w:rFonts w:ascii="Arial" w:hAnsi="Arial" w:cs="Arial"/>
            <w:sz w:val="24"/>
            <w:szCs w:val="24"/>
          </w:rPr>
        </w:pPr>
        <w:r w:rsidRPr="007E6C80">
          <w:rPr>
            <w:rFonts w:ascii="Arial" w:hAnsi="Arial" w:cs="Arial"/>
            <w:sz w:val="24"/>
            <w:szCs w:val="24"/>
          </w:rPr>
          <w:fldChar w:fldCharType="begin"/>
        </w:r>
        <w:r w:rsidRPr="007E6C80">
          <w:rPr>
            <w:rFonts w:ascii="Arial" w:hAnsi="Arial" w:cs="Arial"/>
            <w:sz w:val="24"/>
            <w:szCs w:val="24"/>
          </w:rPr>
          <w:instrText xml:space="preserve"> PAGE   \* MERGEFORMAT </w:instrText>
        </w:r>
        <w:r w:rsidRPr="007E6C80">
          <w:rPr>
            <w:rFonts w:ascii="Arial" w:hAnsi="Arial" w:cs="Arial"/>
            <w:sz w:val="24"/>
            <w:szCs w:val="24"/>
          </w:rPr>
          <w:fldChar w:fldCharType="separate"/>
        </w:r>
        <w:r w:rsidRPr="007E6C80">
          <w:rPr>
            <w:rFonts w:ascii="Arial" w:hAnsi="Arial" w:cs="Arial"/>
            <w:noProof/>
            <w:sz w:val="24"/>
            <w:szCs w:val="24"/>
          </w:rPr>
          <w:t>2</w:t>
        </w:r>
        <w:r w:rsidRPr="007E6C80">
          <w:rPr>
            <w:rFonts w:ascii="Arial" w:hAnsi="Arial" w:cs="Arial"/>
            <w:noProof/>
            <w:sz w:val="24"/>
            <w:szCs w:val="24"/>
          </w:rPr>
          <w:fldChar w:fldCharType="end"/>
        </w:r>
      </w:p>
    </w:sdtContent>
  </w:sdt>
  <w:p w14:paraId="59E1F907" w14:textId="77777777" w:rsidR="007E6C80" w:rsidRDefault="007E6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CBFE3" w14:textId="77777777" w:rsidR="00A46E54" w:rsidRDefault="00A46E54" w:rsidP="007E6C80">
      <w:pPr>
        <w:spacing w:after="0" w:line="240" w:lineRule="auto"/>
      </w:pPr>
      <w:r>
        <w:separator/>
      </w:r>
    </w:p>
  </w:footnote>
  <w:footnote w:type="continuationSeparator" w:id="0">
    <w:p w14:paraId="68E5EB46" w14:textId="77777777" w:rsidR="00A46E54" w:rsidRDefault="00A46E54" w:rsidP="007E6C80">
      <w:pPr>
        <w:spacing w:after="0" w:line="240" w:lineRule="auto"/>
      </w:pPr>
      <w:r>
        <w:continuationSeparator/>
      </w:r>
    </w:p>
  </w:footnote>
  <w:footnote w:type="continuationNotice" w:id="1">
    <w:p w14:paraId="5F5CC33B" w14:textId="77777777" w:rsidR="00A46E54" w:rsidRDefault="00A46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8935" w14:textId="1E31F731" w:rsidR="0046030B" w:rsidRDefault="0046030B">
    <w:pPr>
      <w:pStyle w:val="Header"/>
    </w:pPr>
    <w:r w:rsidRPr="0046030B">
      <w:rPr>
        <w:rFonts w:ascii="Arial" w:hAnsi="Arial" w:cs="Arial"/>
        <w:sz w:val="24"/>
        <w:szCs w:val="24"/>
      </w:rPr>
      <w:t xml:space="preserve">Out-of-pocket costs and adherence to </w:t>
    </w:r>
    <w:r w:rsidR="003263FA">
      <w:rPr>
        <w:rFonts w:ascii="Arial" w:hAnsi="Arial" w:cs="Arial"/>
        <w:sz w:val="24"/>
        <w:szCs w:val="24"/>
      </w:rPr>
      <w:t>diabetes</w:t>
    </w:r>
    <w:r w:rsidRPr="0046030B">
      <w:rPr>
        <w:rFonts w:ascii="Arial" w:hAnsi="Arial" w:cs="Arial"/>
        <w:sz w:val="24"/>
        <w:szCs w:val="24"/>
      </w:rPr>
      <w:t xml:space="preserve"> combination therapy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E3748"/>
    <w:multiLevelType w:val="hybridMultilevel"/>
    <w:tmpl w:val="9DA06F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irin Ghodke">
    <w15:presenceInfo w15:providerId="None" w15:userId="Shirin Ghod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Diabetes Obes Meta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00t0x91z29p9ew02rveazn2fazzvfr2ax5&quot;&gt;Diab-00074430-Converted&lt;record-ids&gt;&lt;item&gt;1&lt;/item&gt;&lt;item&gt;2&lt;/item&gt;&lt;item&gt;3&lt;/item&gt;&lt;item&gt;4&lt;/item&gt;&lt;item&gt;8&lt;/item&gt;&lt;item&gt;14&lt;/item&gt;&lt;item&gt;35&lt;/item&gt;&lt;/record-ids&gt;&lt;/item&gt;&lt;/Libraries&gt;"/>
  </w:docVars>
  <w:rsids>
    <w:rsidRoot w:val="00C21B54"/>
    <w:rsid w:val="00005C22"/>
    <w:rsid w:val="00006E4C"/>
    <w:rsid w:val="000139AD"/>
    <w:rsid w:val="00022096"/>
    <w:rsid w:val="000275D7"/>
    <w:rsid w:val="000323F4"/>
    <w:rsid w:val="00045B65"/>
    <w:rsid w:val="0007139E"/>
    <w:rsid w:val="0009371D"/>
    <w:rsid w:val="00096218"/>
    <w:rsid w:val="000B69F2"/>
    <w:rsid w:val="000E3BA2"/>
    <w:rsid w:val="00100712"/>
    <w:rsid w:val="00125235"/>
    <w:rsid w:val="00125DB6"/>
    <w:rsid w:val="00131578"/>
    <w:rsid w:val="001537AD"/>
    <w:rsid w:val="0016321D"/>
    <w:rsid w:val="00170356"/>
    <w:rsid w:val="001704DB"/>
    <w:rsid w:val="00174508"/>
    <w:rsid w:val="00182DF8"/>
    <w:rsid w:val="00183CC8"/>
    <w:rsid w:val="001913AA"/>
    <w:rsid w:val="001B0DFD"/>
    <w:rsid w:val="001B5E49"/>
    <w:rsid w:val="001B62F8"/>
    <w:rsid w:val="001C26B0"/>
    <w:rsid w:val="001D1E73"/>
    <w:rsid w:val="001E2467"/>
    <w:rsid w:val="001E727F"/>
    <w:rsid w:val="001F1B55"/>
    <w:rsid w:val="001F3EA9"/>
    <w:rsid w:val="00201BE4"/>
    <w:rsid w:val="00225A17"/>
    <w:rsid w:val="002343C9"/>
    <w:rsid w:val="0024130D"/>
    <w:rsid w:val="00247A86"/>
    <w:rsid w:val="00251942"/>
    <w:rsid w:val="00253D7A"/>
    <w:rsid w:val="002557A5"/>
    <w:rsid w:val="002937DC"/>
    <w:rsid w:val="00293E74"/>
    <w:rsid w:val="0029604D"/>
    <w:rsid w:val="0029639E"/>
    <w:rsid w:val="002C00E2"/>
    <w:rsid w:val="002C66EC"/>
    <w:rsid w:val="002D437F"/>
    <w:rsid w:val="002E36E1"/>
    <w:rsid w:val="002E6D7F"/>
    <w:rsid w:val="002F4C07"/>
    <w:rsid w:val="00300160"/>
    <w:rsid w:val="00311EEE"/>
    <w:rsid w:val="003153A9"/>
    <w:rsid w:val="003234A2"/>
    <w:rsid w:val="0032503E"/>
    <w:rsid w:val="003263FA"/>
    <w:rsid w:val="00333D67"/>
    <w:rsid w:val="00343D1A"/>
    <w:rsid w:val="00344D31"/>
    <w:rsid w:val="00355DF2"/>
    <w:rsid w:val="0035696C"/>
    <w:rsid w:val="00363D5C"/>
    <w:rsid w:val="00370B05"/>
    <w:rsid w:val="003765C9"/>
    <w:rsid w:val="003853B3"/>
    <w:rsid w:val="003A2953"/>
    <w:rsid w:val="003B0A26"/>
    <w:rsid w:val="003B12DE"/>
    <w:rsid w:val="003B2FCB"/>
    <w:rsid w:val="003C7803"/>
    <w:rsid w:val="003D26E4"/>
    <w:rsid w:val="003E001B"/>
    <w:rsid w:val="003E57E5"/>
    <w:rsid w:val="003F62C2"/>
    <w:rsid w:val="004021B5"/>
    <w:rsid w:val="00403386"/>
    <w:rsid w:val="00425C71"/>
    <w:rsid w:val="004375FD"/>
    <w:rsid w:val="004434A1"/>
    <w:rsid w:val="0046030B"/>
    <w:rsid w:val="00464F81"/>
    <w:rsid w:val="004935B6"/>
    <w:rsid w:val="00497071"/>
    <w:rsid w:val="004B4465"/>
    <w:rsid w:val="004D2F10"/>
    <w:rsid w:val="004E388D"/>
    <w:rsid w:val="004E4FA8"/>
    <w:rsid w:val="004F4749"/>
    <w:rsid w:val="00522023"/>
    <w:rsid w:val="00525D02"/>
    <w:rsid w:val="0053087C"/>
    <w:rsid w:val="00531857"/>
    <w:rsid w:val="00533064"/>
    <w:rsid w:val="00535CD0"/>
    <w:rsid w:val="0053763F"/>
    <w:rsid w:val="005435F3"/>
    <w:rsid w:val="00556956"/>
    <w:rsid w:val="00561E2A"/>
    <w:rsid w:val="00580AE0"/>
    <w:rsid w:val="005855F7"/>
    <w:rsid w:val="00587FD6"/>
    <w:rsid w:val="00591239"/>
    <w:rsid w:val="00591BD8"/>
    <w:rsid w:val="005B526F"/>
    <w:rsid w:val="005B6021"/>
    <w:rsid w:val="005C5B66"/>
    <w:rsid w:val="005D2ADB"/>
    <w:rsid w:val="005E2548"/>
    <w:rsid w:val="005E422E"/>
    <w:rsid w:val="005E488D"/>
    <w:rsid w:val="005F519C"/>
    <w:rsid w:val="00620FFE"/>
    <w:rsid w:val="0063126E"/>
    <w:rsid w:val="00634F37"/>
    <w:rsid w:val="00640E89"/>
    <w:rsid w:val="0064101B"/>
    <w:rsid w:val="00655A09"/>
    <w:rsid w:val="00657342"/>
    <w:rsid w:val="00676900"/>
    <w:rsid w:val="0068228E"/>
    <w:rsid w:val="00682940"/>
    <w:rsid w:val="00691885"/>
    <w:rsid w:val="0069375C"/>
    <w:rsid w:val="006A157C"/>
    <w:rsid w:val="006A3B8D"/>
    <w:rsid w:val="006A78E2"/>
    <w:rsid w:val="006B502E"/>
    <w:rsid w:val="006C1C7D"/>
    <w:rsid w:val="006C2461"/>
    <w:rsid w:val="006D5475"/>
    <w:rsid w:val="006E16A7"/>
    <w:rsid w:val="006E36EA"/>
    <w:rsid w:val="006E5403"/>
    <w:rsid w:val="006F5087"/>
    <w:rsid w:val="00714D55"/>
    <w:rsid w:val="0071599A"/>
    <w:rsid w:val="00722EB1"/>
    <w:rsid w:val="00723711"/>
    <w:rsid w:val="007412AF"/>
    <w:rsid w:val="00793374"/>
    <w:rsid w:val="00796339"/>
    <w:rsid w:val="007A2B55"/>
    <w:rsid w:val="007C2E27"/>
    <w:rsid w:val="007E6C80"/>
    <w:rsid w:val="00806A13"/>
    <w:rsid w:val="00810DD7"/>
    <w:rsid w:val="00817A49"/>
    <w:rsid w:val="00823A36"/>
    <w:rsid w:val="0082727A"/>
    <w:rsid w:val="00831D41"/>
    <w:rsid w:val="00834EFF"/>
    <w:rsid w:val="00843426"/>
    <w:rsid w:val="008462CC"/>
    <w:rsid w:val="0085208D"/>
    <w:rsid w:val="008608EE"/>
    <w:rsid w:val="00893573"/>
    <w:rsid w:val="008A52A0"/>
    <w:rsid w:val="008B1BC0"/>
    <w:rsid w:val="008B68F3"/>
    <w:rsid w:val="008E0F8A"/>
    <w:rsid w:val="008E52F6"/>
    <w:rsid w:val="008F62B7"/>
    <w:rsid w:val="00902A6A"/>
    <w:rsid w:val="00904476"/>
    <w:rsid w:val="009247FB"/>
    <w:rsid w:val="00926B21"/>
    <w:rsid w:val="0093163E"/>
    <w:rsid w:val="00945BCF"/>
    <w:rsid w:val="00947A92"/>
    <w:rsid w:val="009552F3"/>
    <w:rsid w:val="00962373"/>
    <w:rsid w:val="00964C09"/>
    <w:rsid w:val="009659C5"/>
    <w:rsid w:val="009707A4"/>
    <w:rsid w:val="00972227"/>
    <w:rsid w:val="0097606C"/>
    <w:rsid w:val="00983A3B"/>
    <w:rsid w:val="00983C96"/>
    <w:rsid w:val="009975F1"/>
    <w:rsid w:val="009A13E1"/>
    <w:rsid w:val="009A4A29"/>
    <w:rsid w:val="009B01FA"/>
    <w:rsid w:val="009B0749"/>
    <w:rsid w:val="009C5A46"/>
    <w:rsid w:val="009D1CBC"/>
    <w:rsid w:val="009D5882"/>
    <w:rsid w:val="009D76CD"/>
    <w:rsid w:val="009D783E"/>
    <w:rsid w:val="009E5B7B"/>
    <w:rsid w:val="009F09AF"/>
    <w:rsid w:val="00A131FA"/>
    <w:rsid w:val="00A169DC"/>
    <w:rsid w:val="00A20DFF"/>
    <w:rsid w:val="00A36D51"/>
    <w:rsid w:val="00A407B3"/>
    <w:rsid w:val="00A42FAB"/>
    <w:rsid w:val="00A46E54"/>
    <w:rsid w:val="00A47764"/>
    <w:rsid w:val="00A50774"/>
    <w:rsid w:val="00A53ABE"/>
    <w:rsid w:val="00A54E3B"/>
    <w:rsid w:val="00A8309F"/>
    <w:rsid w:val="00A86808"/>
    <w:rsid w:val="00A86B52"/>
    <w:rsid w:val="00A90DB5"/>
    <w:rsid w:val="00A93ACA"/>
    <w:rsid w:val="00AA1696"/>
    <w:rsid w:val="00AC1570"/>
    <w:rsid w:val="00AC7E74"/>
    <w:rsid w:val="00AD0804"/>
    <w:rsid w:val="00AD4D8A"/>
    <w:rsid w:val="00AE3F5E"/>
    <w:rsid w:val="00B04D52"/>
    <w:rsid w:val="00B1106C"/>
    <w:rsid w:val="00B43017"/>
    <w:rsid w:val="00B44C5B"/>
    <w:rsid w:val="00B704BA"/>
    <w:rsid w:val="00B72600"/>
    <w:rsid w:val="00B7290F"/>
    <w:rsid w:val="00B754E9"/>
    <w:rsid w:val="00B801B0"/>
    <w:rsid w:val="00B82964"/>
    <w:rsid w:val="00B903D0"/>
    <w:rsid w:val="00B9069B"/>
    <w:rsid w:val="00BC1C04"/>
    <w:rsid w:val="00BE7C58"/>
    <w:rsid w:val="00BF3269"/>
    <w:rsid w:val="00C020F5"/>
    <w:rsid w:val="00C10260"/>
    <w:rsid w:val="00C119AA"/>
    <w:rsid w:val="00C14D49"/>
    <w:rsid w:val="00C21B54"/>
    <w:rsid w:val="00C23B09"/>
    <w:rsid w:val="00C311DC"/>
    <w:rsid w:val="00C33F9A"/>
    <w:rsid w:val="00C43C61"/>
    <w:rsid w:val="00C4650B"/>
    <w:rsid w:val="00C85716"/>
    <w:rsid w:val="00C86515"/>
    <w:rsid w:val="00C86C80"/>
    <w:rsid w:val="00C948F2"/>
    <w:rsid w:val="00CA1C10"/>
    <w:rsid w:val="00CB30AE"/>
    <w:rsid w:val="00CB56E3"/>
    <w:rsid w:val="00CC72C8"/>
    <w:rsid w:val="00CD587D"/>
    <w:rsid w:val="00CD5F04"/>
    <w:rsid w:val="00CD7FD2"/>
    <w:rsid w:val="00CF084A"/>
    <w:rsid w:val="00D11DA9"/>
    <w:rsid w:val="00D20275"/>
    <w:rsid w:val="00D203E8"/>
    <w:rsid w:val="00D218FF"/>
    <w:rsid w:val="00D46757"/>
    <w:rsid w:val="00D6182E"/>
    <w:rsid w:val="00D65F7C"/>
    <w:rsid w:val="00D753CA"/>
    <w:rsid w:val="00D85A22"/>
    <w:rsid w:val="00D87244"/>
    <w:rsid w:val="00DA2685"/>
    <w:rsid w:val="00DB2167"/>
    <w:rsid w:val="00DB496E"/>
    <w:rsid w:val="00DB579D"/>
    <w:rsid w:val="00DB7329"/>
    <w:rsid w:val="00DB7588"/>
    <w:rsid w:val="00DC3C8C"/>
    <w:rsid w:val="00DC7EAA"/>
    <w:rsid w:val="00DD39E1"/>
    <w:rsid w:val="00DE64FC"/>
    <w:rsid w:val="00E00173"/>
    <w:rsid w:val="00E01830"/>
    <w:rsid w:val="00E01EEB"/>
    <w:rsid w:val="00E27BD7"/>
    <w:rsid w:val="00E303D7"/>
    <w:rsid w:val="00E36858"/>
    <w:rsid w:val="00E418D1"/>
    <w:rsid w:val="00E4279C"/>
    <w:rsid w:val="00E5084B"/>
    <w:rsid w:val="00E568C0"/>
    <w:rsid w:val="00E63655"/>
    <w:rsid w:val="00E72AB8"/>
    <w:rsid w:val="00E85EAB"/>
    <w:rsid w:val="00EA0E42"/>
    <w:rsid w:val="00EA51DA"/>
    <w:rsid w:val="00EC33D5"/>
    <w:rsid w:val="00EC557B"/>
    <w:rsid w:val="00EC75CC"/>
    <w:rsid w:val="00ED10BF"/>
    <w:rsid w:val="00ED1414"/>
    <w:rsid w:val="00ED1C61"/>
    <w:rsid w:val="00ED3412"/>
    <w:rsid w:val="00EF7497"/>
    <w:rsid w:val="00F000B3"/>
    <w:rsid w:val="00F028A6"/>
    <w:rsid w:val="00F1180D"/>
    <w:rsid w:val="00F11825"/>
    <w:rsid w:val="00F17DC6"/>
    <w:rsid w:val="00F216F0"/>
    <w:rsid w:val="00F3434C"/>
    <w:rsid w:val="00F3550D"/>
    <w:rsid w:val="00F55D29"/>
    <w:rsid w:val="00F57160"/>
    <w:rsid w:val="00F63A09"/>
    <w:rsid w:val="00F71411"/>
    <w:rsid w:val="00F75817"/>
    <w:rsid w:val="00F904BC"/>
    <w:rsid w:val="00F9292E"/>
    <w:rsid w:val="00F92AD9"/>
    <w:rsid w:val="00F92B0F"/>
    <w:rsid w:val="00FA62C1"/>
    <w:rsid w:val="00FA7995"/>
    <w:rsid w:val="00FB141A"/>
    <w:rsid w:val="00FC3D14"/>
    <w:rsid w:val="00FD4D4D"/>
    <w:rsid w:val="00FD55A8"/>
    <w:rsid w:val="00FE3068"/>
    <w:rsid w:val="00FF78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EC621"/>
  <w15:chartTrackingRefBased/>
  <w15:docId w15:val="{70E85321-2721-401F-BA55-1600F7D7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2">
    <w:name w:val="heading 2"/>
    <w:basedOn w:val="Normal"/>
    <w:next w:val="Normal"/>
    <w:link w:val="Heading2Char"/>
    <w:uiPriority w:val="9"/>
    <w:unhideWhenUsed/>
    <w:qFormat/>
    <w:rsid w:val="00DB7329"/>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21B54"/>
    <w:rPr>
      <w:sz w:val="16"/>
      <w:szCs w:val="16"/>
    </w:rPr>
  </w:style>
  <w:style w:type="paragraph" w:styleId="CommentText">
    <w:name w:val="annotation text"/>
    <w:basedOn w:val="Normal"/>
    <w:link w:val="CommentTextChar"/>
    <w:uiPriority w:val="99"/>
    <w:semiHidden/>
    <w:unhideWhenUsed/>
    <w:rsid w:val="00C21B54"/>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C21B54"/>
    <w:rPr>
      <w:sz w:val="20"/>
      <w:szCs w:val="20"/>
      <w:lang w:val="en-US"/>
    </w:rPr>
  </w:style>
  <w:style w:type="paragraph" w:styleId="BalloonText">
    <w:name w:val="Balloon Text"/>
    <w:basedOn w:val="Normal"/>
    <w:link w:val="BalloonTextChar"/>
    <w:uiPriority w:val="99"/>
    <w:semiHidden/>
    <w:unhideWhenUsed/>
    <w:rsid w:val="00C21B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4"/>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C21B5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21B54"/>
    <w:rPr>
      <w:rFonts w:ascii="Calibri" w:hAnsi="Calibri" w:cs="Calibri"/>
      <w:noProof/>
      <w:lang w:val="en-US"/>
    </w:rPr>
  </w:style>
  <w:style w:type="paragraph" w:customStyle="1" w:styleId="EndNoteBibliography">
    <w:name w:val="EndNote Bibliography"/>
    <w:basedOn w:val="Normal"/>
    <w:link w:val="EndNoteBibliographyChar"/>
    <w:rsid w:val="00C21B5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21B54"/>
    <w:rPr>
      <w:rFonts w:ascii="Calibri" w:hAnsi="Calibri" w:cs="Calibri"/>
      <w:noProof/>
      <w:lang w:val="en-US"/>
    </w:rPr>
  </w:style>
  <w:style w:type="character" w:styleId="Hyperlink">
    <w:name w:val="Hyperlink"/>
    <w:basedOn w:val="DefaultParagraphFont"/>
    <w:uiPriority w:val="99"/>
    <w:unhideWhenUsed/>
    <w:rsid w:val="00C21B54"/>
    <w:rPr>
      <w:color w:val="0563C1" w:themeColor="hyperlink"/>
      <w:u w:val="single"/>
    </w:rPr>
  </w:style>
  <w:style w:type="character" w:styleId="UnresolvedMention">
    <w:name w:val="Unresolved Mention"/>
    <w:basedOn w:val="DefaultParagraphFont"/>
    <w:uiPriority w:val="99"/>
    <w:semiHidden/>
    <w:unhideWhenUsed/>
    <w:rsid w:val="00C21B54"/>
    <w:rPr>
      <w:color w:val="605E5C"/>
      <w:shd w:val="clear" w:color="auto" w:fill="E1DFDD"/>
    </w:rPr>
  </w:style>
  <w:style w:type="character" w:customStyle="1" w:styleId="Heading2Char">
    <w:name w:val="Heading 2 Char"/>
    <w:basedOn w:val="DefaultParagraphFont"/>
    <w:link w:val="Heading2"/>
    <w:uiPriority w:val="9"/>
    <w:rsid w:val="00DB7329"/>
    <w:rPr>
      <w:rFonts w:asciiTheme="majorHAnsi" w:eastAsiaTheme="majorEastAsia" w:hAnsiTheme="majorHAnsi" w:cstheme="majorBidi"/>
      <w:color w:val="2F5496" w:themeColor="accent1" w:themeShade="BF"/>
      <w:sz w:val="26"/>
      <w:szCs w:val="26"/>
      <w:lang w:val="en-US"/>
    </w:rPr>
  </w:style>
  <w:style w:type="table" w:customStyle="1" w:styleId="PlainTable21">
    <w:name w:val="Plain Table 21"/>
    <w:basedOn w:val="TableNormal"/>
    <w:uiPriority w:val="42"/>
    <w:rsid w:val="00D11DA9"/>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C86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A2953"/>
    <w:pPr>
      <w:spacing w:after="160"/>
    </w:pPr>
    <w:rPr>
      <w:b/>
      <w:bCs/>
    </w:rPr>
  </w:style>
  <w:style w:type="character" w:customStyle="1" w:styleId="CommentSubjectChar">
    <w:name w:val="Comment Subject Char"/>
    <w:basedOn w:val="CommentTextChar"/>
    <w:link w:val="CommentSubject"/>
    <w:uiPriority w:val="99"/>
    <w:semiHidden/>
    <w:rsid w:val="003A2953"/>
    <w:rPr>
      <w:b/>
      <w:bCs/>
      <w:sz w:val="20"/>
      <w:szCs w:val="20"/>
      <w:lang w:val="en-US"/>
    </w:rPr>
  </w:style>
  <w:style w:type="character" w:styleId="FollowedHyperlink">
    <w:name w:val="FollowedHyperlink"/>
    <w:basedOn w:val="DefaultParagraphFont"/>
    <w:uiPriority w:val="99"/>
    <w:semiHidden/>
    <w:unhideWhenUsed/>
    <w:rsid w:val="00983C96"/>
    <w:rPr>
      <w:color w:val="954F72" w:themeColor="followedHyperlink"/>
      <w:u w:val="single"/>
    </w:rPr>
  </w:style>
  <w:style w:type="paragraph" w:styleId="Header">
    <w:name w:val="header"/>
    <w:basedOn w:val="Normal"/>
    <w:link w:val="HeaderChar"/>
    <w:uiPriority w:val="99"/>
    <w:unhideWhenUsed/>
    <w:rsid w:val="007E6C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C80"/>
    <w:rPr>
      <w:lang w:val="en-US"/>
    </w:rPr>
  </w:style>
  <w:style w:type="paragraph" w:styleId="Footer">
    <w:name w:val="footer"/>
    <w:basedOn w:val="Normal"/>
    <w:link w:val="FooterChar"/>
    <w:uiPriority w:val="99"/>
    <w:unhideWhenUsed/>
    <w:rsid w:val="007E6C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C8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02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eps.ahrq.gov/mepsweb/data_files/publications/mr29/mr29.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ps.ahrq.gov/data_files/publications/mr1/mr1.pdf" TargetMode="Externa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yperlink" Target="https://meps.ahrq.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B6EC27796A544B8AC8B619982EAA7B" ma:contentTypeVersion="4" ma:contentTypeDescription="Create a new document." ma:contentTypeScope="" ma:versionID="29a947463de7cb24f019f474799f4d3a">
  <xsd:schema xmlns:xsd="http://www.w3.org/2001/XMLSchema" xmlns:xs="http://www.w3.org/2001/XMLSchema" xmlns:p="http://schemas.microsoft.com/office/2006/metadata/properties" xmlns:ns2="05b03431-40ae-4202-87ad-a0d10ed1e43f" targetNamespace="http://schemas.microsoft.com/office/2006/metadata/properties" ma:root="true" ma:fieldsID="ea2ac684b3fc5569bf0ff8134e32ef5e" ns2:_="">
    <xsd:import namespace="05b03431-40ae-4202-87ad-a0d10ed1e4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3431-40ae-4202-87ad-a0d10ed1e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FBEBEA-06D8-4F78-99E6-C221AAD19D62}">
  <ds:schemaRefs>
    <ds:schemaRef ds:uri="http://schemas.microsoft.com/sharepoint/v3/contenttype/forms"/>
  </ds:schemaRefs>
</ds:datastoreItem>
</file>

<file path=customXml/itemProps2.xml><?xml version="1.0" encoding="utf-8"?>
<ds:datastoreItem xmlns:ds="http://schemas.openxmlformats.org/officeDocument/2006/customXml" ds:itemID="{DFC0207E-A1DC-4EFA-A178-0B233EF9A9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17A5ED-651F-4172-AED3-9B4C152374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3431-40ae-4202-87ad-a0d10ed1e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Links>
    <vt:vector size="18" baseType="variant">
      <vt:variant>
        <vt:i4>4915243</vt:i4>
      </vt:variant>
      <vt:variant>
        <vt:i4>33</vt:i4>
      </vt:variant>
      <vt:variant>
        <vt:i4>0</vt:i4>
      </vt:variant>
      <vt:variant>
        <vt:i4>5</vt:i4>
      </vt:variant>
      <vt:variant>
        <vt:lpwstr>http://meps.ahrq.gov/mepsweb/data_files/publications/mr29/mr29.pdf</vt:lpwstr>
      </vt:variant>
      <vt:variant>
        <vt:lpwstr/>
      </vt:variant>
      <vt:variant>
        <vt:i4>5701671</vt:i4>
      </vt:variant>
      <vt:variant>
        <vt:i4>30</vt:i4>
      </vt:variant>
      <vt:variant>
        <vt:i4>0</vt:i4>
      </vt:variant>
      <vt:variant>
        <vt:i4>5</vt:i4>
      </vt:variant>
      <vt:variant>
        <vt:lpwstr>https://meps.ahrq.gov/data_files/publications/mr1/mr1.pdf</vt:lpwstr>
      </vt:variant>
      <vt:variant>
        <vt:lpwstr>:~:text=Design%20and%20Methods%20of%20the%20Medical%20Expenditure%20Panel,wide%20variety%20of%20users%20in%20a%20cost-effective%20manner</vt:lpwstr>
      </vt:variant>
      <vt:variant>
        <vt:i4>7995515</vt:i4>
      </vt:variant>
      <vt:variant>
        <vt:i4>27</vt:i4>
      </vt:variant>
      <vt:variant>
        <vt:i4>0</vt:i4>
      </vt:variant>
      <vt:variant>
        <vt:i4>5</vt:i4>
      </vt:variant>
      <vt:variant>
        <vt:lpwstr>https://meps.ahrq.gov/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Shirin Ghodke</dc:creator>
  <cp:keywords/>
  <dc:description/>
  <cp:lastModifiedBy>Shirin Ghodke</cp:lastModifiedBy>
  <cp:revision>34</cp:revision>
  <dcterms:created xsi:type="dcterms:W3CDTF">2021-01-27T07:42:00Z</dcterms:created>
  <dcterms:modified xsi:type="dcterms:W3CDTF">2021-06-21T18:50:00Z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0x010100E3B6EC27796A544B8AC8B619982EAA7B</vt:lpwstr>
  </property>
</Properties>
</file>