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F7B3F" w14:textId="77777777" w:rsidR="00465B35" w:rsidRPr="000F7523" w:rsidRDefault="00000000" w:rsidP="000F7523">
      <w:pPr>
        <w:rPr>
          <w:rFonts w:ascii="Times New Roman" w:hAnsi="Times New Roman" w:cs="Times New Roman"/>
          <w:sz w:val="21"/>
          <w:szCs w:val="21"/>
        </w:rPr>
      </w:pPr>
      <w:r w:rsidRPr="000F7523">
        <w:rPr>
          <w:rFonts w:ascii="Times New Roman" w:hAnsi="Times New Roman" w:cs="Times New Roman"/>
          <w:b/>
          <w:sz w:val="21"/>
          <w:szCs w:val="21"/>
        </w:rPr>
        <w:t xml:space="preserve">Supplementary Table S1. </w:t>
      </w:r>
      <w:r w:rsidRPr="00311656">
        <w:rPr>
          <w:rFonts w:ascii="Times New Roman" w:hAnsi="Times New Roman" w:cs="Times New Roman"/>
          <w:bCs/>
          <w:sz w:val="21"/>
          <w:szCs w:val="21"/>
        </w:rPr>
        <w:t>Era-stratified institutional practice (1993–2025)</w:t>
      </w:r>
    </w:p>
    <w:p w14:paraId="7E68178B" w14:textId="77777777" w:rsidR="00465B35" w:rsidRPr="000F7523" w:rsidRDefault="00000000">
      <w:pPr>
        <w:rPr>
          <w:rFonts w:ascii="Times New Roman" w:hAnsi="Times New Roman" w:cs="Times New Roman"/>
          <w:sz w:val="21"/>
          <w:szCs w:val="21"/>
        </w:rPr>
      </w:pPr>
      <w:r w:rsidRPr="000F7523">
        <w:rPr>
          <w:rFonts w:ascii="Times New Roman" w:hAnsi="Times New Roman" w:cs="Times New Roman"/>
          <w:i/>
          <w:sz w:val="21"/>
          <w:szCs w:val="21"/>
        </w:rPr>
        <w:t>This table summarises, at a descriptive level, how diagnostic workup, platform availability and reporting standards evolved over the study period at our institution. Where historical details were not consistently recorded, items are reported as 'not routinely available/recorded'.</w:t>
      </w:r>
    </w:p>
    <w:tbl>
      <w:tblPr>
        <w:tblW w:w="0" w:type="auto"/>
        <w:tblLook w:val="04A0" w:firstRow="1" w:lastRow="0" w:firstColumn="1" w:lastColumn="0" w:noHBand="0" w:noVBand="1"/>
      </w:tblPr>
      <w:tblGrid>
        <w:gridCol w:w="1728"/>
        <w:gridCol w:w="1728"/>
        <w:gridCol w:w="1826"/>
        <w:gridCol w:w="1728"/>
        <w:gridCol w:w="1728"/>
      </w:tblGrid>
      <w:tr w:rsidR="00465B35" w:rsidRPr="000F7523" w14:paraId="52129929" w14:textId="77777777">
        <w:tc>
          <w:tcPr>
            <w:tcW w:w="1728" w:type="dxa"/>
          </w:tcPr>
          <w:p w14:paraId="7A5C32C4" w14:textId="77777777" w:rsidR="00465B35" w:rsidRPr="000F7523" w:rsidRDefault="00000000">
            <w:pPr>
              <w:rPr>
                <w:rFonts w:ascii="Times New Roman" w:hAnsi="Times New Roman" w:cs="Times New Roman"/>
                <w:sz w:val="21"/>
                <w:szCs w:val="21"/>
              </w:rPr>
            </w:pPr>
            <w:r w:rsidRPr="000F7523">
              <w:rPr>
                <w:rFonts w:ascii="Times New Roman" w:hAnsi="Times New Roman" w:cs="Times New Roman"/>
                <w:sz w:val="21"/>
                <w:szCs w:val="21"/>
              </w:rPr>
              <w:t>Era</w:t>
            </w:r>
          </w:p>
        </w:tc>
        <w:tc>
          <w:tcPr>
            <w:tcW w:w="1728" w:type="dxa"/>
          </w:tcPr>
          <w:p w14:paraId="3E149266" w14:textId="77777777" w:rsidR="00465B35" w:rsidRPr="000F7523" w:rsidRDefault="00000000">
            <w:pPr>
              <w:rPr>
                <w:rFonts w:ascii="Times New Roman" w:hAnsi="Times New Roman" w:cs="Times New Roman"/>
                <w:sz w:val="21"/>
                <w:szCs w:val="21"/>
              </w:rPr>
            </w:pPr>
            <w:r w:rsidRPr="000F7523">
              <w:rPr>
                <w:rFonts w:ascii="Times New Roman" w:hAnsi="Times New Roman" w:cs="Times New Roman"/>
                <w:sz w:val="21"/>
                <w:szCs w:val="21"/>
              </w:rPr>
              <w:t>Preoperative staging (typical/standard practice)</w:t>
            </w:r>
          </w:p>
        </w:tc>
        <w:tc>
          <w:tcPr>
            <w:tcW w:w="1728" w:type="dxa"/>
          </w:tcPr>
          <w:p w14:paraId="36411D03" w14:textId="77777777" w:rsidR="00465B35" w:rsidRPr="000F7523" w:rsidRDefault="00000000">
            <w:pPr>
              <w:rPr>
                <w:rFonts w:ascii="Times New Roman" w:hAnsi="Times New Roman" w:cs="Times New Roman"/>
                <w:sz w:val="21"/>
                <w:szCs w:val="21"/>
              </w:rPr>
            </w:pPr>
            <w:r w:rsidRPr="000F7523">
              <w:rPr>
                <w:rFonts w:ascii="Times New Roman" w:hAnsi="Times New Roman" w:cs="Times New Roman"/>
                <w:sz w:val="21"/>
                <w:szCs w:val="21"/>
              </w:rPr>
              <w:t>Platform/technique</w:t>
            </w:r>
          </w:p>
        </w:tc>
        <w:tc>
          <w:tcPr>
            <w:tcW w:w="1728" w:type="dxa"/>
          </w:tcPr>
          <w:p w14:paraId="7B02BA47" w14:textId="77777777" w:rsidR="00465B35" w:rsidRPr="000F7523" w:rsidRDefault="00000000">
            <w:pPr>
              <w:rPr>
                <w:rFonts w:ascii="Times New Roman" w:hAnsi="Times New Roman" w:cs="Times New Roman"/>
                <w:sz w:val="21"/>
                <w:szCs w:val="21"/>
              </w:rPr>
            </w:pPr>
            <w:r w:rsidRPr="000F7523">
              <w:rPr>
                <w:rFonts w:ascii="Times New Roman" w:hAnsi="Times New Roman" w:cs="Times New Roman"/>
                <w:sz w:val="21"/>
                <w:szCs w:val="21"/>
              </w:rPr>
              <w:t>Pathology reporting (typical)</w:t>
            </w:r>
          </w:p>
        </w:tc>
        <w:tc>
          <w:tcPr>
            <w:tcW w:w="1728" w:type="dxa"/>
          </w:tcPr>
          <w:p w14:paraId="32B12CDB" w14:textId="77777777" w:rsidR="00465B35" w:rsidRPr="000F7523" w:rsidRDefault="00000000">
            <w:pPr>
              <w:rPr>
                <w:rFonts w:ascii="Times New Roman" w:hAnsi="Times New Roman" w:cs="Times New Roman"/>
                <w:sz w:val="21"/>
                <w:szCs w:val="21"/>
              </w:rPr>
            </w:pPr>
            <w:r w:rsidRPr="000F7523">
              <w:rPr>
                <w:rFonts w:ascii="Times New Roman" w:hAnsi="Times New Roman" w:cs="Times New Roman"/>
                <w:sz w:val="21"/>
                <w:szCs w:val="21"/>
              </w:rPr>
              <w:t>Endoscopic alternatives (availability)</w:t>
            </w:r>
          </w:p>
        </w:tc>
      </w:tr>
      <w:tr w:rsidR="00465B35" w:rsidRPr="000F7523" w14:paraId="3E3FA3DC" w14:textId="77777777">
        <w:tc>
          <w:tcPr>
            <w:tcW w:w="1728" w:type="dxa"/>
          </w:tcPr>
          <w:p w14:paraId="2E8A9E4D" w14:textId="77777777" w:rsidR="00465B35" w:rsidRPr="000F7523" w:rsidRDefault="00000000">
            <w:pPr>
              <w:rPr>
                <w:rFonts w:ascii="Times New Roman" w:hAnsi="Times New Roman" w:cs="Times New Roman"/>
                <w:sz w:val="21"/>
                <w:szCs w:val="21"/>
              </w:rPr>
            </w:pPr>
            <w:r w:rsidRPr="000F7523">
              <w:rPr>
                <w:rFonts w:ascii="Times New Roman" w:hAnsi="Times New Roman" w:cs="Times New Roman"/>
                <w:sz w:val="21"/>
                <w:szCs w:val="21"/>
              </w:rPr>
              <w:t>1993–2007</w:t>
            </w:r>
          </w:p>
        </w:tc>
        <w:tc>
          <w:tcPr>
            <w:tcW w:w="1728" w:type="dxa"/>
          </w:tcPr>
          <w:p w14:paraId="16E7B2BD" w14:textId="77777777" w:rsidR="00465B35" w:rsidRPr="000F7523" w:rsidRDefault="00000000">
            <w:pPr>
              <w:rPr>
                <w:rFonts w:ascii="Times New Roman" w:hAnsi="Times New Roman" w:cs="Times New Roman"/>
                <w:sz w:val="21"/>
                <w:szCs w:val="21"/>
              </w:rPr>
            </w:pPr>
            <w:r w:rsidRPr="000F7523">
              <w:rPr>
                <w:rFonts w:ascii="Times New Roman" w:hAnsi="Times New Roman" w:cs="Times New Roman"/>
                <w:sz w:val="21"/>
                <w:szCs w:val="21"/>
              </w:rPr>
              <w:t>Clinical assessment and rigid proctoscopy; colonoscopy. Cross-sectional imaging and endorectal ultrasound (EUS) used selectively when available; pelvic MRI not routinely performed in early years.</w:t>
            </w:r>
          </w:p>
        </w:tc>
        <w:tc>
          <w:tcPr>
            <w:tcW w:w="1728" w:type="dxa"/>
          </w:tcPr>
          <w:p w14:paraId="51C0AA11" w14:textId="77777777" w:rsidR="00465B35" w:rsidRPr="000F7523" w:rsidRDefault="00000000">
            <w:pPr>
              <w:rPr>
                <w:rFonts w:ascii="Times New Roman" w:hAnsi="Times New Roman" w:cs="Times New Roman"/>
                <w:sz w:val="21"/>
                <w:szCs w:val="21"/>
              </w:rPr>
            </w:pPr>
            <w:r w:rsidRPr="000F7523">
              <w:rPr>
                <w:rFonts w:ascii="Times New Roman" w:hAnsi="Times New Roman" w:cs="Times New Roman"/>
                <w:sz w:val="21"/>
                <w:szCs w:val="21"/>
              </w:rPr>
              <w:t>TEM introduced and used for selected rNETs and completion resections after endoscopic attempt.</w:t>
            </w:r>
          </w:p>
        </w:tc>
        <w:tc>
          <w:tcPr>
            <w:tcW w:w="1728" w:type="dxa"/>
          </w:tcPr>
          <w:p w14:paraId="67492ADC" w14:textId="77777777" w:rsidR="00465B35" w:rsidRPr="000F7523" w:rsidRDefault="00000000">
            <w:pPr>
              <w:rPr>
                <w:rFonts w:ascii="Times New Roman" w:hAnsi="Times New Roman" w:cs="Times New Roman"/>
                <w:sz w:val="21"/>
                <w:szCs w:val="21"/>
              </w:rPr>
            </w:pPr>
            <w:r w:rsidRPr="000F7523">
              <w:rPr>
                <w:rFonts w:ascii="Times New Roman" w:hAnsi="Times New Roman" w:cs="Times New Roman"/>
                <w:sz w:val="21"/>
                <w:szCs w:val="21"/>
              </w:rPr>
              <w:t>WHO grading terminology evolved over time; Ki-67 index not routinely reported in early years. Margin status reported; depth of invasion variably described in historical reports.</w:t>
            </w:r>
          </w:p>
        </w:tc>
        <w:tc>
          <w:tcPr>
            <w:tcW w:w="1728" w:type="dxa"/>
          </w:tcPr>
          <w:p w14:paraId="7CFE2E35" w14:textId="77777777" w:rsidR="00465B35" w:rsidRPr="000F7523" w:rsidRDefault="00000000">
            <w:pPr>
              <w:rPr>
                <w:rFonts w:ascii="Times New Roman" w:hAnsi="Times New Roman" w:cs="Times New Roman"/>
                <w:sz w:val="21"/>
                <w:szCs w:val="21"/>
              </w:rPr>
            </w:pPr>
            <w:r w:rsidRPr="000F7523">
              <w:rPr>
                <w:rFonts w:ascii="Times New Roman" w:hAnsi="Times New Roman" w:cs="Times New Roman"/>
                <w:sz w:val="21"/>
                <w:szCs w:val="21"/>
              </w:rPr>
              <w:t>Conventional EMR/ESD not widely available; endoscopic full-thickness resection (EFTR) not available.</w:t>
            </w:r>
          </w:p>
        </w:tc>
      </w:tr>
      <w:tr w:rsidR="00465B35" w:rsidRPr="000F7523" w14:paraId="6864AE3D" w14:textId="77777777">
        <w:tc>
          <w:tcPr>
            <w:tcW w:w="1728" w:type="dxa"/>
          </w:tcPr>
          <w:p w14:paraId="2A7E0B76" w14:textId="77777777" w:rsidR="00465B35" w:rsidRPr="000F7523" w:rsidRDefault="00000000">
            <w:pPr>
              <w:rPr>
                <w:rFonts w:ascii="Times New Roman" w:hAnsi="Times New Roman" w:cs="Times New Roman"/>
                <w:sz w:val="21"/>
                <w:szCs w:val="21"/>
              </w:rPr>
            </w:pPr>
            <w:r w:rsidRPr="000F7523">
              <w:rPr>
                <w:rFonts w:ascii="Times New Roman" w:hAnsi="Times New Roman" w:cs="Times New Roman"/>
                <w:sz w:val="21"/>
                <w:szCs w:val="21"/>
              </w:rPr>
              <w:t>2008–2025</w:t>
            </w:r>
          </w:p>
        </w:tc>
        <w:tc>
          <w:tcPr>
            <w:tcW w:w="1728" w:type="dxa"/>
          </w:tcPr>
          <w:p w14:paraId="408A6DDB" w14:textId="77777777" w:rsidR="00465B35" w:rsidRPr="000F7523" w:rsidRDefault="00000000">
            <w:pPr>
              <w:rPr>
                <w:rFonts w:ascii="Times New Roman" w:hAnsi="Times New Roman" w:cs="Times New Roman"/>
                <w:sz w:val="21"/>
                <w:szCs w:val="21"/>
              </w:rPr>
            </w:pPr>
            <w:r w:rsidRPr="000F7523">
              <w:rPr>
                <w:rFonts w:ascii="Times New Roman" w:hAnsi="Times New Roman" w:cs="Times New Roman"/>
                <w:sz w:val="21"/>
                <w:szCs w:val="21"/>
              </w:rPr>
              <w:t>Systematic staging with high-resolution pelvic MRI and/or EUS for lesions approaching or exceeding 10–20 mm, suspected deep invasion, or high-risk features; multidisciplinary discussion increasingly used for borderline cases.</w:t>
            </w:r>
          </w:p>
        </w:tc>
        <w:tc>
          <w:tcPr>
            <w:tcW w:w="1728" w:type="dxa"/>
          </w:tcPr>
          <w:p w14:paraId="19A5490C" w14:textId="77777777" w:rsidR="00465B35" w:rsidRPr="000F7523" w:rsidRDefault="00000000">
            <w:pPr>
              <w:rPr>
                <w:rFonts w:ascii="Times New Roman" w:hAnsi="Times New Roman" w:cs="Times New Roman"/>
                <w:sz w:val="21"/>
                <w:szCs w:val="21"/>
              </w:rPr>
            </w:pPr>
            <w:r w:rsidRPr="000F7523">
              <w:rPr>
                <w:rFonts w:ascii="Times New Roman" w:hAnsi="Times New Roman" w:cs="Times New Roman"/>
                <w:sz w:val="21"/>
                <w:szCs w:val="21"/>
              </w:rPr>
              <w:t>Transition from TEM to TEO (platform upgrade); full-thickness excision routinely aimed when transanal excision indicated.</w:t>
            </w:r>
          </w:p>
        </w:tc>
        <w:tc>
          <w:tcPr>
            <w:tcW w:w="1728" w:type="dxa"/>
          </w:tcPr>
          <w:p w14:paraId="74F006B5" w14:textId="77777777" w:rsidR="00465B35" w:rsidRPr="000F7523" w:rsidRDefault="00000000">
            <w:pPr>
              <w:rPr>
                <w:rFonts w:ascii="Times New Roman" w:hAnsi="Times New Roman" w:cs="Times New Roman"/>
                <w:sz w:val="21"/>
                <w:szCs w:val="21"/>
              </w:rPr>
            </w:pPr>
            <w:r w:rsidRPr="000F7523">
              <w:rPr>
                <w:rFonts w:ascii="Times New Roman" w:hAnsi="Times New Roman" w:cs="Times New Roman"/>
                <w:sz w:val="21"/>
                <w:szCs w:val="21"/>
              </w:rPr>
              <w:t>Contemporary WHO grading (G1/G2) and Ki-67-based assessment routinely reported; depth of invasion and LVI more consistently documented; margin status reported with emphasis on deep margin in full-thickness specimens.</w:t>
            </w:r>
          </w:p>
        </w:tc>
        <w:tc>
          <w:tcPr>
            <w:tcW w:w="1728" w:type="dxa"/>
          </w:tcPr>
          <w:p w14:paraId="373E342F" w14:textId="77777777" w:rsidR="00465B35" w:rsidRPr="000F7523" w:rsidRDefault="00000000">
            <w:pPr>
              <w:rPr>
                <w:rFonts w:ascii="Times New Roman" w:hAnsi="Times New Roman" w:cs="Times New Roman"/>
                <w:sz w:val="21"/>
                <w:szCs w:val="21"/>
              </w:rPr>
            </w:pPr>
            <w:r w:rsidRPr="000F7523">
              <w:rPr>
                <w:rFonts w:ascii="Times New Roman" w:hAnsi="Times New Roman" w:cs="Times New Roman"/>
                <w:sz w:val="21"/>
                <w:szCs w:val="21"/>
              </w:rPr>
              <w:t>ESD/EFTR and advanced endoscopic techniques became available, informing a platform-integrated treatment strategy (endoscopy vs transanal excision) based on risk profile and local expertise.</w:t>
            </w:r>
          </w:p>
        </w:tc>
      </w:tr>
    </w:tbl>
    <w:p w14:paraId="797D38B7" w14:textId="77777777" w:rsidR="00A92C1F" w:rsidRPr="000F7523" w:rsidRDefault="00A92C1F" w:rsidP="000F7523">
      <w:pPr>
        <w:rPr>
          <w:sz w:val="21"/>
          <w:szCs w:val="21"/>
        </w:rPr>
      </w:pPr>
    </w:p>
    <w:sectPr w:rsidR="00A92C1F" w:rsidRPr="000F7523"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2114206722">
    <w:abstractNumId w:val="8"/>
  </w:num>
  <w:num w:numId="2" w16cid:durableId="581765721">
    <w:abstractNumId w:val="6"/>
  </w:num>
  <w:num w:numId="3" w16cid:durableId="1166163052">
    <w:abstractNumId w:val="5"/>
  </w:num>
  <w:num w:numId="4" w16cid:durableId="1417093295">
    <w:abstractNumId w:val="4"/>
  </w:num>
  <w:num w:numId="5" w16cid:durableId="1751998989">
    <w:abstractNumId w:val="7"/>
  </w:num>
  <w:num w:numId="6" w16cid:durableId="203103548">
    <w:abstractNumId w:val="3"/>
  </w:num>
  <w:num w:numId="7" w16cid:durableId="145052861">
    <w:abstractNumId w:val="2"/>
  </w:num>
  <w:num w:numId="8" w16cid:durableId="684524035">
    <w:abstractNumId w:val="1"/>
  </w:num>
  <w:num w:numId="9" w16cid:durableId="9841631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720"/>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52C4"/>
    <w:rsid w:val="000F7523"/>
    <w:rsid w:val="0015074B"/>
    <w:rsid w:val="0029639D"/>
    <w:rsid w:val="00311656"/>
    <w:rsid w:val="00326F90"/>
    <w:rsid w:val="00465B35"/>
    <w:rsid w:val="00A92C1F"/>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532CD6"/>
  <w14:defaultImageDpi w14:val="300"/>
  <w15:docId w15:val="{1A19844D-91F2-564C-9C46-2D4FA667C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275</Words>
  <Characters>1570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MICHELE BARBIERO</cp:lastModifiedBy>
  <cp:revision>3</cp:revision>
  <dcterms:created xsi:type="dcterms:W3CDTF">2013-12-23T23:15:00Z</dcterms:created>
  <dcterms:modified xsi:type="dcterms:W3CDTF">2026-03-02T17:31:00Z</dcterms:modified>
  <cp:category/>
</cp:coreProperties>
</file>