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F02FB" w14:textId="21BB015E" w:rsidR="00D82733" w:rsidRDefault="00D82733" w:rsidP="00D82733">
      <w:pPr>
        <w:pStyle w:val="Paragraph"/>
        <w:ind w:firstLine="0"/>
        <w:rPr>
          <w:b/>
        </w:rPr>
      </w:pPr>
      <w:r w:rsidRPr="00175CBB">
        <w:rPr>
          <w:b/>
        </w:rPr>
        <w:t xml:space="preserve">Supplementary </w:t>
      </w:r>
      <w:r w:rsidR="00DB1EFC">
        <w:rPr>
          <w:b/>
        </w:rPr>
        <w:t>Figure</w:t>
      </w:r>
      <w:r w:rsidRPr="00175CBB">
        <w:rPr>
          <w:b/>
        </w:rPr>
        <w:t>s</w:t>
      </w:r>
    </w:p>
    <w:p w14:paraId="42E68470" w14:textId="4E8539E5" w:rsidR="00506A6B" w:rsidRDefault="008A5162" w:rsidP="00430B17">
      <w:pPr>
        <w:pStyle w:val="Paragraph"/>
        <w:ind w:firstLine="0"/>
        <w:rPr>
          <w:b/>
        </w:rPr>
      </w:pPr>
      <w:r>
        <w:rPr>
          <w:b/>
          <w:noProof/>
        </w:rPr>
        <w:drawing>
          <wp:inline distT="0" distB="0" distL="0" distR="0" wp14:anchorId="680AF742" wp14:editId="3D1D399E">
            <wp:extent cx="5274310" cy="627253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7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B076B" w14:textId="3F7BE0CE" w:rsidR="00430B17" w:rsidRPr="001E1B42" w:rsidRDefault="00430B17" w:rsidP="0027530C">
      <w:pPr>
        <w:spacing w:line="480" w:lineRule="auto"/>
        <w:jc w:val="both"/>
        <w:rPr>
          <w:b/>
          <w:bCs/>
          <w:sz w:val="24"/>
          <w:szCs w:val="24"/>
        </w:rPr>
      </w:pPr>
      <w:r w:rsidRPr="001E1B42">
        <w:rPr>
          <w:b/>
          <w:bCs/>
          <w:sz w:val="24"/>
          <w:szCs w:val="24"/>
        </w:rPr>
        <w:t>Fig</w:t>
      </w:r>
      <w:r>
        <w:rPr>
          <w:b/>
          <w:bCs/>
          <w:sz w:val="24"/>
          <w:szCs w:val="24"/>
          <w:lang w:eastAsia="zh-CN"/>
        </w:rPr>
        <w:t>.</w:t>
      </w:r>
      <w:r w:rsidR="00D82733">
        <w:rPr>
          <w:b/>
          <w:bCs/>
          <w:sz w:val="24"/>
          <w:szCs w:val="24"/>
          <w:lang w:eastAsia="zh-CN"/>
        </w:rPr>
        <w:t xml:space="preserve"> </w:t>
      </w:r>
      <w:r w:rsidRPr="001E1B42">
        <w:rPr>
          <w:b/>
          <w:bCs/>
          <w:sz w:val="24"/>
          <w:szCs w:val="24"/>
        </w:rPr>
        <w:t>S1 Ch</w:t>
      </w:r>
      <w:r w:rsidRPr="001E1B42">
        <w:rPr>
          <w:b/>
          <w:bCs/>
          <w:sz w:val="24"/>
          <w:szCs w:val="24"/>
          <w:lang w:eastAsia="zh-CN"/>
        </w:rPr>
        <w:t>k</w:t>
      </w:r>
      <w:r w:rsidRPr="001E1B42">
        <w:rPr>
          <w:b/>
          <w:bCs/>
          <w:sz w:val="24"/>
          <w:szCs w:val="24"/>
        </w:rPr>
        <w:t xml:space="preserve">1 inhibition reverses CIP2A overexpression and tau hyperphosphorylation caused by </w:t>
      </w:r>
      <w:bookmarkStart w:id="0" w:name="_Hlk72068060"/>
      <w:r w:rsidRPr="001E1B42">
        <w:rPr>
          <w:b/>
          <w:bCs/>
          <w:sz w:val="24"/>
          <w:szCs w:val="24"/>
        </w:rPr>
        <w:t>H</w:t>
      </w:r>
      <w:r w:rsidRPr="001E1B42">
        <w:rPr>
          <w:b/>
          <w:bCs/>
          <w:sz w:val="24"/>
          <w:szCs w:val="24"/>
          <w:vertAlign w:val="subscript"/>
        </w:rPr>
        <w:t>2</w:t>
      </w:r>
      <w:r w:rsidRPr="001E1B42">
        <w:rPr>
          <w:b/>
          <w:bCs/>
          <w:sz w:val="24"/>
          <w:szCs w:val="24"/>
        </w:rPr>
        <w:t>O</w:t>
      </w:r>
      <w:r w:rsidRPr="001E1B42">
        <w:rPr>
          <w:b/>
          <w:bCs/>
          <w:sz w:val="24"/>
          <w:szCs w:val="24"/>
          <w:vertAlign w:val="subscript"/>
        </w:rPr>
        <w:t>2</w:t>
      </w:r>
      <w:bookmarkEnd w:id="0"/>
      <w:r w:rsidRPr="001E1B42">
        <w:rPr>
          <w:b/>
          <w:bCs/>
          <w:sz w:val="24"/>
          <w:szCs w:val="24"/>
        </w:rPr>
        <w:t xml:space="preserve"> in primary neurons</w:t>
      </w:r>
    </w:p>
    <w:p w14:paraId="0AD83CB6" w14:textId="1F7E616A" w:rsidR="00430B17" w:rsidRPr="001E1B42" w:rsidRDefault="00430B17" w:rsidP="0027530C">
      <w:pPr>
        <w:spacing w:line="480" w:lineRule="auto"/>
        <w:jc w:val="both"/>
        <w:rPr>
          <w:b/>
          <w:bCs/>
          <w:color w:val="000000"/>
          <w:sz w:val="24"/>
          <w:szCs w:val="24"/>
        </w:rPr>
      </w:pPr>
      <w:r w:rsidRPr="001E1B42">
        <w:rPr>
          <w:color w:val="000000"/>
          <w:sz w:val="24"/>
          <w:szCs w:val="24"/>
        </w:rPr>
        <w:t>(</w:t>
      </w:r>
      <w:r w:rsidR="00F01C8B">
        <w:rPr>
          <w:rFonts w:hint="eastAsia"/>
          <w:color w:val="000000"/>
          <w:sz w:val="24"/>
          <w:szCs w:val="24"/>
          <w:lang w:eastAsia="zh-CN"/>
        </w:rPr>
        <w:t>a-g</w:t>
      </w:r>
      <w:r w:rsidRPr="001E1B42">
        <w:rPr>
          <w:color w:val="000000"/>
          <w:sz w:val="24"/>
          <w:szCs w:val="24"/>
        </w:rPr>
        <w:t>)</w:t>
      </w:r>
      <w:r w:rsidRPr="001E1B42">
        <w:rPr>
          <w:b/>
          <w:bCs/>
          <w:color w:val="000000"/>
          <w:sz w:val="24"/>
          <w:szCs w:val="24"/>
        </w:rPr>
        <w:t xml:space="preserve"> </w:t>
      </w:r>
      <w:r w:rsidRPr="001E1B42">
        <w:rPr>
          <w:sz w:val="24"/>
          <w:szCs w:val="24"/>
        </w:rPr>
        <w:t xml:space="preserve">Primary neurons were </w:t>
      </w:r>
      <w:r w:rsidR="00DB1EFC">
        <w:rPr>
          <w:sz w:val="24"/>
          <w:szCs w:val="24"/>
        </w:rPr>
        <w:t>treat</w:t>
      </w:r>
      <w:r w:rsidRPr="001E1B42">
        <w:rPr>
          <w:sz w:val="24"/>
          <w:szCs w:val="24"/>
        </w:rPr>
        <w:t>ed with 200 µM H</w:t>
      </w:r>
      <w:r w:rsidRPr="001E1B42">
        <w:rPr>
          <w:sz w:val="24"/>
          <w:szCs w:val="24"/>
          <w:vertAlign w:val="subscript"/>
        </w:rPr>
        <w:t>2</w:t>
      </w:r>
      <w:r w:rsidRPr="001E1B42">
        <w:rPr>
          <w:sz w:val="24"/>
          <w:szCs w:val="24"/>
        </w:rPr>
        <w:t>O</w:t>
      </w:r>
      <w:r w:rsidRPr="001E1B42">
        <w:rPr>
          <w:sz w:val="24"/>
          <w:szCs w:val="24"/>
          <w:vertAlign w:val="subscript"/>
        </w:rPr>
        <w:t>2</w:t>
      </w:r>
      <w:r w:rsidRPr="001E1B42">
        <w:rPr>
          <w:sz w:val="24"/>
          <w:szCs w:val="24"/>
        </w:rPr>
        <w:t xml:space="preserve"> for 2 hours, with or without pre-incubation of ChK1 inhibitor SB218078 (1 </w:t>
      </w:r>
      <w:proofErr w:type="spellStart"/>
      <w:r w:rsidRPr="001E1B42">
        <w:rPr>
          <w:sz w:val="24"/>
          <w:szCs w:val="24"/>
        </w:rPr>
        <w:t>μM</w:t>
      </w:r>
      <w:proofErr w:type="spellEnd"/>
      <w:r w:rsidRPr="001E1B42">
        <w:rPr>
          <w:sz w:val="24"/>
          <w:szCs w:val="24"/>
        </w:rPr>
        <w:t xml:space="preserve">) or PF477736 (1 </w:t>
      </w:r>
      <w:proofErr w:type="spellStart"/>
      <w:r w:rsidRPr="001E1B42">
        <w:rPr>
          <w:sz w:val="24"/>
          <w:szCs w:val="24"/>
        </w:rPr>
        <w:t>μM</w:t>
      </w:r>
      <w:proofErr w:type="spellEnd"/>
      <w:r w:rsidRPr="001E1B42">
        <w:rPr>
          <w:sz w:val="24"/>
          <w:szCs w:val="24"/>
        </w:rPr>
        <w:t>) for 48 hours.</w:t>
      </w:r>
    </w:p>
    <w:p w14:paraId="249DC55F" w14:textId="7D7ECF87" w:rsidR="00430B17" w:rsidRPr="001E1B42" w:rsidRDefault="00430B17" w:rsidP="0027530C">
      <w:pPr>
        <w:spacing w:line="480" w:lineRule="auto"/>
        <w:jc w:val="both"/>
        <w:rPr>
          <w:b/>
          <w:bCs/>
          <w:color w:val="000000"/>
          <w:sz w:val="24"/>
          <w:szCs w:val="24"/>
        </w:rPr>
      </w:pPr>
      <w:r w:rsidRPr="001E1B42">
        <w:rPr>
          <w:color w:val="000000"/>
          <w:sz w:val="24"/>
          <w:szCs w:val="24"/>
        </w:rPr>
        <w:lastRenderedPageBreak/>
        <w:t>(</w:t>
      </w:r>
      <w:r w:rsidR="00F01C8B">
        <w:rPr>
          <w:color w:val="000000"/>
          <w:sz w:val="24"/>
          <w:szCs w:val="24"/>
        </w:rPr>
        <w:t>a</w:t>
      </w:r>
      <w:r w:rsidRPr="001E1B42">
        <w:rPr>
          <w:color w:val="000000"/>
          <w:sz w:val="24"/>
          <w:szCs w:val="24"/>
        </w:rPr>
        <w:t>) Representative immunoblots of γH2A.X, Chk1-S345, Chk1, CIP2A, Tau-S396, Tau-S404, Tau-5 and β-actin.</w:t>
      </w:r>
    </w:p>
    <w:p w14:paraId="53A995C7" w14:textId="3558D978" w:rsidR="00430B17" w:rsidRPr="001E1B42" w:rsidRDefault="00430B17" w:rsidP="0027530C">
      <w:pPr>
        <w:spacing w:line="480" w:lineRule="auto"/>
        <w:jc w:val="both"/>
        <w:rPr>
          <w:color w:val="000000"/>
          <w:sz w:val="24"/>
          <w:szCs w:val="24"/>
        </w:rPr>
      </w:pPr>
      <w:r w:rsidRPr="001E1B42">
        <w:rPr>
          <w:color w:val="000000"/>
          <w:sz w:val="24"/>
          <w:szCs w:val="24"/>
        </w:rPr>
        <w:t>(</w:t>
      </w:r>
      <w:r w:rsidR="00F01C8B">
        <w:rPr>
          <w:color w:val="000000"/>
          <w:sz w:val="24"/>
          <w:szCs w:val="24"/>
        </w:rPr>
        <w:t>b-e</w:t>
      </w:r>
      <w:r w:rsidRPr="001E1B42">
        <w:rPr>
          <w:color w:val="000000"/>
          <w:sz w:val="24"/>
          <w:szCs w:val="24"/>
        </w:rPr>
        <w:t>) The quantitative analysis of the protein levels of Chk1-S345, CIP2A, Tau-S396 and Tau-S404 in (</w:t>
      </w:r>
      <w:r w:rsidR="00F01C8B">
        <w:rPr>
          <w:color w:val="000000"/>
          <w:sz w:val="24"/>
          <w:szCs w:val="24"/>
        </w:rPr>
        <w:t>a</w:t>
      </w:r>
      <w:r w:rsidRPr="001E1B42">
        <w:rPr>
          <w:color w:val="000000"/>
          <w:sz w:val="24"/>
          <w:szCs w:val="24"/>
        </w:rPr>
        <w:t>).</w:t>
      </w:r>
    </w:p>
    <w:p w14:paraId="2BE3E7B2" w14:textId="3E308F0C" w:rsidR="00430B17" w:rsidRPr="001E1B42" w:rsidRDefault="00430B17" w:rsidP="0027530C">
      <w:pPr>
        <w:spacing w:line="480" w:lineRule="auto"/>
        <w:jc w:val="both"/>
        <w:rPr>
          <w:sz w:val="24"/>
          <w:szCs w:val="24"/>
        </w:rPr>
      </w:pPr>
      <w:r w:rsidRPr="001E1B42">
        <w:rPr>
          <w:color w:val="000000"/>
          <w:sz w:val="24"/>
          <w:szCs w:val="24"/>
        </w:rPr>
        <w:t>(</w:t>
      </w:r>
      <w:r w:rsidR="00F01C8B">
        <w:rPr>
          <w:color w:val="000000"/>
          <w:sz w:val="24"/>
          <w:szCs w:val="24"/>
        </w:rPr>
        <w:t>f</w:t>
      </w:r>
      <w:r w:rsidRPr="001E1B42">
        <w:rPr>
          <w:color w:val="000000"/>
          <w:sz w:val="24"/>
          <w:szCs w:val="24"/>
        </w:rPr>
        <w:t xml:space="preserve">) </w:t>
      </w:r>
      <w:r w:rsidRPr="001E1B42">
        <w:rPr>
          <w:sz w:val="24"/>
          <w:szCs w:val="24"/>
        </w:rPr>
        <w:t>Correlation analysis of Chk1-S345 and CIP2A in (</w:t>
      </w:r>
      <w:r w:rsidR="00F01C8B">
        <w:rPr>
          <w:sz w:val="24"/>
          <w:szCs w:val="24"/>
        </w:rPr>
        <w:t>a</w:t>
      </w:r>
      <w:r w:rsidRPr="001E1B42">
        <w:rPr>
          <w:sz w:val="24"/>
          <w:szCs w:val="24"/>
        </w:rPr>
        <w:t>)</w:t>
      </w:r>
    </w:p>
    <w:p w14:paraId="613C6523" w14:textId="7CAF54D3" w:rsidR="00430B17" w:rsidRPr="001E1B42" w:rsidRDefault="00430B17" w:rsidP="0027530C">
      <w:pPr>
        <w:spacing w:line="480" w:lineRule="auto"/>
        <w:jc w:val="both"/>
        <w:rPr>
          <w:color w:val="000000"/>
          <w:sz w:val="24"/>
          <w:szCs w:val="24"/>
        </w:rPr>
      </w:pPr>
      <w:r w:rsidRPr="001E1B42">
        <w:rPr>
          <w:sz w:val="24"/>
          <w:szCs w:val="24"/>
        </w:rPr>
        <w:t>(</w:t>
      </w:r>
      <w:r w:rsidR="00F01C8B">
        <w:rPr>
          <w:sz w:val="24"/>
          <w:szCs w:val="24"/>
        </w:rPr>
        <w:t>g</w:t>
      </w:r>
      <w:r w:rsidRPr="001E1B42">
        <w:rPr>
          <w:sz w:val="24"/>
          <w:szCs w:val="24"/>
        </w:rPr>
        <w:t>) Correlation analysis of Chk1-S345 and γH2A.X in (</w:t>
      </w:r>
      <w:r w:rsidR="00F01C8B">
        <w:rPr>
          <w:sz w:val="24"/>
          <w:szCs w:val="24"/>
        </w:rPr>
        <w:t>a</w:t>
      </w:r>
      <w:r w:rsidRPr="001E1B42">
        <w:rPr>
          <w:sz w:val="24"/>
          <w:szCs w:val="24"/>
        </w:rPr>
        <w:t>).</w:t>
      </w:r>
    </w:p>
    <w:p w14:paraId="6500E8DF" w14:textId="2A49634E" w:rsidR="00430B17" w:rsidRDefault="00430B17" w:rsidP="0027530C">
      <w:pPr>
        <w:spacing w:line="480" w:lineRule="auto"/>
        <w:jc w:val="both"/>
        <w:rPr>
          <w:color w:val="000000"/>
          <w:sz w:val="24"/>
          <w:szCs w:val="24"/>
        </w:rPr>
      </w:pPr>
      <w:r w:rsidRPr="001E1B42">
        <w:rPr>
          <w:color w:val="000000"/>
          <w:sz w:val="24"/>
          <w:szCs w:val="24"/>
        </w:rPr>
        <w:t>(</w:t>
      </w:r>
      <w:r w:rsidR="00F01C8B">
        <w:rPr>
          <w:color w:val="000000"/>
          <w:sz w:val="24"/>
          <w:szCs w:val="24"/>
        </w:rPr>
        <w:t>h</w:t>
      </w:r>
      <w:r w:rsidRPr="001E1B42">
        <w:rPr>
          <w:color w:val="000000"/>
          <w:sz w:val="24"/>
          <w:szCs w:val="24"/>
        </w:rPr>
        <w:t>) PP2A activity assay. All data represent mean ± SEM, n=3, *</w:t>
      </w:r>
      <w:r w:rsidRPr="001E1B42">
        <w:rPr>
          <w:i/>
          <w:iCs/>
          <w:color w:val="000000"/>
          <w:sz w:val="24"/>
          <w:szCs w:val="24"/>
        </w:rPr>
        <w:t>P</w:t>
      </w:r>
      <w:r w:rsidRPr="001E1B42">
        <w:rPr>
          <w:color w:val="000000"/>
          <w:sz w:val="24"/>
          <w:szCs w:val="24"/>
        </w:rPr>
        <w:t xml:space="preserve"> &lt;0.05, **</w:t>
      </w:r>
      <w:r w:rsidRPr="001E1B42">
        <w:rPr>
          <w:i/>
          <w:iCs/>
          <w:color w:val="000000"/>
          <w:sz w:val="24"/>
          <w:szCs w:val="24"/>
        </w:rPr>
        <w:t>P</w:t>
      </w:r>
      <w:r w:rsidRPr="001E1B42">
        <w:rPr>
          <w:color w:val="000000"/>
          <w:sz w:val="24"/>
          <w:szCs w:val="24"/>
        </w:rPr>
        <w:t xml:space="preserve"> &lt; 0.01, </w:t>
      </w:r>
      <w:r w:rsidRPr="001E1B42">
        <w:rPr>
          <w:sz w:val="24"/>
          <w:szCs w:val="24"/>
        </w:rPr>
        <w:t>***</w:t>
      </w:r>
      <w:r w:rsidRPr="001E1B42">
        <w:rPr>
          <w:i/>
          <w:iCs/>
          <w:sz w:val="24"/>
          <w:szCs w:val="24"/>
        </w:rPr>
        <w:t>P</w:t>
      </w:r>
      <w:r w:rsidRPr="001E1B42">
        <w:rPr>
          <w:sz w:val="24"/>
          <w:szCs w:val="24"/>
        </w:rPr>
        <w:t>＜</w:t>
      </w:r>
      <w:r w:rsidRPr="001E1B42">
        <w:rPr>
          <w:sz w:val="24"/>
          <w:szCs w:val="24"/>
        </w:rPr>
        <w:t>0.001, ****</w:t>
      </w:r>
      <w:r w:rsidRPr="001E1B42">
        <w:rPr>
          <w:i/>
          <w:iCs/>
          <w:sz w:val="24"/>
          <w:szCs w:val="24"/>
        </w:rPr>
        <w:t>P</w:t>
      </w:r>
      <w:r w:rsidRPr="001E1B42">
        <w:rPr>
          <w:sz w:val="24"/>
          <w:szCs w:val="24"/>
        </w:rPr>
        <w:t>＜</w:t>
      </w:r>
      <w:r w:rsidRPr="001E1B42">
        <w:rPr>
          <w:sz w:val="24"/>
          <w:szCs w:val="24"/>
        </w:rPr>
        <w:t>0.0001</w:t>
      </w:r>
      <w:r w:rsidR="00DB1EFC">
        <w:rPr>
          <w:color w:val="000000"/>
          <w:sz w:val="24"/>
          <w:szCs w:val="24"/>
        </w:rPr>
        <w:t>, comparison between the indicated two groups.</w:t>
      </w:r>
    </w:p>
    <w:p w14:paraId="08EA2B61" w14:textId="37034F19" w:rsidR="00B159A6" w:rsidRDefault="00B159A6" w:rsidP="0027530C">
      <w:pPr>
        <w:spacing w:line="480" w:lineRule="auto"/>
        <w:jc w:val="both"/>
        <w:rPr>
          <w:b/>
          <w:bCs/>
          <w:sz w:val="24"/>
          <w:szCs w:val="24"/>
        </w:rPr>
      </w:pPr>
    </w:p>
    <w:p w14:paraId="174D1035" w14:textId="25384169" w:rsidR="00430B17" w:rsidRDefault="00430B17" w:rsidP="0027530C">
      <w:pPr>
        <w:spacing w:line="480" w:lineRule="auto"/>
        <w:jc w:val="both"/>
        <w:rPr>
          <w:b/>
          <w:bCs/>
          <w:color w:val="000000"/>
          <w:sz w:val="24"/>
          <w:szCs w:val="24"/>
        </w:rPr>
      </w:pPr>
      <w:r w:rsidRPr="001E1B42">
        <w:rPr>
          <w:b/>
          <w:bCs/>
          <w:color w:val="000000"/>
          <w:sz w:val="24"/>
          <w:szCs w:val="24"/>
        </w:rPr>
        <w:t>Fi</w:t>
      </w:r>
      <w:r>
        <w:rPr>
          <w:b/>
          <w:bCs/>
          <w:color w:val="000000"/>
          <w:sz w:val="24"/>
          <w:szCs w:val="24"/>
        </w:rPr>
        <w:t xml:space="preserve">g. </w:t>
      </w:r>
      <w:r w:rsidRPr="001E1B42">
        <w:rPr>
          <w:b/>
          <w:bCs/>
          <w:color w:val="000000"/>
          <w:sz w:val="24"/>
          <w:szCs w:val="24"/>
        </w:rPr>
        <w:t>S2 Chk1 inhibitor (GDC-0575) reduces tau phosphorylation and APP levels in cortex of APP/PS1 mice.</w:t>
      </w:r>
    </w:p>
    <w:p w14:paraId="7A3218E8" w14:textId="05DC1CC3" w:rsidR="008A5162" w:rsidRPr="001E1B42" w:rsidRDefault="008A5162" w:rsidP="0027530C">
      <w:pPr>
        <w:spacing w:line="48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noProof/>
          <w:color w:val="000000"/>
          <w:sz w:val="24"/>
          <w:szCs w:val="24"/>
        </w:rPr>
        <w:drawing>
          <wp:inline distT="0" distB="0" distL="0" distR="0" wp14:anchorId="6D3E41AC" wp14:editId="43DCBA19">
            <wp:extent cx="5275580" cy="3769995"/>
            <wp:effectExtent l="0" t="0" r="127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7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385D1" w14:textId="0447FC9F" w:rsidR="00430B17" w:rsidRPr="001E1B42" w:rsidRDefault="00430B17" w:rsidP="0027530C">
      <w:pPr>
        <w:spacing w:line="480" w:lineRule="auto"/>
        <w:jc w:val="both"/>
        <w:rPr>
          <w:color w:val="000000"/>
          <w:sz w:val="24"/>
          <w:szCs w:val="24"/>
        </w:rPr>
      </w:pPr>
      <w:r w:rsidRPr="001E1B42">
        <w:rPr>
          <w:color w:val="000000"/>
          <w:sz w:val="24"/>
          <w:szCs w:val="24"/>
        </w:rPr>
        <w:lastRenderedPageBreak/>
        <w:t>(</w:t>
      </w:r>
      <w:r w:rsidR="00000845">
        <w:rPr>
          <w:color w:val="000000"/>
          <w:sz w:val="24"/>
          <w:szCs w:val="24"/>
        </w:rPr>
        <w:t>a</w:t>
      </w:r>
      <w:r w:rsidRPr="001E1B42">
        <w:rPr>
          <w:color w:val="000000"/>
          <w:sz w:val="24"/>
          <w:szCs w:val="24"/>
        </w:rPr>
        <w:t>) Representative immunoblots of γH2A.X,</w:t>
      </w:r>
      <w:r w:rsidR="008A5162">
        <w:rPr>
          <w:color w:val="000000"/>
          <w:sz w:val="24"/>
          <w:szCs w:val="24"/>
        </w:rPr>
        <w:t xml:space="preserve"> 53BP1,</w:t>
      </w:r>
      <w:r w:rsidRPr="001E1B42">
        <w:rPr>
          <w:color w:val="000000"/>
          <w:sz w:val="24"/>
          <w:szCs w:val="24"/>
        </w:rPr>
        <w:t xml:space="preserve"> CIP2A, Tau-T231, Tau-S262, Tau-5, APP and β-actin in cortex of the mice.</w:t>
      </w:r>
    </w:p>
    <w:p w14:paraId="2E4DAD80" w14:textId="7FCE9CFD" w:rsidR="00DB1EFC" w:rsidRDefault="00430B17" w:rsidP="00DB1EFC">
      <w:pPr>
        <w:spacing w:line="480" w:lineRule="auto"/>
        <w:jc w:val="both"/>
        <w:rPr>
          <w:color w:val="000000"/>
          <w:sz w:val="24"/>
          <w:szCs w:val="24"/>
        </w:rPr>
      </w:pPr>
      <w:r w:rsidRPr="001E1B42">
        <w:rPr>
          <w:color w:val="000000"/>
          <w:sz w:val="24"/>
          <w:szCs w:val="24"/>
        </w:rPr>
        <w:t>(</w:t>
      </w:r>
      <w:r w:rsidR="00000845">
        <w:rPr>
          <w:color w:val="000000"/>
          <w:sz w:val="24"/>
          <w:szCs w:val="24"/>
        </w:rPr>
        <w:t>b</w:t>
      </w:r>
      <w:r w:rsidRPr="001E1B42">
        <w:rPr>
          <w:color w:val="000000"/>
          <w:sz w:val="24"/>
          <w:szCs w:val="24"/>
        </w:rPr>
        <w:t>) The quantitative analysis of the protein level of γH2A.X</w:t>
      </w:r>
      <w:r w:rsidR="008F0A13">
        <w:rPr>
          <w:color w:val="000000"/>
          <w:sz w:val="24"/>
          <w:szCs w:val="24"/>
        </w:rPr>
        <w:t>, 53BP1,</w:t>
      </w:r>
      <w:r w:rsidR="008F0A13" w:rsidRPr="008F0A13">
        <w:rPr>
          <w:color w:val="000000"/>
          <w:sz w:val="24"/>
          <w:szCs w:val="24"/>
        </w:rPr>
        <w:t xml:space="preserve"> </w:t>
      </w:r>
      <w:r w:rsidR="008F0A13" w:rsidRPr="001E1B42">
        <w:rPr>
          <w:color w:val="000000"/>
          <w:sz w:val="24"/>
          <w:szCs w:val="24"/>
        </w:rPr>
        <w:t>CIP2A, Tau-T231, Tau-S262</w:t>
      </w:r>
      <w:r w:rsidR="008F0A13">
        <w:rPr>
          <w:color w:val="000000"/>
          <w:sz w:val="24"/>
          <w:szCs w:val="24"/>
        </w:rPr>
        <w:t xml:space="preserve"> and</w:t>
      </w:r>
      <w:r w:rsidR="008F0A13" w:rsidRPr="001E1B42">
        <w:rPr>
          <w:color w:val="000000"/>
          <w:sz w:val="24"/>
          <w:szCs w:val="24"/>
        </w:rPr>
        <w:t xml:space="preserve"> APP</w:t>
      </w:r>
      <w:r w:rsidR="008F0A13">
        <w:rPr>
          <w:color w:val="000000"/>
          <w:sz w:val="24"/>
          <w:szCs w:val="24"/>
        </w:rPr>
        <w:t xml:space="preserve"> </w:t>
      </w:r>
      <w:r w:rsidRPr="001E1B42">
        <w:rPr>
          <w:color w:val="000000"/>
          <w:sz w:val="24"/>
          <w:szCs w:val="24"/>
        </w:rPr>
        <w:t>in (</w:t>
      </w:r>
      <w:r w:rsidR="00000845">
        <w:rPr>
          <w:color w:val="000000"/>
          <w:sz w:val="24"/>
          <w:szCs w:val="24"/>
        </w:rPr>
        <w:t>a</w:t>
      </w:r>
      <w:r w:rsidRPr="001E1B42">
        <w:rPr>
          <w:color w:val="000000"/>
          <w:sz w:val="24"/>
          <w:szCs w:val="24"/>
        </w:rPr>
        <w:t>).</w:t>
      </w:r>
      <w:r w:rsidR="00D94E84">
        <w:rPr>
          <w:rFonts w:hint="eastAsia"/>
          <w:color w:val="000000"/>
          <w:sz w:val="24"/>
          <w:szCs w:val="24"/>
          <w:lang w:eastAsia="zh-CN"/>
        </w:rPr>
        <w:t xml:space="preserve"> </w:t>
      </w:r>
      <w:r w:rsidRPr="001E1B42">
        <w:rPr>
          <w:color w:val="000000"/>
          <w:sz w:val="24"/>
          <w:szCs w:val="24"/>
        </w:rPr>
        <w:t xml:space="preserve">All data represent mean ± SEM, </w:t>
      </w:r>
      <w:r w:rsidR="00B83B66">
        <w:rPr>
          <w:color w:val="000000"/>
          <w:sz w:val="24"/>
          <w:szCs w:val="24"/>
        </w:rPr>
        <w:t>n=3 per group</w:t>
      </w:r>
      <w:r w:rsidRPr="001E1B42">
        <w:rPr>
          <w:color w:val="000000"/>
          <w:sz w:val="24"/>
          <w:szCs w:val="24"/>
        </w:rPr>
        <w:t xml:space="preserve">, </w:t>
      </w:r>
      <w:r w:rsidR="00733DB9" w:rsidRPr="001E1B42">
        <w:rPr>
          <w:color w:val="000000"/>
          <w:sz w:val="24"/>
          <w:szCs w:val="24"/>
        </w:rPr>
        <w:t>*</w:t>
      </w:r>
      <w:r w:rsidR="00733DB9" w:rsidRPr="001E1B42">
        <w:rPr>
          <w:i/>
          <w:iCs/>
          <w:color w:val="000000"/>
          <w:sz w:val="24"/>
          <w:szCs w:val="24"/>
        </w:rPr>
        <w:t>P</w:t>
      </w:r>
      <w:r w:rsidR="00733DB9" w:rsidRPr="001E1B42">
        <w:rPr>
          <w:color w:val="000000"/>
          <w:sz w:val="24"/>
          <w:szCs w:val="24"/>
        </w:rPr>
        <w:t xml:space="preserve"> &lt;0.05, **</w:t>
      </w:r>
      <w:r w:rsidR="00733DB9" w:rsidRPr="001E1B42">
        <w:rPr>
          <w:i/>
          <w:iCs/>
          <w:color w:val="000000"/>
          <w:sz w:val="24"/>
          <w:szCs w:val="24"/>
        </w:rPr>
        <w:t>P</w:t>
      </w:r>
      <w:r w:rsidR="00733DB9" w:rsidRPr="001E1B42">
        <w:rPr>
          <w:color w:val="000000"/>
          <w:sz w:val="24"/>
          <w:szCs w:val="24"/>
        </w:rPr>
        <w:t xml:space="preserve"> &lt; 0.01, </w:t>
      </w:r>
      <w:r w:rsidR="00733DB9" w:rsidRPr="001E1B42">
        <w:rPr>
          <w:sz w:val="24"/>
          <w:szCs w:val="24"/>
        </w:rPr>
        <w:t>***</w:t>
      </w:r>
      <w:r w:rsidR="00733DB9" w:rsidRPr="001E1B42">
        <w:rPr>
          <w:i/>
          <w:iCs/>
          <w:sz w:val="24"/>
          <w:szCs w:val="24"/>
        </w:rPr>
        <w:t>P</w:t>
      </w:r>
      <w:r w:rsidR="00733DB9" w:rsidRPr="001E1B42">
        <w:rPr>
          <w:sz w:val="24"/>
          <w:szCs w:val="24"/>
        </w:rPr>
        <w:t>＜</w:t>
      </w:r>
      <w:r w:rsidR="00733DB9" w:rsidRPr="001E1B42">
        <w:rPr>
          <w:sz w:val="24"/>
          <w:szCs w:val="24"/>
        </w:rPr>
        <w:t>0.001, ****</w:t>
      </w:r>
      <w:r w:rsidR="00733DB9" w:rsidRPr="001E1B42">
        <w:rPr>
          <w:i/>
          <w:iCs/>
          <w:sz w:val="24"/>
          <w:szCs w:val="24"/>
        </w:rPr>
        <w:t>P</w:t>
      </w:r>
      <w:r w:rsidR="00733DB9" w:rsidRPr="001E1B42">
        <w:rPr>
          <w:sz w:val="24"/>
          <w:szCs w:val="24"/>
        </w:rPr>
        <w:t>＜</w:t>
      </w:r>
      <w:r w:rsidR="00733DB9" w:rsidRPr="001E1B42">
        <w:rPr>
          <w:sz w:val="24"/>
          <w:szCs w:val="24"/>
        </w:rPr>
        <w:t>0.0001</w:t>
      </w:r>
      <w:r w:rsidR="00DB1EFC">
        <w:rPr>
          <w:sz w:val="24"/>
          <w:szCs w:val="24"/>
        </w:rPr>
        <w:t xml:space="preserve">, </w:t>
      </w:r>
      <w:r w:rsidR="00DB1EFC">
        <w:rPr>
          <w:color w:val="000000"/>
          <w:sz w:val="24"/>
          <w:szCs w:val="24"/>
        </w:rPr>
        <w:t>comparison between the indicated two groups.</w:t>
      </w:r>
    </w:p>
    <w:p w14:paraId="0B17FE8E" w14:textId="5AE9F1BC" w:rsidR="002B1E2D" w:rsidRDefault="002B1E2D" w:rsidP="0027530C">
      <w:pPr>
        <w:spacing w:line="480" w:lineRule="auto"/>
        <w:jc w:val="both"/>
      </w:pPr>
      <w:bookmarkStart w:id="1" w:name="_GoBack"/>
      <w:bookmarkEnd w:id="1"/>
    </w:p>
    <w:sectPr w:rsidR="002B1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47D06" w14:textId="77777777" w:rsidR="00D8556A" w:rsidRDefault="00D8556A" w:rsidP="00430B17">
      <w:r>
        <w:separator/>
      </w:r>
    </w:p>
  </w:endnote>
  <w:endnote w:type="continuationSeparator" w:id="0">
    <w:p w14:paraId="35F63947" w14:textId="77777777" w:rsidR="00D8556A" w:rsidRDefault="00D8556A" w:rsidP="00430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A0559" w14:textId="77777777" w:rsidR="00D8556A" w:rsidRDefault="00D8556A" w:rsidP="00430B17">
      <w:r>
        <w:separator/>
      </w:r>
    </w:p>
  </w:footnote>
  <w:footnote w:type="continuationSeparator" w:id="0">
    <w:p w14:paraId="77089A5F" w14:textId="77777777" w:rsidR="00D8556A" w:rsidRDefault="00D8556A" w:rsidP="00430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F0"/>
    <w:rsid w:val="00000845"/>
    <w:rsid w:val="0027530C"/>
    <w:rsid w:val="002B1E2D"/>
    <w:rsid w:val="002B64E5"/>
    <w:rsid w:val="003858B5"/>
    <w:rsid w:val="003A093E"/>
    <w:rsid w:val="003D2B0A"/>
    <w:rsid w:val="00430B17"/>
    <w:rsid w:val="00506A6B"/>
    <w:rsid w:val="007234FD"/>
    <w:rsid w:val="00733DB9"/>
    <w:rsid w:val="007B2E7C"/>
    <w:rsid w:val="007C4B11"/>
    <w:rsid w:val="008462CB"/>
    <w:rsid w:val="008A5162"/>
    <w:rsid w:val="008C71F0"/>
    <w:rsid w:val="008F0A13"/>
    <w:rsid w:val="00972552"/>
    <w:rsid w:val="009775B6"/>
    <w:rsid w:val="009F30C1"/>
    <w:rsid w:val="00A1734F"/>
    <w:rsid w:val="00A177BA"/>
    <w:rsid w:val="00AF3C9E"/>
    <w:rsid w:val="00B159A6"/>
    <w:rsid w:val="00B83B66"/>
    <w:rsid w:val="00BE47B7"/>
    <w:rsid w:val="00C653A7"/>
    <w:rsid w:val="00C976CF"/>
    <w:rsid w:val="00D33258"/>
    <w:rsid w:val="00D82733"/>
    <w:rsid w:val="00D8556A"/>
    <w:rsid w:val="00D94E84"/>
    <w:rsid w:val="00DB1EFC"/>
    <w:rsid w:val="00EA6A5C"/>
    <w:rsid w:val="00F0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15A394"/>
  <w15:chartTrackingRefBased/>
  <w15:docId w15:val="{06BCAE0A-1561-4A40-843F-79AD87BF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0B17"/>
    <w:rPr>
      <w:rFonts w:ascii="Times New Roman" w:eastAsia="DengXian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B1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430B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0B17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430B17"/>
    <w:rPr>
      <w:sz w:val="18"/>
      <w:szCs w:val="18"/>
    </w:rPr>
  </w:style>
  <w:style w:type="paragraph" w:customStyle="1" w:styleId="Paragraph">
    <w:name w:val="Paragraph"/>
    <w:basedOn w:val="a"/>
    <w:rsid w:val="00430B17"/>
    <w:pPr>
      <w:spacing w:before="120"/>
      <w:ind w:firstLine="72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261</Words>
  <Characters>999</Characters>
  <Application>Microsoft Office Word</Application>
  <DocSecurity>0</DocSecurity>
  <Lines>24</Lines>
  <Paragraphs>11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wenting hu</dc:creator>
  <cp:keywords/>
  <dc:description/>
  <cp:lastModifiedBy>Rong Liu</cp:lastModifiedBy>
  <cp:revision>28</cp:revision>
  <dcterms:created xsi:type="dcterms:W3CDTF">2021-07-31T13:13:00Z</dcterms:created>
  <dcterms:modified xsi:type="dcterms:W3CDTF">2022-02-03T15:12:00Z</dcterms:modified>
</cp:coreProperties>
</file>