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94D5F" w14:textId="4C68AF49" w:rsidR="0061425C" w:rsidRPr="00820972" w:rsidRDefault="0061425C" w:rsidP="00B951C7">
      <w:pPr>
        <w:jc w:val="both"/>
        <w:rPr>
          <w:i/>
          <w:iCs/>
          <w:sz w:val="22"/>
          <w:szCs w:val="22"/>
          <w:lang w:val="en-US"/>
        </w:rPr>
      </w:pPr>
      <w:r w:rsidRPr="00820972">
        <w:rPr>
          <w:i/>
          <w:iCs/>
          <w:sz w:val="22"/>
          <w:szCs w:val="22"/>
          <w:lang w:val="en-US"/>
        </w:rPr>
        <w:t>European Journal of Drug Metabolism and Pharmacokinetics</w:t>
      </w:r>
      <w:r w:rsidRPr="00820972">
        <w:rPr>
          <w:lang w:val="en-US"/>
        </w:rPr>
        <w:t xml:space="preserve"> </w:t>
      </w:r>
      <w:r>
        <w:rPr>
          <w:lang w:val="en-US"/>
        </w:rPr>
        <w:t xml:space="preserve">- </w:t>
      </w:r>
      <w:r w:rsidRPr="0061425C">
        <w:rPr>
          <w:i/>
          <w:iCs/>
          <w:sz w:val="22"/>
          <w:szCs w:val="22"/>
          <w:lang w:val="en-US"/>
        </w:rPr>
        <w:t>Supplementary data</w:t>
      </w:r>
    </w:p>
    <w:p w14:paraId="3B6492C8" w14:textId="2A332A44" w:rsidR="00B951C7" w:rsidRPr="00FA097A" w:rsidRDefault="00B951C7" w:rsidP="00B951C7">
      <w:pPr>
        <w:jc w:val="both"/>
        <w:rPr>
          <w:b/>
          <w:bCs/>
          <w:lang w:val="en-US"/>
        </w:rPr>
      </w:pPr>
      <w:r w:rsidRPr="00FA097A">
        <w:rPr>
          <w:b/>
          <w:bCs/>
          <w:lang w:val="en-US"/>
        </w:rPr>
        <w:t>Pharmacokinetics and pharmacodynamics, efficacy and safety of fremanezumab in children and adolescents with migraine</w:t>
      </w:r>
    </w:p>
    <w:p w14:paraId="34945A24" w14:textId="77777777" w:rsidR="0061425C" w:rsidRPr="00D62BD6" w:rsidRDefault="0061425C" w:rsidP="0061425C">
      <w:pPr>
        <w:pBdr>
          <w:top w:val="nil"/>
          <w:left w:val="nil"/>
          <w:bottom w:val="nil"/>
          <w:right w:val="nil"/>
          <w:between w:val="nil"/>
        </w:pBdr>
        <w:spacing w:line="360" w:lineRule="auto"/>
        <w:jc w:val="both"/>
        <w:rPr>
          <w:rFonts w:ascii="Aptos" w:eastAsia="Arial" w:hAnsi="Aptos" w:cstheme="minorHAnsi"/>
          <w:color w:val="000000" w:themeColor="text1"/>
          <w:sz w:val="22"/>
          <w:szCs w:val="22"/>
        </w:rPr>
      </w:pPr>
      <w:r w:rsidRPr="00FA097A">
        <w:rPr>
          <w:rFonts w:ascii="Aptos" w:eastAsia="Aptos" w:hAnsi="Aptos" w:cstheme="minorHAnsi"/>
          <w:b/>
          <w:bCs/>
          <w:color w:val="000000" w:themeColor="text1"/>
          <w:sz w:val="22"/>
          <w:szCs w:val="22"/>
        </w:rPr>
        <w:t>A</w:t>
      </w:r>
      <w:r w:rsidRPr="00FA097A">
        <w:rPr>
          <w:rFonts w:ascii="Aptos" w:eastAsia="Arial" w:hAnsi="Aptos" w:cstheme="minorHAnsi"/>
          <w:b/>
          <w:bCs/>
          <w:color w:val="000000" w:themeColor="text1"/>
          <w:sz w:val="22"/>
          <w:szCs w:val="22"/>
        </w:rPr>
        <w:t xml:space="preserve">uthors: </w:t>
      </w:r>
      <w:r w:rsidRPr="00FA097A">
        <w:rPr>
          <w:rFonts w:ascii="Aptos" w:eastAsia="Arial" w:hAnsi="Aptos" w:cstheme="minorHAnsi"/>
          <w:color w:val="000000" w:themeColor="text1"/>
          <w:sz w:val="22"/>
          <w:szCs w:val="22"/>
        </w:rPr>
        <w:t>Luigi Francesco Iannone</w:t>
      </w:r>
      <w:r w:rsidRPr="00FA097A">
        <w:rPr>
          <w:rFonts w:ascii="Aptos" w:eastAsia="Arial" w:hAnsi="Aptos" w:cstheme="minorHAnsi"/>
          <w:color w:val="000000" w:themeColor="text1"/>
          <w:sz w:val="22"/>
          <w:szCs w:val="22"/>
          <w:vertAlign w:val="superscript"/>
        </w:rPr>
        <w:t>1*</w:t>
      </w:r>
      <w:r>
        <w:rPr>
          <w:rFonts w:ascii="Aptos" w:eastAsia="Arial" w:hAnsi="Aptos" w:cstheme="minorHAnsi"/>
          <w:color w:val="000000" w:themeColor="text1"/>
          <w:sz w:val="22"/>
          <w:szCs w:val="22"/>
          <w:vertAlign w:val="superscript"/>
        </w:rPr>
        <w:t>§</w:t>
      </w:r>
      <w:r w:rsidRPr="00FA097A">
        <w:rPr>
          <w:rFonts w:ascii="Aptos" w:eastAsia="Arial" w:hAnsi="Aptos" w:cstheme="minorHAnsi"/>
          <w:color w:val="000000" w:themeColor="text1"/>
          <w:sz w:val="22"/>
          <w:szCs w:val="22"/>
        </w:rPr>
        <w:t>, Marina Romozzi</w:t>
      </w:r>
      <w:r w:rsidRPr="00FA097A">
        <w:rPr>
          <w:rFonts w:ascii="Aptos" w:eastAsia="Arial" w:hAnsi="Aptos" w:cstheme="minorHAnsi"/>
          <w:color w:val="000000" w:themeColor="text1"/>
          <w:sz w:val="22"/>
          <w:szCs w:val="22"/>
          <w:vertAlign w:val="superscript"/>
        </w:rPr>
        <w:t>2,3</w:t>
      </w:r>
      <w:r>
        <w:rPr>
          <w:rFonts w:ascii="Aptos" w:eastAsia="Arial" w:hAnsi="Aptos" w:cstheme="minorHAnsi"/>
          <w:color w:val="000000" w:themeColor="text1"/>
          <w:sz w:val="22"/>
          <w:szCs w:val="22"/>
          <w:vertAlign w:val="superscript"/>
        </w:rPr>
        <w:t>§</w:t>
      </w:r>
      <w:r w:rsidRPr="00FA097A">
        <w:rPr>
          <w:rFonts w:ascii="Aptos" w:eastAsia="Arial" w:hAnsi="Aptos" w:cstheme="minorHAnsi"/>
          <w:color w:val="000000" w:themeColor="text1"/>
          <w:sz w:val="22"/>
          <w:szCs w:val="22"/>
        </w:rPr>
        <w:t>, Laura Papetti</w:t>
      </w:r>
      <w:r w:rsidRPr="00FA097A">
        <w:rPr>
          <w:rFonts w:ascii="Aptos" w:eastAsia="Arial" w:hAnsi="Aptos" w:cstheme="minorHAnsi"/>
          <w:color w:val="000000" w:themeColor="text1"/>
          <w:sz w:val="22"/>
          <w:szCs w:val="22"/>
          <w:vertAlign w:val="superscript"/>
        </w:rPr>
        <w:t>4</w:t>
      </w:r>
      <w:r w:rsidRPr="00FA097A">
        <w:rPr>
          <w:rFonts w:ascii="Aptos" w:eastAsia="Arial" w:hAnsi="Aptos" w:cstheme="minorHAnsi"/>
          <w:color w:val="000000" w:themeColor="text1"/>
          <w:sz w:val="22"/>
          <w:szCs w:val="22"/>
        </w:rPr>
        <w:t>, Irene Toldo</w:t>
      </w:r>
      <w:r w:rsidRPr="00FA097A">
        <w:rPr>
          <w:rFonts w:ascii="Aptos" w:eastAsia="Arial" w:hAnsi="Aptos" w:cstheme="minorHAnsi"/>
          <w:color w:val="000000" w:themeColor="text1"/>
          <w:sz w:val="22"/>
          <w:szCs w:val="22"/>
          <w:vertAlign w:val="superscript"/>
        </w:rPr>
        <w:t>5</w:t>
      </w:r>
      <w:r w:rsidRPr="00FA097A">
        <w:rPr>
          <w:rFonts w:ascii="Aptos" w:eastAsia="Arial" w:hAnsi="Aptos" w:cstheme="minorHAnsi"/>
          <w:color w:val="000000" w:themeColor="text1"/>
          <w:sz w:val="22"/>
          <w:szCs w:val="22"/>
        </w:rPr>
        <w:t>, Massimiliano Valeriani</w:t>
      </w:r>
      <w:r w:rsidRPr="00FA097A">
        <w:rPr>
          <w:rFonts w:ascii="Aptos" w:eastAsia="Arial" w:hAnsi="Aptos" w:cstheme="minorHAnsi"/>
          <w:color w:val="000000" w:themeColor="text1"/>
          <w:sz w:val="22"/>
          <w:szCs w:val="22"/>
          <w:vertAlign w:val="superscript"/>
        </w:rPr>
        <w:t>4,6,7</w:t>
      </w:r>
      <w:r w:rsidRPr="00FA097A">
        <w:rPr>
          <w:rFonts w:ascii="Aptos" w:eastAsia="Arial" w:hAnsi="Aptos" w:cstheme="minorHAnsi"/>
          <w:color w:val="000000" w:themeColor="text1"/>
          <w:sz w:val="22"/>
          <w:szCs w:val="22"/>
        </w:rPr>
        <w:t>, Pierangelo Geppetti</w:t>
      </w:r>
      <w:r w:rsidRPr="00FA097A">
        <w:rPr>
          <w:rFonts w:ascii="Aptos" w:eastAsia="Arial" w:hAnsi="Aptos" w:cstheme="minorHAnsi"/>
          <w:color w:val="000000" w:themeColor="text1"/>
          <w:sz w:val="22"/>
          <w:szCs w:val="22"/>
          <w:vertAlign w:val="superscript"/>
        </w:rPr>
        <w:t>7</w:t>
      </w:r>
    </w:p>
    <w:p w14:paraId="3A52D7E4" w14:textId="77777777" w:rsidR="0061425C" w:rsidRPr="00190E6A" w:rsidRDefault="0061425C" w:rsidP="0061425C">
      <w:pPr>
        <w:pBdr>
          <w:top w:val="nil"/>
          <w:left w:val="nil"/>
          <w:bottom w:val="nil"/>
          <w:right w:val="nil"/>
          <w:between w:val="nil"/>
        </w:pBdr>
        <w:spacing w:after="0" w:line="360" w:lineRule="auto"/>
        <w:rPr>
          <w:rFonts w:ascii="Aptos" w:eastAsia="Arial" w:hAnsi="Aptos" w:cstheme="minorHAnsi"/>
          <w:b/>
          <w:bCs/>
          <w:color w:val="000000" w:themeColor="text1"/>
          <w:sz w:val="22"/>
          <w:szCs w:val="22"/>
          <w:lang w:val="en-US"/>
        </w:rPr>
      </w:pPr>
      <w:r w:rsidRPr="00190E6A">
        <w:rPr>
          <w:rFonts w:ascii="Aptos" w:eastAsia="Arial" w:hAnsi="Aptos" w:cstheme="minorHAnsi"/>
          <w:b/>
          <w:bCs/>
          <w:color w:val="000000" w:themeColor="text1"/>
          <w:sz w:val="22"/>
          <w:szCs w:val="22"/>
          <w:lang w:val="en-US"/>
        </w:rPr>
        <w:t>Affiliations:</w:t>
      </w:r>
    </w:p>
    <w:p w14:paraId="1731243E" w14:textId="77777777" w:rsidR="0061425C" w:rsidRPr="0034474B" w:rsidRDefault="0061425C" w:rsidP="0061425C">
      <w:pPr>
        <w:pBdr>
          <w:top w:val="nil"/>
          <w:left w:val="nil"/>
          <w:bottom w:val="nil"/>
          <w:right w:val="nil"/>
          <w:between w:val="nil"/>
        </w:pBdr>
        <w:spacing w:after="0" w:line="276" w:lineRule="auto"/>
        <w:jc w:val="both"/>
        <w:rPr>
          <w:rFonts w:ascii="Aptos" w:eastAsia="Arial" w:hAnsi="Aptos" w:cstheme="minorHAnsi"/>
          <w:color w:val="000000" w:themeColor="text1"/>
          <w:sz w:val="20"/>
          <w:szCs w:val="20"/>
          <w:lang w:val="en-US"/>
        </w:rPr>
      </w:pPr>
      <w:r w:rsidRPr="004F3764">
        <w:rPr>
          <w:rFonts w:ascii="Aptos" w:eastAsia="Arial" w:hAnsi="Aptos" w:cstheme="minorHAnsi"/>
          <w:color w:val="000000" w:themeColor="text1"/>
          <w:sz w:val="20"/>
          <w:szCs w:val="20"/>
          <w:vertAlign w:val="superscript"/>
          <w:lang w:val="en-US"/>
        </w:rPr>
        <w:t>1</w:t>
      </w:r>
      <w:r w:rsidRPr="0034474B">
        <w:rPr>
          <w:rFonts w:ascii="Aptos" w:eastAsia="Arial" w:hAnsi="Aptos" w:cstheme="minorHAnsi"/>
          <w:color w:val="000000" w:themeColor="text1"/>
          <w:sz w:val="20"/>
          <w:szCs w:val="20"/>
          <w:lang w:val="en-US"/>
        </w:rPr>
        <w:t>Department of Biomedical, Metabolic, and Neural Science, University of Modena and Reggio Emilia, Modena, Italy.</w:t>
      </w:r>
    </w:p>
    <w:p w14:paraId="53480CE7" w14:textId="77777777" w:rsidR="0061425C" w:rsidRPr="0034474B" w:rsidRDefault="0061425C" w:rsidP="0061425C">
      <w:pPr>
        <w:pBdr>
          <w:top w:val="nil"/>
          <w:left w:val="nil"/>
          <w:bottom w:val="nil"/>
          <w:right w:val="nil"/>
          <w:between w:val="nil"/>
        </w:pBdr>
        <w:spacing w:after="0" w:line="276" w:lineRule="auto"/>
        <w:jc w:val="both"/>
        <w:rPr>
          <w:rFonts w:ascii="Aptos" w:eastAsia="Arial" w:hAnsi="Aptos" w:cstheme="minorHAnsi"/>
          <w:color w:val="000000" w:themeColor="text1"/>
          <w:sz w:val="20"/>
          <w:szCs w:val="20"/>
          <w:vertAlign w:val="superscript"/>
        </w:rPr>
      </w:pPr>
      <w:r>
        <w:rPr>
          <w:rFonts w:ascii="Aptos" w:eastAsia="Arial" w:hAnsi="Aptos" w:cstheme="minorHAnsi"/>
          <w:color w:val="000000" w:themeColor="text1"/>
          <w:sz w:val="20"/>
          <w:szCs w:val="20"/>
          <w:vertAlign w:val="superscript"/>
        </w:rPr>
        <w:t>2</w:t>
      </w:r>
      <w:r w:rsidRPr="0034474B">
        <w:rPr>
          <w:rFonts w:ascii="Aptos" w:eastAsia="Arial" w:hAnsi="Aptos" w:cstheme="minorHAnsi"/>
          <w:color w:val="212121"/>
          <w:sz w:val="20"/>
          <w:szCs w:val="20"/>
        </w:rPr>
        <w:t>Dipartimento Universitario di Neuroscienze, Università Cattolica del Sacro Cuore, Rome, Italy.</w:t>
      </w:r>
    </w:p>
    <w:p w14:paraId="0E23E478" w14:textId="77777777" w:rsidR="0061425C" w:rsidRDefault="0061425C" w:rsidP="0061425C">
      <w:pPr>
        <w:pBdr>
          <w:top w:val="nil"/>
          <w:left w:val="nil"/>
          <w:bottom w:val="nil"/>
          <w:right w:val="nil"/>
          <w:between w:val="nil"/>
        </w:pBdr>
        <w:spacing w:after="0" w:line="276" w:lineRule="auto"/>
        <w:ind w:right="566"/>
        <w:jc w:val="both"/>
        <w:rPr>
          <w:rFonts w:ascii="Aptos" w:eastAsia="Arial" w:hAnsi="Aptos" w:cstheme="minorHAnsi"/>
          <w:color w:val="212121"/>
          <w:sz w:val="20"/>
          <w:szCs w:val="20"/>
        </w:rPr>
      </w:pPr>
      <w:r>
        <w:rPr>
          <w:rFonts w:ascii="Aptos" w:eastAsia="Arial" w:hAnsi="Aptos" w:cstheme="minorHAnsi"/>
          <w:color w:val="212121"/>
          <w:sz w:val="20"/>
          <w:szCs w:val="20"/>
          <w:vertAlign w:val="superscript"/>
        </w:rPr>
        <w:t>3</w:t>
      </w:r>
      <w:r w:rsidRPr="0034474B">
        <w:rPr>
          <w:rFonts w:ascii="Aptos" w:eastAsia="Arial" w:hAnsi="Aptos" w:cstheme="minorHAnsi"/>
          <w:color w:val="212121"/>
          <w:sz w:val="20"/>
          <w:szCs w:val="20"/>
        </w:rPr>
        <w:t>Neurologia, Dipartimento di neuroscienze, Organi di Senso e Torace, Fondazione Policlinico Universitario Agostino Gemelli IRCCS, Rome, Italy.</w:t>
      </w:r>
    </w:p>
    <w:p w14:paraId="12008E50" w14:textId="77777777" w:rsidR="0061425C" w:rsidRDefault="0061425C" w:rsidP="0061425C">
      <w:pPr>
        <w:pBdr>
          <w:top w:val="nil"/>
          <w:left w:val="nil"/>
          <w:bottom w:val="nil"/>
          <w:right w:val="nil"/>
          <w:between w:val="nil"/>
        </w:pBdr>
        <w:spacing w:after="0" w:line="276" w:lineRule="auto"/>
        <w:ind w:right="566"/>
        <w:jc w:val="both"/>
        <w:rPr>
          <w:rFonts w:ascii="Aptos" w:eastAsia="Arial" w:hAnsi="Aptos" w:cstheme="minorHAnsi"/>
          <w:color w:val="212121"/>
          <w:sz w:val="20"/>
          <w:szCs w:val="20"/>
        </w:rPr>
      </w:pPr>
      <w:r>
        <w:rPr>
          <w:rFonts w:ascii="Aptos" w:eastAsia="Arial" w:hAnsi="Aptos" w:cstheme="minorHAnsi"/>
          <w:color w:val="212121"/>
          <w:sz w:val="20"/>
          <w:szCs w:val="20"/>
          <w:vertAlign w:val="superscript"/>
        </w:rPr>
        <w:t>4</w:t>
      </w:r>
      <w:r>
        <w:rPr>
          <w:rFonts w:ascii="Aptos" w:eastAsia="Arial" w:hAnsi="Aptos" w:cstheme="minorHAnsi"/>
          <w:color w:val="212121"/>
          <w:sz w:val="20"/>
          <w:szCs w:val="20"/>
        </w:rPr>
        <w:t>Developmental Neurology, Ospedale Pediatrico Bambino Gesù, Rome, Italy.</w:t>
      </w:r>
    </w:p>
    <w:p w14:paraId="3A6047D0" w14:textId="77777777" w:rsidR="0061425C" w:rsidRPr="00F34D35" w:rsidRDefault="0061425C" w:rsidP="0061425C">
      <w:pPr>
        <w:pBdr>
          <w:top w:val="nil"/>
          <w:left w:val="nil"/>
          <w:bottom w:val="nil"/>
          <w:right w:val="nil"/>
          <w:between w:val="nil"/>
        </w:pBdr>
        <w:spacing w:after="0" w:line="276" w:lineRule="auto"/>
        <w:ind w:right="566"/>
        <w:jc w:val="both"/>
        <w:rPr>
          <w:rFonts w:ascii="Aptos" w:eastAsia="Arial" w:hAnsi="Aptos" w:cstheme="minorHAnsi"/>
          <w:color w:val="212121"/>
          <w:sz w:val="20"/>
          <w:szCs w:val="20"/>
          <w:lang w:val="en-US"/>
        </w:rPr>
      </w:pPr>
      <w:r w:rsidRPr="00F34D35">
        <w:rPr>
          <w:rFonts w:ascii="Aptos" w:eastAsia="Arial" w:hAnsi="Aptos" w:cstheme="minorHAnsi"/>
          <w:color w:val="212121"/>
          <w:sz w:val="20"/>
          <w:szCs w:val="20"/>
          <w:vertAlign w:val="superscript"/>
          <w:lang w:val="en-US"/>
        </w:rPr>
        <w:t>5</w:t>
      </w:r>
      <w:r w:rsidRPr="00F34D35">
        <w:rPr>
          <w:rFonts w:ascii="Aptos" w:eastAsia="Arial" w:hAnsi="Aptos" w:cstheme="minorHAnsi"/>
          <w:color w:val="212121"/>
          <w:sz w:val="20"/>
          <w:szCs w:val="20"/>
          <w:lang w:val="en-US"/>
        </w:rPr>
        <w:t>Pediatric Neurology and Neurophysiology, Department of Women’s and Children’s Health, University of Padua, Italy</w:t>
      </w:r>
      <w:r>
        <w:rPr>
          <w:rFonts w:ascii="Aptos" w:eastAsia="Arial" w:hAnsi="Aptos" w:cstheme="minorHAnsi"/>
          <w:color w:val="212121"/>
          <w:sz w:val="20"/>
          <w:szCs w:val="20"/>
          <w:lang w:val="en-US"/>
        </w:rPr>
        <w:t>.</w:t>
      </w:r>
    </w:p>
    <w:p w14:paraId="1AAFCB9C" w14:textId="77777777" w:rsidR="0061425C" w:rsidRDefault="0061425C" w:rsidP="0061425C">
      <w:pPr>
        <w:pBdr>
          <w:top w:val="nil"/>
          <w:left w:val="nil"/>
          <w:bottom w:val="nil"/>
          <w:right w:val="nil"/>
          <w:between w:val="nil"/>
        </w:pBdr>
        <w:spacing w:after="0" w:line="276" w:lineRule="auto"/>
        <w:ind w:right="566"/>
        <w:jc w:val="both"/>
        <w:rPr>
          <w:rFonts w:ascii="Aptos" w:eastAsia="Arial" w:hAnsi="Aptos" w:cstheme="minorHAnsi"/>
          <w:color w:val="212121"/>
          <w:sz w:val="20"/>
          <w:szCs w:val="20"/>
          <w:lang w:val="en-US"/>
        </w:rPr>
      </w:pPr>
      <w:r>
        <w:rPr>
          <w:rFonts w:ascii="Aptos" w:eastAsia="Arial" w:hAnsi="Aptos" w:cstheme="minorHAnsi"/>
          <w:color w:val="212121"/>
          <w:sz w:val="20"/>
          <w:szCs w:val="20"/>
          <w:vertAlign w:val="superscript"/>
          <w:lang w:val="en-US"/>
        </w:rPr>
        <w:t>6</w:t>
      </w:r>
      <w:r w:rsidRPr="00F34D35">
        <w:rPr>
          <w:rFonts w:ascii="Aptos" w:eastAsia="Arial" w:hAnsi="Aptos" w:cstheme="minorHAnsi"/>
          <w:color w:val="212121"/>
          <w:sz w:val="20"/>
          <w:szCs w:val="20"/>
          <w:lang w:val="en-US"/>
        </w:rPr>
        <w:t>Systems Medicine Department, Tor Vergata University</w:t>
      </w:r>
      <w:r>
        <w:rPr>
          <w:rFonts w:ascii="Aptos" w:eastAsia="Arial" w:hAnsi="Aptos" w:cstheme="minorHAnsi"/>
          <w:color w:val="212121"/>
          <w:sz w:val="20"/>
          <w:szCs w:val="20"/>
          <w:lang w:val="en-US"/>
        </w:rPr>
        <w:t xml:space="preserve"> of Rome, Italy.</w:t>
      </w:r>
    </w:p>
    <w:p w14:paraId="6522D95D" w14:textId="77777777" w:rsidR="0061425C" w:rsidRDefault="0061425C" w:rsidP="0061425C">
      <w:pPr>
        <w:pBdr>
          <w:top w:val="nil"/>
          <w:left w:val="nil"/>
          <w:bottom w:val="nil"/>
          <w:right w:val="nil"/>
          <w:between w:val="nil"/>
        </w:pBdr>
        <w:spacing w:after="0" w:line="276" w:lineRule="auto"/>
        <w:ind w:right="566"/>
        <w:jc w:val="both"/>
        <w:rPr>
          <w:rFonts w:ascii="Aptos" w:eastAsia="Arial" w:hAnsi="Aptos" w:cstheme="minorHAnsi"/>
          <w:color w:val="212121"/>
          <w:sz w:val="20"/>
          <w:szCs w:val="20"/>
          <w:lang w:val="en-US"/>
        </w:rPr>
      </w:pPr>
      <w:r>
        <w:rPr>
          <w:rFonts w:ascii="Aptos" w:eastAsia="Arial" w:hAnsi="Aptos" w:cstheme="minorHAnsi"/>
          <w:color w:val="212121"/>
          <w:sz w:val="20"/>
          <w:szCs w:val="20"/>
          <w:vertAlign w:val="superscript"/>
          <w:lang w:val="en-US"/>
        </w:rPr>
        <w:t>7</w:t>
      </w:r>
      <w:r w:rsidRPr="005F017D">
        <w:rPr>
          <w:rFonts w:ascii="Aptos" w:eastAsia="Arial" w:hAnsi="Aptos" w:cstheme="minorHAnsi"/>
          <w:color w:val="212121"/>
          <w:sz w:val="20"/>
          <w:szCs w:val="20"/>
          <w:lang w:val="en-US"/>
        </w:rPr>
        <w:t>Translational Pain Neuroscience and Precision Medicine, CNAP, Dept. of Health Science and Technology, School of Medicine, Aalborg University</w:t>
      </w:r>
      <w:r>
        <w:rPr>
          <w:rFonts w:ascii="Aptos" w:eastAsia="Arial" w:hAnsi="Aptos" w:cstheme="minorHAnsi"/>
          <w:color w:val="212121"/>
          <w:sz w:val="20"/>
          <w:szCs w:val="20"/>
          <w:lang w:val="en-US"/>
        </w:rPr>
        <w:t>, Denmark.</w:t>
      </w:r>
    </w:p>
    <w:p w14:paraId="04F9BFBF" w14:textId="77777777" w:rsidR="0061425C" w:rsidRPr="00F34D35" w:rsidRDefault="0061425C" w:rsidP="0061425C">
      <w:pPr>
        <w:pBdr>
          <w:top w:val="nil"/>
          <w:left w:val="nil"/>
          <w:bottom w:val="nil"/>
          <w:right w:val="nil"/>
          <w:between w:val="nil"/>
        </w:pBdr>
        <w:spacing w:after="0" w:line="276" w:lineRule="auto"/>
        <w:ind w:right="566"/>
        <w:jc w:val="both"/>
        <w:rPr>
          <w:rFonts w:ascii="Aptos" w:eastAsia="Arial" w:hAnsi="Aptos" w:cstheme="minorHAnsi"/>
          <w:color w:val="212121"/>
          <w:sz w:val="20"/>
          <w:szCs w:val="20"/>
          <w:lang w:val="en-US"/>
        </w:rPr>
      </w:pPr>
      <w:r>
        <w:rPr>
          <w:rFonts w:ascii="Aptos" w:eastAsia="Arial" w:hAnsi="Aptos" w:cstheme="minorHAnsi"/>
          <w:color w:val="212121"/>
          <w:sz w:val="20"/>
          <w:szCs w:val="20"/>
          <w:vertAlign w:val="superscript"/>
          <w:lang w:val="en-US"/>
        </w:rPr>
        <w:t>8</w:t>
      </w:r>
      <w:r>
        <w:rPr>
          <w:rFonts w:ascii="Aptos" w:eastAsia="Arial" w:hAnsi="Aptos" w:cstheme="minorHAnsi"/>
          <w:color w:val="212121"/>
          <w:sz w:val="20"/>
          <w:szCs w:val="20"/>
          <w:lang w:val="en-US"/>
        </w:rPr>
        <w:t>Department of Molecular Pathobiology and Pain Research Center, New York University, NY, USA.</w:t>
      </w:r>
    </w:p>
    <w:p w14:paraId="7C3DB8A2" w14:textId="77777777" w:rsidR="0061425C" w:rsidRPr="005F017D" w:rsidRDefault="0061425C" w:rsidP="0061425C">
      <w:pPr>
        <w:spacing w:after="0" w:line="276" w:lineRule="auto"/>
        <w:jc w:val="both"/>
        <w:rPr>
          <w:rFonts w:ascii="Aptos" w:eastAsia="Arial" w:hAnsi="Aptos" w:cstheme="minorHAnsi"/>
          <w:color w:val="000000" w:themeColor="text1"/>
          <w:sz w:val="20"/>
          <w:szCs w:val="20"/>
          <w:lang w:val="en-US"/>
        </w:rPr>
      </w:pPr>
    </w:p>
    <w:p w14:paraId="66E10C2B" w14:textId="77777777" w:rsidR="0061425C" w:rsidRPr="00FD5990" w:rsidRDefault="0061425C" w:rsidP="0061425C">
      <w:pPr>
        <w:pBdr>
          <w:top w:val="nil"/>
          <w:left w:val="nil"/>
          <w:bottom w:val="nil"/>
          <w:right w:val="nil"/>
          <w:between w:val="nil"/>
        </w:pBdr>
        <w:tabs>
          <w:tab w:val="left" w:pos="567"/>
        </w:tabs>
        <w:spacing w:line="360" w:lineRule="auto"/>
        <w:ind w:right="566"/>
        <w:rPr>
          <w:rFonts w:ascii="Aptos" w:eastAsia="Aptos" w:hAnsi="Aptos" w:cstheme="minorHAnsi"/>
          <w:bCs/>
          <w:sz w:val="22"/>
          <w:szCs w:val="22"/>
          <w:lang w:val="en-US"/>
        </w:rPr>
      </w:pPr>
      <w:r w:rsidRPr="00190E6A">
        <w:rPr>
          <w:rFonts w:ascii="Aptos" w:eastAsia="Arial" w:hAnsi="Aptos" w:cstheme="minorHAnsi"/>
          <w:b/>
          <w:color w:val="000000"/>
          <w:sz w:val="22"/>
          <w:szCs w:val="22"/>
          <w:lang w:val="en-US"/>
        </w:rPr>
        <w:t>Running title</w:t>
      </w:r>
      <w:r w:rsidRPr="00FD5990">
        <w:rPr>
          <w:rFonts w:ascii="Aptos" w:eastAsia="Arial" w:hAnsi="Aptos" w:cstheme="minorHAnsi"/>
          <w:bCs/>
          <w:color w:val="000000"/>
          <w:sz w:val="22"/>
          <w:szCs w:val="22"/>
          <w:lang w:val="en-US"/>
        </w:rPr>
        <w:t xml:space="preserve">: Fremanezumab in </w:t>
      </w:r>
      <w:r>
        <w:rPr>
          <w:rFonts w:ascii="Aptos" w:eastAsia="Arial" w:hAnsi="Aptos" w:cstheme="minorHAnsi"/>
          <w:bCs/>
          <w:color w:val="000000"/>
          <w:sz w:val="22"/>
          <w:szCs w:val="22"/>
          <w:lang w:val="en-US"/>
        </w:rPr>
        <w:t>children and adolescents with migraine.</w:t>
      </w:r>
    </w:p>
    <w:p w14:paraId="629CCE6C" w14:textId="77777777" w:rsidR="0061425C" w:rsidRPr="00D928A0" w:rsidRDefault="0061425C" w:rsidP="0061425C">
      <w:pPr>
        <w:spacing w:line="360" w:lineRule="auto"/>
        <w:ind w:right="566"/>
        <w:rPr>
          <w:rFonts w:ascii="Aptos" w:eastAsia="Arial" w:hAnsi="Aptos" w:cstheme="minorHAnsi"/>
          <w:bCs/>
          <w:i/>
          <w:iCs/>
          <w:sz w:val="20"/>
          <w:szCs w:val="20"/>
          <w:lang w:val="en-US"/>
        </w:rPr>
      </w:pPr>
      <w:r w:rsidRPr="00D928A0">
        <w:rPr>
          <w:rFonts w:ascii="Aptos" w:eastAsia="Arial" w:hAnsi="Aptos" w:cstheme="minorHAnsi"/>
          <w:bCs/>
          <w:i/>
          <w:iCs/>
          <w:sz w:val="20"/>
          <w:szCs w:val="20"/>
          <w:lang w:val="en-US"/>
        </w:rPr>
        <w:t>§Equally contributed</w:t>
      </w:r>
    </w:p>
    <w:p w14:paraId="34A7E84A" w14:textId="77777777" w:rsidR="0061425C" w:rsidRDefault="0061425C" w:rsidP="0061425C">
      <w:pPr>
        <w:spacing w:line="360" w:lineRule="auto"/>
        <w:ind w:right="566"/>
        <w:rPr>
          <w:rFonts w:ascii="Aptos" w:eastAsia="Arial" w:hAnsi="Aptos" w:cstheme="minorHAnsi"/>
          <w:bCs/>
          <w:i/>
          <w:iCs/>
          <w:sz w:val="22"/>
          <w:szCs w:val="22"/>
          <w:lang w:val="en-US"/>
        </w:rPr>
      </w:pPr>
    </w:p>
    <w:p w14:paraId="28873DAB" w14:textId="77777777" w:rsidR="0061425C" w:rsidRDefault="0061425C" w:rsidP="0061425C">
      <w:pPr>
        <w:spacing w:line="360" w:lineRule="auto"/>
        <w:ind w:right="566"/>
        <w:rPr>
          <w:rFonts w:ascii="Aptos" w:eastAsia="Arial" w:hAnsi="Aptos" w:cstheme="minorHAnsi"/>
          <w:bCs/>
          <w:i/>
          <w:iCs/>
          <w:sz w:val="22"/>
          <w:szCs w:val="22"/>
          <w:lang w:val="en-US"/>
        </w:rPr>
      </w:pPr>
    </w:p>
    <w:p w14:paraId="67559A57" w14:textId="77777777" w:rsidR="0061425C" w:rsidRDefault="0061425C" w:rsidP="0061425C">
      <w:pPr>
        <w:spacing w:line="360" w:lineRule="auto"/>
        <w:ind w:right="566"/>
        <w:rPr>
          <w:rFonts w:ascii="Aptos" w:eastAsia="Arial" w:hAnsi="Aptos" w:cstheme="minorHAnsi"/>
          <w:bCs/>
          <w:i/>
          <w:iCs/>
          <w:sz w:val="22"/>
          <w:szCs w:val="22"/>
          <w:lang w:val="en-US"/>
        </w:rPr>
      </w:pPr>
    </w:p>
    <w:p w14:paraId="5A0EF7E9" w14:textId="77777777" w:rsidR="0061425C" w:rsidRPr="00190E6A" w:rsidRDefault="0061425C" w:rsidP="0061425C">
      <w:pPr>
        <w:spacing w:line="360" w:lineRule="auto"/>
        <w:ind w:right="566"/>
        <w:rPr>
          <w:rFonts w:ascii="Aptos" w:eastAsia="Arial" w:hAnsi="Aptos" w:cstheme="minorHAnsi"/>
          <w:b/>
          <w:sz w:val="22"/>
          <w:szCs w:val="22"/>
          <w:lang w:val="en-US"/>
        </w:rPr>
      </w:pPr>
    </w:p>
    <w:p w14:paraId="0B498C99" w14:textId="77777777" w:rsidR="0061425C" w:rsidRPr="00190E6A" w:rsidRDefault="0061425C" w:rsidP="0061425C">
      <w:pPr>
        <w:spacing w:line="360" w:lineRule="auto"/>
        <w:ind w:right="566"/>
        <w:rPr>
          <w:rFonts w:ascii="Aptos" w:eastAsia="Arial" w:hAnsi="Aptos" w:cstheme="minorHAnsi"/>
          <w:b/>
          <w:sz w:val="22"/>
          <w:szCs w:val="22"/>
          <w:lang w:val="en-US"/>
        </w:rPr>
      </w:pPr>
    </w:p>
    <w:p w14:paraId="1FA39317" w14:textId="77777777" w:rsidR="0061425C" w:rsidRPr="006438AF" w:rsidRDefault="0061425C" w:rsidP="0061425C">
      <w:pPr>
        <w:spacing w:line="240" w:lineRule="auto"/>
        <w:ind w:right="566"/>
        <w:rPr>
          <w:rFonts w:ascii="Aptos" w:eastAsia="Arial" w:hAnsi="Aptos" w:cstheme="minorHAnsi"/>
          <w:b/>
          <w:sz w:val="22"/>
          <w:szCs w:val="22"/>
          <w:lang w:val="en-US"/>
        </w:rPr>
      </w:pPr>
      <w:r w:rsidRPr="006438AF">
        <w:rPr>
          <w:rFonts w:ascii="Aptos" w:eastAsia="Arial" w:hAnsi="Aptos" w:cstheme="minorHAnsi"/>
          <w:b/>
          <w:sz w:val="22"/>
          <w:szCs w:val="22"/>
          <w:lang w:val="en-US"/>
        </w:rPr>
        <w:t xml:space="preserve">*Author for correspondence: </w:t>
      </w:r>
    </w:p>
    <w:p w14:paraId="614E9419" w14:textId="77777777" w:rsidR="0061425C" w:rsidRPr="00B2213C" w:rsidRDefault="0061425C" w:rsidP="0061425C">
      <w:pPr>
        <w:spacing w:line="240" w:lineRule="auto"/>
        <w:ind w:right="566"/>
        <w:rPr>
          <w:rFonts w:ascii="Aptos" w:eastAsia="Arial" w:hAnsi="Aptos" w:cstheme="minorHAnsi"/>
          <w:bCs/>
          <w:sz w:val="22"/>
          <w:szCs w:val="22"/>
          <w:lang w:val="fr-FR"/>
        </w:rPr>
      </w:pPr>
      <w:r w:rsidRPr="00B2213C">
        <w:rPr>
          <w:rFonts w:ascii="Aptos" w:eastAsia="Arial" w:hAnsi="Aptos" w:cstheme="minorHAnsi"/>
          <w:bCs/>
          <w:sz w:val="22"/>
          <w:szCs w:val="22"/>
          <w:lang w:val="fr-FR"/>
        </w:rPr>
        <w:t>Luigi Francesco Iannone</w:t>
      </w:r>
    </w:p>
    <w:p w14:paraId="1E946C82" w14:textId="77777777" w:rsidR="0061425C" w:rsidRPr="00C84B97" w:rsidRDefault="0061425C" w:rsidP="0061425C">
      <w:pPr>
        <w:pBdr>
          <w:top w:val="nil"/>
          <w:left w:val="nil"/>
          <w:bottom w:val="nil"/>
          <w:right w:val="nil"/>
          <w:between w:val="nil"/>
        </w:pBdr>
        <w:spacing w:line="240" w:lineRule="auto"/>
        <w:rPr>
          <w:rFonts w:ascii="Aptos" w:eastAsia="Arial" w:hAnsi="Aptos" w:cstheme="minorHAnsi"/>
          <w:bCs/>
          <w:color w:val="000000" w:themeColor="text1"/>
          <w:sz w:val="22"/>
          <w:szCs w:val="22"/>
        </w:rPr>
      </w:pPr>
      <w:r w:rsidRPr="00C84B97">
        <w:rPr>
          <w:rFonts w:ascii="Aptos" w:eastAsia="Arial" w:hAnsi="Aptos" w:cstheme="minorHAnsi"/>
          <w:bCs/>
          <w:color w:val="000000" w:themeColor="text1"/>
          <w:sz w:val="22"/>
          <w:szCs w:val="22"/>
        </w:rPr>
        <w:t>University of Modena and Reggio Emilia, Modena, Italy.</w:t>
      </w:r>
    </w:p>
    <w:p w14:paraId="3F138082" w14:textId="77777777" w:rsidR="0061425C" w:rsidRPr="004A502A" w:rsidRDefault="0061425C" w:rsidP="0061425C">
      <w:pPr>
        <w:spacing w:line="240" w:lineRule="auto"/>
        <w:ind w:right="566"/>
        <w:rPr>
          <w:rFonts w:ascii="Aptos" w:eastAsia="Arial" w:hAnsi="Aptos" w:cstheme="minorHAnsi"/>
          <w:bCs/>
          <w:sz w:val="22"/>
          <w:szCs w:val="22"/>
          <w:lang w:val="en-US"/>
        </w:rPr>
      </w:pPr>
      <w:r w:rsidRPr="004A502A">
        <w:rPr>
          <w:rFonts w:ascii="Aptos" w:eastAsia="Arial" w:hAnsi="Aptos" w:cstheme="minorHAnsi"/>
          <w:bCs/>
          <w:color w:val="000000" w:themeColor="text1"/>
          <w:sz w:val="22"/>
          <w:szCs w:val="22"/>
          <w:lang w:val="en-US"/>
        </w:rPr>
        <w:t>Email: luigifrancesco.iannone@unimore.it</w:t>
      </w:r>
    </w:p>
    <w:p w14:paraId="4FFA39BC" w14:textId="3115F8FA" w:rsidR="0061425C" w:rsidRDefault="0061425C">
      <w:pPr>
        <w:rPr>
          <w:lang w:val="en-US"/>
        </w:rPr>
      </w:pPr>
      <w:r>
        <w:rPr>
          <w:lang w:val="en-US"/>
        </w:rPr>
        <w:br w:type="page"/>
      </w:r>
    </w:p>
    <w:p w14:paraId="49D1B2E6" w14:textId="0763B666" w:rsidR="005608FC" w:rsidRDefault="005608FC">
      <w:pPr>
        <w:rPr>
          <w:b/>
          <w:bCs/>
          <w:lang w:val="en-US"/>
        </w:rPr>
      </w:pPr>
      <w:r>
        <w:rPr>
          <w:b/>
          <w:bCs/>
          <w:lang w:val="en-US"/>
        </w:rPr>
        <w:lastRenderedPageBreak/>
        <w:t xml:space="preserve">Phase 1 study </w:t>
      </w:r>
    </w:p>
    <w:p w14:paraId="4966525D" w14:textId="664F5272" w:rsidR="002A5CC8" w:rsidRPr="002A5CC8" w:rsidRDefault="002A5CC8" w:rsidP="0013255E">
      <w:pPr>
        <w:jc w:val="both"/>
        <w:rPr>
          <w:lang w:val="en-US"/>
        </w:rPr>
      </w:pPr>
      <w:r w:rsidRPr="002A5CC8">
        <w:rPr>
          <w:lang w:val="en-US"/>
        </w:rPr>
        <w:t xml:space="preserve">This phase 1 study </w:t>
      </w:r>
      <w:r w:rsidR="003D6D26">
        <w:rPr>
          <w:lang w:val="en-US"/>
        </w:rPr>
        <w:t>(</w:t>
      </w:r>
      <w:r w:rsidR="003D6D26" w:rsidRPr="003D6D26">
        <w:rPr>
          <w:i/>
          <w:iCs/>
          <w:lang w:val="en-US"/>
        </w:rPr>
        <w:t>A Single-Dose, Open-Label Study to Characterize the Pharmacokinetics, Safety and Tolerability of Subcutaneous Administration of Fremanezumab in Pediatric Migraine Patients (6 to 11 Years of Age Inclusive</w:t>
      </w:r>
      <w:r w:rsidR="003D6D26">
        <w:rPr>
          <w:i/>
          <w:iCs/>
          <w:lang w:val="en-US"/>
        </w:rPr>
        <w:t xml:space="preserve">, </w:t>
      </w:r>
      <w:r w:rsidR="003D6D26" w:rsidRPr="003D6D26">
        <w:rPr>
          <w:i/>
          <w:iCs/>
          <w:lang w:val="en-US"/>
        </w:rPr>
        <w:t>EudraCT number</w:t>
      </w:r>
      <w:r w:rsidR="003D6D26">
        <w:rPr>
          <w:i/>
          <w:iCs/>
          <w:lang w:val="en-US"/>
        </w:rPr>
        <w:t xml:space="preserve"> </w:t>
      </w:r>
      <w:r w:rsidR="003D6D26" w:rsidRPr="003D6D26">
        <w:rPr>
          <w:i/>
          <w:iCs/>
          <w:lang w:val="en-US"/>
        </w:rPr>
        <w:t>2018-000734-35</w:t>
      </w:r>
      <w:r w:rsidR="003D6D26" w:rsidRPr="003D6D26">
        <w:rPr>
          <w:lang w:val="en-US"/>
        </w:rPr>
        <w:t>)</w:t>
      </w:r>
      <w:r w:rsidR="003D6D26">
        <w:rPr>
          <w:lang w:val="en-US"/>
        </w:rPr>
        <w:t xml:space="preserve"> </w:t>
      </w:r>
      <w:r w:rsidRPr="002A5CC8">
        <w:rPr>
          <w:lang w:val="en-US"/>
        </w:rPr>
        <w:t xml:space="preserve">enrolled patients aged 6–11 years with a diagnosis of migraine according to the International Classification of Headache Disorders, 3rd edition (ICHD-3), and body weight between 17.0 and &lt;45.0 kg. Patients with prior exposure to monoclonal antibodies targeting the CGRP pathway were excluded. Eligibility required good overall health as assessed by medical and psychiatric history, physical examination, 12-lead electrocardiogram, and standard laboratory tests (serum chemistry, hematology, coagulation, and urinalysis). Participants were stratified into two weight groups: 17 to &lt;30 kg (n = 6) and 30 to &lt;45 kg (n = 9). Each received a single subcutaneous dose of fremanezumab 75 mg injected into the abdomen. PK sampling included five time points per patient on </w:t>
      </w:r>
      <w:r w:rsidR="00840399">
        <w:rPr>
          <w:lang w:val="en-US"/>
        </w:rPr>
        <w:t>d</w:t>
      </w:r>
      <w:r w:rsidRPr="002A5CC8">
        <w:rPr>
          <w:lang w:val="en-US"/>
        </w:rPr>
        <w:t>ays 2, 11, 29, 85, and 113 post-dose. Data included dosing details (amount and time), PK samples (time from dose and measured concentration), and baseline demographic information. All patients with at least one quantifiable fremanezumab concentration were analyzed. Body weight, age, and sex were assessed as potential covariates of PK variability, with values assumed constant throughout the study.</w:t>
      </w:r>
    </w:p>
    <w:p w14:paraId="16D3F2AF" w14:textId="46F819E9" w:rsidR="005608FC" w:rsidRPr="002A5CC8" w:rsidRDefault="002A5CC8" w:rsidP="0013255E">
      <w:pPr>
        <w:jc w:val="both"/>
        <w:rPr>
          <w:lang w:val="en-US"/>
        </w:rPr>
      </w:pPr>
      <w:r w:rsidRPr="002A5CC8">
        <w:rPr>
          <w:lang w:val="en-US"/>
        </w:rPr>
        <w:t>In total, 75 plasma samples from 15 patients were analyzed. Fremanezumab concentrations were determined using a validated chemiluminescence enzyme-linked immunosorbent assay (ELISA) with a lower limit of quantification of 0.25 µg/mL.</w:t>
      </w:r>
    </w:p>
    <w:p w14:paraId="017F3011" w14:textId="77777777" w:rsidR="0013255E" w:rsidRDefault="0013255E">
      <w:pPr>
        <w:rPr>
          <w:b/>
          <w:bCs/>
          <w:lang w:val="en-US"/>
        </w:rPr>
      </w:pPr>
    </w:p>
    <w:p w14:paraId="49B65C47" w14:textId="17591FB4" w:rsidR="00BD3F5A" w:rsidRPr="00BD3F5A" w:rsidRDefault="00BD3F5A">
      <w:pPr>
        <w:rPr>
          <w:b/>
          <w:bCs/>
          <w:lang w:val="en-US"/>
        </w:rPr>
      </w:pPr>
      <w:r w:rsidRPr="00BD3F5A">
        <w:rPr>
          <w:b/>
          <w:bCs/>
          <w:lang w:val="en-US"/>
        </w:rPr>
        <w:t>SPACE trial</w:t>
      </w:r>
    </w:p>
    <w:p w14:paraId="302A7F5B" w14:textId="79D2148A" w:rsidR="007816E3" w:rsidRPr="007816E3" w:rsidRDefault="00BD3F5A" w:rsidP="007816E3">
      <w:pPr>
        <w:jc w:val="both"/>
        <w:rPr>
          <w:lang w:val="en-US"/>
        </w:rPr>
      </w:pPr>
      <w:r w:rsidRPr="00BD3F5A">
        <w:rPr>
          <w:lang w:val="en-US"/>
        </w:rPr>
        <w:t>The SPACE trial (</w:t>
      </w:r>
      <w:r w:rsidR="005608FC" w:rsidRPr="005608FC">
        <w:rPr>
          <w:lang w:val="en-US"/>
        </w:rPr>
        <w:t>NCT04458857</w:t>
      </w:r>
      <w:r w:rsidR="007816E3">
        <w:rPr>
          <w:lang w:val="en-US"/>
        </w:rPr>
        <w:t xml:space="preserve">, </w:t>
      </w:r>
      <w:r w:rsidRPr="00BD3F5A">
        <w:rPr>
          <w:lang w:val="en-US"/>
        </w:rPr>
        <w:t xml:space="preserve">EudraCT 2019-002056-16; protocol code TV48125-CNS-30084) </w:t>
      </w:r>
      <w:r w:rsidR="007816E3" w:rsidRPr="007816E3">
        <w:rPr>
          <w:lang w:val="en-US"/>
        </w:rPr>
        <w:t>is designed to assess the efficacy, safety, and tolerability of fremanezumab compared with placebo for the preventive treatment of episodic migraine in pediatric participants. The primary objective is to determine whether fremanezumab reduces the monthly average number of migraine days over a 12-week treatment period. Secondary objectives include confirming additional efficacy outcomes, characterizing safety and tolerability, and evaluating the immunogenicity of fremanezumab, particularly the impact of anti-drug antibodies on clinical outcomes. The trial is planned to last up to 51 months in total.</w:t>
      </w:r>
    </w:p>
    <w:p w14:paraId="51B94A5C" w14:textId="77777777" w:rsidR="007816E3" w:rsidRPr="007816E3" w:rsidRDefault="007816E3" w:rsidP="007816E3">
      <w:pPr>
        <w:jc w:val="both"/>
        <w:rPr>
          <w:lang w:val="en-US"/>
        </w:rPr>
      </w:pPr>
      <w:r w:rsidRPr="007816E3">
        <w:rPr>
          <w:lang w:val="en-US"/>
        </w:rPr>
        <w:t xml:space="preserve">Eligible participants must have a clinical history of recurrent migraine consistent with ICHD-3 criteria for at least six months before screening and no more than 14 headache days per month in the three months preceding enrollment. They are required to maintain a prospectively collected headache diary and must not meet criteria for chronic daily headache, defined as fewer than four headache-free days during baseline. Key exclusion criteria include recent use of opioids, barbiturates, or interventional migraine treatments, significant psychiatric conditions or suicidality, ongoing infections or chronic viral illnesses, history of cancer or hemiplegic migraine, pregnancy or breastfeeding, hypersensitivity to </w:t>
      </w:r>
      <w:r w:rsidRPr="007816E3">
        <w:rPr>
          <w:lang w:val="en-US"/>
        </w:rPr>
        <w:lastRenderedPageBreak/>
        <w:t>monoclonal antibodies, recent administration of live attenuated vaccines, or prior severe dermatologic reactions such as Stevens-Johnson syndrome.</w:t>
      </w:r>
    </w:p>
    <w:p w14:paraId="556807A3" w14:textId="77777777" w:rsidR="00E4639D" w:rsidRDefault="007816E3" w:rsidP="007816E3">
      <w:pPr>
        <w:jc w:val="both"/>
        <w:rPr>
          <w:lang w:val="en-US"/>
        </w:rPr>
      </w:pPr>
      <w:r w:rsidRPr="007816E3">
        <w:rPr>
          <w:lang w:val="en-US"/>
        </w:rPr>
        <w:t>Participants are randomized to receive either fremanezumab subcutaneously at a dose stratified by body weight (&lt; or ≥</w:t>
      </w:r>
      <w:r w:rsidR="00E4639D">
        <w:rPr>
          <w:lang w:val="en-US"/>
        </w:rPr>
        <w:t xml:space="preserve"> 45kg</w:t>
      </w:r>
      <w:r w:rsidRPr="007816E3">
        <w:rPr>
          <w:lang w:val="en-US"/>
        </w:rPr>
        <w:t xml:space="preserve"> threshold) or matching placebo for three months. </w:t>
      </w:r>
    </w:p>
    <w:p w14:paraId="38FD09CE" w14:textId="1E305FCD" w:rsidR="007816E3" w:rsidRDefault="007816E3" w:rsidP="007816E3">
      <w:pPr>
        <w:jc w:val="both"/>
        <w:rPr>
          <w:lang w:val="en-US"/>
        </w:rPr>
      </w:pPr>
      <w:r w:rsidRPr="007816E3">
        <w:rPr>
          <w:lang w:val="en-US"/>
        </w:rPr>
        <w:t>The primary endpoint is the mean change from baseline in monthly migraine days. Secondary endpoints include</w:t>
      </w:r>
      <w:r w:rsidR="00E4639D">
        <w:rPr>
          <w:lang w:val="en-US"/>
        </w:rPr>
        <w:t xml:space="preserve"> (among others):</w:t>
      </w:r>
      <w:r w:rsidRPr="007816E3">
        <w:rPr>
          <w:lang w:val="en-US"/>
        </w:rPr>
        <w:t xml:space="preserve"> the frequency of treatment-emergent adverse events, ECG and laboratory abnormalities, vital sign changes, abnormal physical findings, reductions in monthly headache days of at least moderate severity, responder rates defined as ≥50% reduction in migraine days, use of acute medications, changes in PedMIDAS disability scores</w:t>
      </w:r>
      <w:r w:rsidR="00E4639D">
        <w:rPr>
          <w:lang w:val="en-US"/>
        </w:rPr>
        <w:t xml:space="preserve"> and</w:t>
      </w:r>
      <w:r w:rsidRPr="007816E3">
        <w:rPr>
          <w:lang w:val="en-US"/>
        </w:rPr>
        <w:t xml:space="preserve"> incidence of anti-drug antibodies.</w:t>
      </w:r>
    </w:p>
    <w:p w14:paraId="0490F9D3" w14:textId="77777777" w:rsidR="00F31949" w:rsidRDefault="00F31949" w:rsidP="007816E3">
      <w:pPr>
        <w:jc w:val="both"/>
        <w:rPr>
          <w:lang w:val="en-US"/>
        </w:rPr>
      </w:pPr>
    </w:p>
    <w:p w14:paraId="72CC50FC" w14:textId="14393BA8" w:rsidR="00F31949" w:rsidRPr="00820972" w:rsidRDefault="00F31949" w:rsidP="007816E3">
      <w:pPr>
        <w:jc w:val="both"/>
        <w:rPr>
          <w:b/>
          <w:bCs/>
          <w:lang w:val="en-US"/>
        </w:rPr>
      </w:pPr>
      <w:r w:rsidRPr="00820972">
        <w:rPr>
          <w:b/>
          <w:bCs/>
          <w:lang w:val="en-US"/>
        </w:rPr>
        <w:t>Review methods</w:t>
      </w:r>
    </w:p>
    <w:p w14:paraId="00EE9914" w14:textId="6B7315BF" w:rsidR="0058270E" w:rsidRDefault="00F76F7E" w:rsidP="00820972">
      <w:pPr>
        <w:spacing w:after="0"/>
        <w:jc w:val="both"/>
        <w:rPr>
          <w:lang w:val="en-US"/>
        </w:rPr>
      </w:pPr>
      <w:r w:rsidRPr="00F76F7E">
        <w:rPr>
          <w:lang w:val="en-US"/>
        </w:rPr>
        <w:t>This article was conducted as a narrative review of the literature addressing the role of CGRP and CGRP-targeting therapies in the pediatric population. A targeted search of the biomedical literature was performed using PubMed and Embase</w:t>
      </w:r>
      <w:r>
        <w:rPr>
          <w:lang w:val="en-US"/>
        </w:rPr>
        <w:t xml:space="preserve"> on August 2025</w:t>
      </w:r>
      <w:r w:rsidRPr="00F76F7E">
        <w:rPr>
          <w:lang w:val="en-US"/>
        </w:rPr>
        <w:t xml:space="preserve">. Search terms included combinations of “CGRP,” “calcitonin gene-related peptide,” “pediatric,” “children,” “adolescents,” and “migraine.” Original research articles, clinical trials, observational studies, and relevant reviews published in English were considered. </w:t>
      </w:r>
      <w:r>
        <w:rPr>
          <w:lang w:val="en-US"/>
        </w:rPr>
        <w:t xml:space="preserve">We also included clinicaltrial.gov in our search for ongoing studies and unpublished data. Finally, we accessed the FDA pharmacological review and labeling. References present in the selected studies were also considered. </w:t>
      </w:r>
      <w:r w:rsidRPr="00F76F7E">
        <w:rPr>
          <w:lang w:val="en-US"/>
        </w:rPr>
        <w:t>Studies focusing on adult-only populations, non-clinical models without pediatric relevance</w:t>
      </w:r>
      <w:r>
        <w:rPr>
          <w:lang w:val="en-US"/>
        </w:rPr>
        <w:t xml:space="preserve"> </w:t>
      </w:r>
      <w:r w:rsidRPr="00F76F7E">
        <w:rPr>
          <w:lang w:val="en-US"/>
        </w:rPr>
        <w:t xml:space="preserve">were excluded. </w:t>
      </w:r>
      <w:r w:rsidR="0058270E">
        <w:rPr>
          <w:lang w:val="en-US"/>
        </w:rPr>
        <w:t xml:space="preserve">On 30 January 2026, we performed an adjunctive search for relevant trial. </w:t>
      </w:r>
    </w:p>
    <w:p w14:paraId="31D93BFB" w14:textId="6983D0D0" w:rsidR="00F31949" w:rsidRDefault="00F76F7E" w:rsidP="00820972">
      <w:pPr>
        <w:spacing w:after="0"/>
        <w:jc w:val="both"/>
        <w:rPr>
          <w:lang w:val="en-US"/>
        </w:rPr>
      </w:pPr>
      <w:r w:rsidRPr="00F76F7E">
        <w:rPr>
          <w:lang w:val="en-US"/>
        </w:rPr>
        <w:t>Given the narrative nature of the review, study selection and data synthesis were qualitative and not restricted by predefined outcome measures, with emphasis placed on clinical relevance and biological plausibility</w:t>
      </w:r>
      <w:r>
        <w:rPr>
          <w:lang w:val="en-US"/>
        </w:rPr>
        <w:t>.</w:t>
      </w:r>
    </w:p>
    <w:sectPr w:rsidR="00F31949">
      <w:foot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767E7" w14:textId="77777777" w:rsidR="00ED6D12" w:rsidRDefault="00ED6D12" w:rsidP="00836E39">
      <w:pPr>
        <w:spacing w:after="0" w:line="240" w:lineRule="auto"/>
      </w:pPr>
      <w:r>
        <w:separator/>
      </w:r>
    </w:p>
  </w:endnote>
  <w:endnote w:type="continuationSeparator" w:id="0">
    <w:p w14:paraId="4BAEDF1C" w14:textId="77777777" w:rsidR="00ED6D12" w:rsidRDefault="00ED6D12" w:rsidP="00836E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315312"/>
      <w:docPartObj>
        <w:docPartGallery w:val="Page Numbers (Bottom of Page)"/>
        <w:docPartUnique/>
      </w:docPartObj>
    </w:sdtPr>
    <w:sdtContent>
      <w:p w14:paraId="2C792E71" w14:textId="12C659C8" w:rsidR="00836E39" w:rsidRDefault="00836E39">
        <w:pPr>
          <w:pStyle w:val="Pidipagina"/>
          <w:jc w:val="right"/>
        </w:pPr>
        <w:r>
          <w:fldChar w:fldCharType="begin"/>
        </w:r>
        <w:r>
          <w:instrText>PAGE   \* MERGEFORMAT</w:instrText>
        </w:r>
        <w:r>
          <w:fldChar w:fldCharType="separate"/>
        </w:r>
        <w:r>
          <w:t>2</w:t>
        </w:r>
        <w:r>
          <w:fldChar w:fldCharType="end"/>
        </w:r>
      </w:p>
    </w:sdtContent>
  </w:sdt>
  <w:p w14:paraId="7F349DC4" w14:textId="77777777" w:rsidR="00836E39" w:rsidRDefault="00836E3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FC699C" w14:textId="77777777" w:rsidR="00ED6D12" w:rsidRDefault="00ED6D12" w:rsidP="00836E39">
      <w:pPr>
        <w:spacing w:after="0" w:line="240" w:lineRule="auto"/>
      </w:pPr>
      <w:r>
        <w:separator/>
      </w:r>
    </w:p>
  </w:footnote>
  <w:footnote w:type="continuationSeparator" w:id="0">
    <w:p w14:paraId="338E24D2" w14:textId="77777777" w:rsidR="00ED6D12" w:rsidRDefault="00ED6D12" w:rsidP="00836E3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532C3"/>
    <w:rsid w:val="0013255E"/>
    <w:rsid w:val="001830D3"/>
    <w:rsid w:val="001A4A39"/>
    <w:rsid w:val="001B627C"/>
    <w:rsid w:val="002A5CC8"/>
    <w:rsid w:val="002E46A1"/>
    <w:rsid w:val="002F5423"/>
    <w:rsid w:val="003532C3"/>
    <w:rsid w:val="003D6D26"/>
    <w:rsid w:val="004601B9"/>
    <w:rsid w:val="004855AD"/>
    <w:rsid w:val="005608FC"/>
    <w:rsid w:val="0058270E"/>
    <w:rsid w:val="005841EA"/>
    <w:rsid w:val="00603833"/>
    <w:rsid w:val="0061425C"/>
    <w:rsid w:val="00652866"/>
    <w:rsid w:val="006774AE"/>
    <w:rsid w:val="007724DB"/>
    <w:rsid w:val="007816E3"/>
    <w:rsid w:val="007B76D5"/>
    <w:rsid w:val="00820972"/>
    <w:rsid w:val="00836E39"/>
    <w:rsid w:val="00840399"/>
    <w:rsid w:val="00B00F1D"/>
    <w:rsid w:val="00B951C7"/>
    <w:rsid w:val="00BD3F5A"/>
    <w:rsid w:val="00C90608"/>
    <w:rsid w:val="00C9357A"/>
    <w:rsid w:val="00CB0F4C"/>
    <w:rsid w:val="00CE6ECF"/>
    <w:rsid w:val="00E4639D"/>
    <w:rsid w:val="00ED6D12"/>
    <w:rsid w:val="00F17366"/>
    <w:rsid w:val="00F249D4"/>
    <w:rsid w:val="00F31949"/>
    <w:rsid w:val="00F76F7E"/>
    <w:rsid w:val="00FD30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FF30A"/>
  <w15:chartTrackingRefBased/>
  <w15:docId w15:val="{0C3BB85D-4339-4BE3-B226-60037C8D9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532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532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532C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532C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532C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532C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532C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532C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532C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532C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532C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532C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532C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532C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532C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532C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532C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532C3"/>
    <w:rPr>
      <w:rFonts w:eastAsiaTheme="majorEastAsia" w:cstheme="majorBidi"/>
      <w:color w:val="272727" w:themeColor="text1" w:themeTint="D8"/>
    </w:rPr>
  </w:style>
  <w:style w:type="paragraph" w:styleId="Titolo">
    <w:name w:val="Title"/>
    <w:basedOn w:val="Normale"/>
    <w:next w:val="Normale"/>
    <w:link w:val="TitoloCarattere"/>
    <w:uiPriority w:val="10"/>
    <w:qFormat/>
    <w:rsid w:val="003532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532C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532C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532C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532C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532C3"/>
    <w:rPr>
      <w:i/>
      <w:iCs/>
      <w:color w:val="404040" w:themeColor="text1" w:themeTint="BF"/>
    </w:rPr>
  </w:style>
  <w:style w:type="paragraph" w:styleId="Paragrafoelenco">
    <w:name w:val="List Paragraph"/>
    <w:basedOn w:val="Normale"/>
    <w:uiPriority w:val="34"/>
    <w:qFormat/>
    <w:rsid w:val="003532C3"/>
    <w:pPr>
      <w:ind w:left="720"/>
      <w:contextualSpacing/>
    </w:pPr>
  </w:style>
  <w:style w:type="character" w:styleId="Enfasiintensa">
    <w:name w:val="Intense Emphasis"/>
    <w:basedOn w:val="Carpredefinitoparagrafo"/>
    <w:uiPriority w:val="21"/>
    <w:qFormat/>
    <w:rsid w:val="003532C3"/>
    <w:rPr>
      <w:i/>
      <w:iCs/>
      <w:color w:val="0F4761" w:themeColor="accent1" w:themeShade="BF"/>
    </w:rPr>
  </w:style>
  <w:style w:type="paragraph" w:styleId="Citazioneintensa">
    <w:name w:val="Intense Quote"/>
    <w:basedOn w:val="Normale"/>
    <w:next w:val="Normale"/>
    <w:link w:val="CitazioneintensaCarattere"/>
    <w:uiPriority w:val="30"/>
    <w:qFormat/>
    <w:rsid w:val="003532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532C3"/>
    <w:rPr>
      <w:i/>
      <w:iCs/>
      <w:color w:val="0F4761" w:themeColor="accent1" w:themeShade="BF"/>
    </w:rPr>
  </w:style>
  <w:style w:type="character" w:styleId="Riferimentointenso">
    <w:name w:val="Intense Reference"/>
    <w:basedOn w:val="Carpredefinitoparagrafo"/>
    <w:uiPriority w:val="32"/>
    <w:qFormat/>
    <w:rsid w:val="003532C3"/>
    <w:rPr>
      <w:b/>
      <w:bCs/>
      <w:smallCaps/>
      <w:color w:val="0F4761" w:themeColor="accent1" w:themeShade="BF"/>
      <w:spacing w:val="5"/>
    </w:rPr>
  </w:style>
  <w:style w:type="paragraph" w:styleId="Intestazione">
    <w:name w:val="header"/>
    <w:basedOn w:val="Normale"/>
    <w:link w:val="IntestazioneCarattere"/>
    <w:uiPriority w:val="99"/>
    <w:unhideWhenUsed/>
    <w:rsid w:val="00836E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36E39"/>
  </w:style>
  <w:style w:type="paragraph" w:styleId="Pidipagina">
    <w:name w:val="footer"/>
    <w:basedOn w:val="Normale"/>
    <w:link w:val="PidipaginaCarattere"/>
    <w:uiPriority w:val="99"/>
    <w:unhideWhenUsed/>
    <w:rsid w:val="00836E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36E39"/>
  </w:style>
  <w:style w:type="character" w:styleId="Collegamentoipertestuale">
    <w:name w:val="Hyperlink"/>
    <w:basedOn w:val="Carpredefinitoparagrafo"/>
    <w:uiPriority w:val="99"/>
    <w:unhideWhenUsed/>
    <w:rsid w:val="003D6D26"/>
    <w:rPr>
      <w:color w:val="467886" w:themeColor="hyperlink"/>
      <w:u w:val="single"/>
    </w:rPr>
  </w:style>
  <w:style w:type="character" w:styleId="Menzionenonrisolta">
    <w:name w:val="Unresolved Mention"/>
    <w:basedOn w:val="Carpredefinitoparagrafo"/>
    <w:uiPriority w:val="99"/>
    <w:semiHidden/>
    <w:unhideWhenUsed/>
    <w:rsid w:val="003D6D26"/>
    <w:rPr>
      <w:color w:val="605E5C"/>
      <w:shd w:val="clear" w:color="auto" w:fill="E1DFDD"/>
    </w:rPr>
  </w:style>
  <w:style w:type="paragraph" w:styleId="Revisione">
    <w:name w:val="Revision"/>
    <w:hidden/>
    <w:uiPriority w:val="99"/>
    <w:semiHidden/>
    <w:rsid w:val="00F319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970</Words>
  <Characters>5535</Characters>
  <Application>Microsoft Office Word</Application>
  <DocSecurity>0</DocSecurity>
  <Lines>46</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Luigi Francesco Iannone</dc:creator>
  <cp:keywords/>
  <dc:description/>
  <cp:lastModifiedBy>Luigi F. Iannone</cp:lastModifiedBy>
  <cp:revision>3</cp:revision>
  <dcterms:created xsi:type="dcterms:W3CDTF">2026-02-12T09:28:00Z</dcterms:created>
  <dcterms:modified xsi:type="dcterms:W3CDTF">2026-02-12T09:28:00Z</dcterms:modified>
</cp:coreProperties>
</file>